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asciiTheme="minorHAnsi" w:hAnsiTheme="minorHAnsi"/>
          <w:color w:val="auto"/>
          <w:sz w:val="52"/>
          <w:szCs w:val="52"/>
        </w:rPr>
      </w:pPr>
    </w:p>
    <w:p>
      <w:pPr>
        <w:spacing w:line="240" w:lineRule="auto"/>
        <w:ind w:firstLine="0" w:firstLineChars="0"/>
        <w:jc w:val="center"/>
        <w:rPr>
          <w:rFonts w:asciiTheme="minorHAnsi" w:hAnsiTheme="minorHAnsi"/>
          <w:color w:val="auto"/>
          <w:sz w:val="52"/>
          <w:szCs w:val="52"/>
        </w:rPr>
      </w:pPr>
      <w:r>
        <w:rPr>
          <w:rFonts w:asciiTheme="minorHAnsi" w:hAnsiTheme="minorHAnsi"/>
          <w:color w:val="auto"/>
          <w:sz w:val="52"/>
          <w:szCs w:val="52"/>
        </w:rPr>
        <w:t>建设项目环境影响报告表</w:t>
      </w:r>
    </w:p>
    <w:p>
      <w:pPr>
        <w:spacing w:line="240" w:lineRule="auto"/>
        <w:ind w:firstLine="0" w:firstLineChars="0"/>
        <w:jc w:val="center"/>
        <w:rPr>
          <w:rFonts w:asciiTheme="minorHAnsi" w:hAnsiTheme="minorHAnsi"/>
          <w:color w:val="auto"/>
          <w:sz w:val="44"/>
          <w:szCs w:val="44"/>
        </w:rPr>
      </w:pPr>
      <w:r>
        <w:rPr>
          <w:rFonts w:hint="eastAsia" w:asciiTheme="minorHAnsi" w:hAnsiTheme="minorHAnsi"/>
          <w:color w:val="auto"/>
          <w:sz w:val="44"/>
          <w:szCs w:val="44"/>
        </w:rPr>
        <w:t>（生态影响类）</w:t>
      </w:r>
    </w:p>
    <w:p>
      <w:pPr>
        <w:spacing w:line="240" w:lineRule="auto"/>
        <w:ind w:firstLine="0" w:firstLineChars="0"/>
        <w:jc w:val="center"/>
        <w:rPr>
          <w:rFonts w:asciiTheme="minorHAnsi" w:hAnsiTheme="minorHAnsi"/>
          <w:color w:val="auto"/>
          <w:sz w:val="28"/>
          <w:szCs w:val="28"/>
        </w:rPr>
      </w:pPr>
      <w:r>
        <w:rPr>
          <w:rFonts w:hint="eastAsia" w:asciiTheme="minorHAnsi" w:hAnsiTheme="minorHAnsi"/>
          <w:color w:val="auto"/>
          <w:sz w:val="28"/>
          <w:szCs w:val="28"/>
        </w:rPr>
        <w:t>（报批稿）</w:t>
      </w:r>
    </w:p>
    <w:p>
      <w:pPr>
        <w:spacing w:line="240" w:lineRule="auto"/>
        <w:ind w:firstLine="0" w:firstLineChars="0"/>
        <w:jc w:val="center"/>
        <w:rPr>
          <w:rFonts w:asciiTheme="minorHAnsi" w:hAnsiTheme="minorHAnsi"/>
          <w:color w:val="auto"/>
          <w:sz w:val="44"/>
          <w:szCs w:val="44"/>
        </w:rPr>
      </w:pPr>
    </w:p>
    <w:p>
      <w:pPr>
        <w:spacing w:line="240" w:lineRule="auto"/>
        <w:ind w:firstLine="0" w:firstLineChars="0"/>
        <w:jc w:val="center"/>
        <w:rPr>
          <w:rFonts w:asciiTheme="minorHAnsi" w:hAnsiTheme="minorHAnsi"/>
          <w:color w:val="auto"/>
          <w:sz w:val="44"/>
          <w:szCs w:val="44"/>
        </w:rPr>
      </w:pPr>
    </w:p>
    <w:p>
      <w:pPr>
        <w:spacing w:line="240" w:lineRule="auto"/>
        <w:ind w:firstLine="0" w:firstLineChars="0"/>
        <w:jc w:val="center"/>
        <w:rPr>
          <w:rFonts w:asciiTheme="minorHAnsi" w:hAnsiTheme="minorHAnsi"/>
          <w:color w:val="auto"/>
          <w:sz w:val="44"/>
          <w:szCs w:val="44"/>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ind w:firstLine="560"/>
        <w:rPr>
          <w:rFonts w:cs="Times New Roman"/>
          <w:color w:val="auto"/>
          <w:sz w:val="28"/>
          <w:szCs w:val="28"/>
          <w:u w:val="single"/>
        </w:rPr>
      </w:pPr>
      <w:r>
        <w:rPr>
          <w:rFonts w:hint="eastAsia" w:asciiTheme="minorHAnsi" w:hAnsiTheme="minorHAnsi"/>
          <w:color w:val="auto"/>
          <w:sz w:val="28"/>
          <w:szCs w:val="28"/>
        </w:rPr>
        <w:t>项目名称：</w:t>
      </w:r>
      <w:bookmarkStart w:id="0" w:name="OLE_LINK3"/>
      <w:r>
        <w:rPr>
          <w:rFonts w:cs="Times New Roman"/>
          <w:color w:val="auto"/>
          <w:sz w:val="28"/>
          <w:szCs w:val="28"/>
          <w:u w:val="single"/>
        </w:rPr>
        <w:t>华润</w:t>
      </w:r>
      <w:bookmarkEnd w:id="0"/>
      <w:r>
        <w:rPr>
          <w:rFonts w:hint="eastAsia" w:cs="Times New Roman"/>
          <w:color w:val="auto"/>
          <w:sz w:val="28"/>
          <w:szCs w:val="28"/>
          <w:u w:val="single"/>
        </w:rPr>
        <w:t xml:space="preserve">电力上思在妙100MW农光互补发电项目      </w:t>
      </w:r>
    </w:p>
    <w:p>
      <w:pPr>
        <w:ind w:firstLine="1960" w:firstLineChars="700"/>
        <w:rPr>
          <w:rFonts w:cs="Times New Roman"/>
          <w:color w:val="auto"/>
          <w:sz w:val="28"/>
          <w:szCs w:val="28"/>
          <w:u w:val="single"/>
        </w:rPr>
      </w:pPr>
      <w:r>
        <w:rPr>
          <w:rFonts w:hint="eastAsia" w:cs="Times New Roman"/>
          <w:color w:val="auto"/>
          <w:sz w:val="28"/>
          <w:szCs w:val="28"/>
          <w:u w:val="single"/>
        </w:rPr>
        <w:t>送出线路工程（变更）</w:t>
      </w:r>
      <w:r>
        <w:rPr>
          <w:rFonts w:hint="eastAsia" w:asciiTheme="minorHAnsi" w:hAnsiTheme="minorHAnsi"/>
          <w:color w:val="auto"/>
          <w:sz w:val="28"/>
          <w:szCs w:val="28"/>
          <w:u w:val="single"/>
        </w:rPr>
        <w:t xml:space="preserve">                                 </w:t>
      </w:r>
    </w:p>
    <w:p>
      <w:pPr>
        <w:ind w:firstLine="560"/>
        <w:rPr>
          <w:rFonts w:asciiTheme="minorHAnsi" w:hAnsiTheme="minorHAnsi"/>
          <w:color w:val="auto"/>
          <w:sz w:val="28"/>
          <w:szCs w:val="28"/>
          <w:u w:val="single"/>
        </w:rPr>
      </w:pPr>
      <w:r>
        <w:rPr>
          <w:rFonts w:hint="eastAsia" w:asciiTheme="minorHAnsi" w:hAnsiTheme="minorHAnsi"/>
          <w:color w:val="auto"/>
          <w:sz w:val="28"/>
          <w:szCs w:val="28"/>
        </w:rPr>
        <w:t>建设单位（盖章）：</w:t>
      </w:r>
      <w:r>
        <w:rPr>
          <w:rFonts w:hint="eastAsia" w:asciiTheme="minorHAnsi" w:hAnsiTheme="minorHAnsi"/>
          <w:color w:val="auto"/>
          <w:sz w:val="28"/>
          <w:szCs w:val="28"/>
          <w:u w:val="single"/>
        </w:rPr>
        <w:t xml:space="preserve">华润新能源（上思）有限公司             </w:t>
      </w:r>
    </w:p>
    <w:p>
      <w:pPr>
        <w:ind w:firstLine="560"/>
        <w:rPr>
          <w:rFonts w:asciiTheme="minorHAnsi" w:hAnsiTheme="minorHAnsi"/>
          <w:color w:val="auto"/>
          <w:sz w:val="28"/>
          <w:szCs w:val="28"/>
          <w:u w:val="single"/>
        </w:rPr>
      </w:pPr>
      <w:r>
        <w:rPr>
          <w:rFonts w:hint="eastAsia" w:asciiTheme="minorHAnsi" w:hAnsiTheme="minorHAnsi"/>
          <w:color w:val="auto"/>
          <w:sz w:val="28"/>
          <w:szCs w:val="28"/>
        </w:rPr>
        <w:t>编制日期：</w:t>
      </w:r>
      <w:r>
        <w:rPr>
          <w:rFonts w:hint="eastAsia" w:cs="Times New Roman"/>
          <w:color w:val="auto"/>
          <w:sz w:val="28"/>
          <w:szCs w:val="28"/>
          <w:u w:val="single"/>
        </w:rPr>
        <w:t xml:space="preserve">              2025</w:t>
      </w:r>
      <w:r>
        <w:rPr>
          <w:rFonts w:cs="Times New Roman"/>
          <w:color w:val="auto"/>
          <w:sz w:val="28"/>
          <w:szCs w:val="28"/>
          <w:u w:val="single"/>
        </w:rPr>
        <w:t>年</w:t>
      </w:r>
      <w:r>
        <w:rPr>
          <w:rFonts w:hint="eastAsia" w:cs="Times New Roman"/>
          <w:color w:val="auto"/>
          <w:sz w:val="28"/>
          <w:szCs w:val="28"/>
          <w:u w:val="single"/>
        </w:rPr>
        <w:t>9</w:t>
      </w:r>
      <w:r>
        <w:rPr>
          <w:rFonts w:cs="Times New Roman"/>
          <w:color w:val="auto"/>
          <w:sz w:val="28"/>
          <w:szCs w:val="28"/>
          <w:u w:val="single"/>
        </w:rPr>
        <w:t>月</w:t>
      </w:r>
      <w:r>
        <w:rPr>
          <w:rFonts w:hint="eastAsia" w:cs="Times New Roman"/>
          <w:color w:val="auto"/>
          <w:sz w:val="28"/>
          <w:szCs w:val="28"/>
          <w:u w:val="single"/>
        </w:rPr>
        <w:t xml:space="preserve">                       </w:t>
      </w: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21"/>
        </w:rPr>
      </w:pPr>
    </w:p>
    <w:p>
      <w:pPr>
        <w:spacing w:line="240" w:lineRule="auto"/>
        <w:ind w:firstLine="0" w:firstLineChars="0"/>
        <w:jc w:val="center"/>
        <w:rPr>
          <w:rFonts w:asciiTheme="minorHAnsi" w:hAnsiTheme="minorHAnsi"/>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Theme="minorHAnsi" w:hAnsiTheme="minorHAnsi"/>
          <w:color w:val="auto"/>
          <w:sz w:val="36"/>
          <w:szCs w:val="36"/>
        </w:rPr>
        <w:t>中华人民共和国生态环境部制</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7"/>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8" w:type="dxa"/>
            <w:gridSpan w:val="2"/>
          </w:tcPr>
          <w:p>
            <w:pPr>
              <w:spacing w:line="240" w:lineRule="auto"/>
              <w:ind w:firstLine="0" w:firstLineChars="0"/>
              <w:rPr>
                <w:rFonts w:asciiTheme="minorHAnsi" w:hAnsiTheme="minorHAnsi"/>
                <w:color w:val="auto"/>
                <w:szCs w:val="24"/>
              </w:rPr>
            </w:pPr>
            <w:r>
              <w:drawing>
                <wp:inline distT="0" distB="0" distL="0" distR="0">
                  <wp:extent cx="2689860" cy="2047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693096" cy="2050057"/>
                          </a:xfrm>
                          <a:prstGeom prst="rect">
                            <a:avLst/>
                          </a:prstGeom>
                        </pic:spPr>
                      </pic:pic>
                    </a:graphicData>
                  </a:graphic>
                </wp:inline>
              </w:drawing>
            </w:r>
          </w:p>
        </w:tc>
        <w:tc>
          <w:tcPr>
            <w:tcW w:w="4114" w:type="dxa"/>
          </w:tcPr>
          <w:p>
            <w:pPr>
              <w:spacing w:line="240" w:lineRule="auto"/>
              <w:ind w:firstLine="0" w:firstLineChars="0"/>
              <w:rPr>
                <w:rFonts w:asciiTheme="minorHAnsi" w:hAnsiTheme="minorHAnsi"/>
                <w:color w:val="auto"/>
                <w:szCs w:val="24"/>
              </w:rPr>
            </w:pPr>
            <w:r>
              <w:drawing>
                <wp:inline distT="0" distB="0" distL="0" distR="0">
                  <wp:extent cx="2686050" cy="2097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686050" cy="2097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8" w:type="dxa"/>
            <w:gridSpan w:val="2"/>
          </w:tcPr>
          <w:p>
            <w:pPr>
              <w:spacing w:line="240" w:lineRule="auto"/>
              <w:ind w:firstLine="0" w:firstLineChars="0"/>
              <w:jc w:val="center"/>
              <w:rPr>
                <w:rFonts w:asciiTheme="minorHAnsi" w:hAnsiTheme="minorHAnsi"/>
                <w:color w:val="auto"/>
                <w:szCs w:val="24"/>
              </w:rPr>
            </w:pPr>
            <w:r>
              <w:rPr>
                <w:rFonts w:hint="eastAsia" w:asciiTheme="minorHAnsi" w:hAnsiTheme="minorHAnsi"/>
                <w:color w:val="auto"/>
                <w:szCs w:val="24"/>
              </w:rPr>
              <w:t>扩建间隔外环境现状</w:t>
            </w:r>
          </w:p>
        </w:tc>
        <w:tc>
          <w:tcPr>
            <w:tcW w:w="4114" w:type="dxa"/>
          </w:tcPr>
          <w:p>
            <w:pPr>
              <w:spacing w:line="240" w:lineRule="auto"/>
              <w:ind w:firstLine="0" w:firstLineChars="0"/>
              <w:jc w:val="center"/>
              <w:rPr>
                <w:rFonts w:asciiTheme="minorHAnsi" w:hAnsiTheme="minorHAnsi"/>
                <w:color w:val="auto"/>
                <w:szCs w:val="24"/>
              </w:rPr>
            </w:pPr>
            <w:r>
              <w:rPr>
                <w:rFonts w:hint="eastAsia" w:asciiTheme="minorHAnsi" w:hAnsiTheme="minorHAnsi"/>
                <w:color w:val="auto"/>
                <w:szCs w:val="24"/>
              </w:rPr>
              <w:t>沿线植被1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8" w:type="dxa"/>
            <w:gridSpan w:val="2"/>
          </w:tcPr>
          <w:p>
            <w:pPr>
              <w:spacing w:line="240" w:lineRule="auto"/>
              <w:ind w:firstLine="0" w:firstLineChars="0"/>
              <w:rPr>
                <w:rFonts w:asciiTheme="minorHAnsi" w:hAnsiTheme="minorHAnsi"/>
                <w:color w:val="auto"/>
                <w:szCs w:val="24"/>
              </w:rPr>
            </w:pPr>
            <w:r>
              <w:drawing>
                <wp:inline distT="0" distB="0" distL="0" distR="0">
                  <wp:extent cx="2707640" cy="2247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708766" cy="2248527"/>
                          </a:xfrm>
                          <a:prstGeom prst="rect">
                            <a:avLst/>
                          </a:prstGeom>
                        </pic:spPr>
                      </pic:pic>
                    </a:graphicData>
                  </a:graphic>
                </wp:inline>
              </w:drawing>
            </w:r>
          </w:p>
        </w:tc>
        <w:tc>
          <w:tcPr>
            <w:tcW w:w="4114" w:type="dxa"/>
          </w:tcPr>
          <w:p>
            <w:pPr>
              <w:spacing w:line="240" w:lineRule="auto"/>
              <w:ind w:firstLine="0" w:firstLineChars="0"/>
              <w:rPr>
                <w:rFonts w:asciiTheme="minorHAnsi" w:hAnsiTheme="minorHAnsi"/>
                <w:color w:val="auto"/>
                <w:szCs w:val="24"/>
              </w:rPr>
            </w:pPr>
            <w:r>
              <w:drawing>
                <wp:inline distT="0" distB="0" distL="0" distR="0">
                  <wp:extent cx="2428875" cy="2207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428875" cy="220763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08" w:type="dxa"/>
            <w:gridSpan w:val="2"/>
          </w:tcPr>
          <w:p>
            <w:pPr>
              <w:spacing w:line="240" w:lineRule="auto"/>
              <w:ind w:firstLine="0" w:firstLineChars="0"/>
              <w:jc w:val="center"/>
              <w:rPr>
                <w:rFonts w:asciiTheme="minorHAnsi" w:hAnsiTheme="minorHAnsi"/>
                <w:color w:val="auto"/>
                <w:szCs w:val="24"/>
              </w:rPr>
            </w:pPr>
            <w:r>
              <w:rPr>
                <w:rFonts w:hint="eastAsia" w:asciiTheme="minorHAnsi" w:hAnsiTheme="minorHAnsi"/>
                <w:color w:val="auto"/>
                <w:szCs w:val="24"/>
              </w:rPr>
              <w:t>沿线植被2</w:t>
            </w:r>
          </w:p>
        </w:tc>
        <w:tc>
          <w:tcPr>
            <w:tcW w:w="4114" w:type="dxa"/>
          </w:tcPr>
          <w:p>
            <w:pPr>
              <w:spacing w:line="240" w:lineRule="auto"/>
              <w:ind w:firstLine="0" w:firstLineChars="0"/>
              <w:jc w:val="center"/>
              <w:rPr>
                <w:rFonts w:asciiTheme="minorHAnsi" w:hAnsiTheme="minorHAnsi"/>
                <w:color w:val="auto"/>
                <w:szCs w:val="24"/>
              </w:rPr>
            </w:pPr>
            <w:r>
              <w:rPr>
                <w:rFonts w:hint="eastAsia" w:asciiTheme="minorHAnsi" w:hAnsiTheme="minorHAnsi"/>
                <w:color w:val="auto"/>
                <w:szCs w:val="24"/>
              </w:rPr>
              <w:t>沿线植被3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spacing w:line="240" w:lineRule="auto"/>
              <w:ind w:firstLine="0" w:firstLineChars="0"/>
              <w:rPr>
                <w:rFonts w:asciiTheme="minorHAnsi" w:hAnsiTheme="minorHAnsi"/>
                <w:color w:val="auto"/>
                <w:szCs w:val="24"/>
              </w:rPr>
            </w:pPr>
            <w:r>
              <w:drawing>
                <wp:inline distT="0" distB="0" distL="0" distR="0">
                  <wp:extent cx="2747010" cy="2505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747002" cy="2504762"/>
                          </a:xfrm>
                          <a:prstGeom prst="rect">
                            <a:avLst/>
                          </a:prstGeom>
                        </pic:spPr>
                      </pic:pic>
                    </a:graphicData>
                  </a:graphic>
                </wp:inline>
              </w:drawing>
            </w:r>
          </w:p>
        </w:tc>
        <w:tc>
          <w:tcPr>
            <w:tcW w:w="4161" w:type="dxa"/>
            <w:gridSpan w:val="2"/>
          </w:tcPr>
          <w:p>
            <w:pPr>
              <w:spacing w:line="240" w:lineRule="auto"/>
              <w:ind w:firstLine="0" w:firstLineChars="0"/>
              <w:rPr>
                <w:rFonts w:asciiTheme="minorHAnsi" w:hAnsiTheme="minorHAnsi"/>
                <w:color w:val="auto"/>
                <w:szCs w:val="24"/>
              </w:rPr>
            </w:pPr>
            <w:r>
              <w:drawing>
                <wp:inline distT="0" distB="0" distL="0" distR="0">
                  <wp:extent cx="2714625" cy="2466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2714156" cy="246654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spacing w:line="240" w:lineRule="auto"/>
              <w:ind w:firstLine="0" w:firstLineChars="0"/>
              <w:jc w:val="center"/>
              <w:rPr>
                <w:rFonts w:asciiTheme="minorHAnsi" w:hAnsiTheme="minorHAnsi"/>
                <w:color w:val="auto"/>
                <w:szCs w:val="24"/>
              </w:rPr>
            </w:pPr>
            <w:r>
              <w:rPr>
                <w:rFonts w:asciiTheme="minorHAnsi" w:hAnsiTheme="minorHAnsi"/>
                <w:color w:val="auto"/>
                <w:szCs w:val="24"/>
              </w:rPr>
              <w:t>沿线植被</w:t>
            </w:r>
            <w:r>
              <w:rPr>
                <w:rFonts w:hint="eastAsia" w:asciiTheme="minorHAnsi" w:hAnsiTheme="minorHAnsi"/>
                <w:color w:val="auto"/>
                <w:szCs w:val="24"/>
              </w:rPr>
              <w:t>4</w:t>
            </w:r>
          </w:p>
        </w:tc>
        <w:tc>
          <w:tcPr>
            <w:tcW w:w="4161" w:type="dxa"/>
            <w:gridSpan w:val="2"/>
          </w:tcPr>
          <w:p>
            <w:pPr>
              <w:spacing w:line="240" w:lineRule="auto"/>
              <w:ind w:firstLine="0" w:firstLineChars="0"/>
              <w:jc w:val="center"/>
              <w:rPr>
                <w:rFonts w:asciiTheme="minorHAnsi" w:hAnsiTheme="minorHAnsi"/>
                <w:color w:val="auto"/>
                <w:szCs w:val="24"/>
              </w:rPr>
            </w:pPr>
            <w:r>
              <w:rPr>
                <w:rFonts w:asciiTheme="minorHAnsi" w:hAnsiTheme="minorHAnsi"/>
                <w:color w:val="auto"/>
                <w:szCs w:val="24"/>
              </w:rPr>
              <w:t>沿线植被</w:t>
            </w:r>
            <w:r>
              <w:rPr>
                <w:rFonts w:hint="eastAsia" w:asciiTheme="minorHAnsi" w:hAnsiTheme="minorHAnsi"/>
                <w:color w:val="auto"/>
                <w:szCs w:val="24"/>
              </w:rPr>
              <w:t>5</w:t>
            </w:r>
          </w:p>
        </w:tc>
      </w:tr>
    </w:tbl>
    <w:p>
      <w:pPr>
        <w:spacing w:line="240" w:lineRule="auto"/>
        <w:ind w:firstLine="0" w:firstLineChars="0"/>
        <w:jc w:val="center"/>
        <w:rPr>
          <w:rFonts w:asciiTheme="minorHAnsi" w:hAnsiTheme="minorHAnsi"/>
          <w:color w:val="auto"/>
          <w:sz w:val="28"/>
          <w:szCs w:val="28"/>
        </w:rPr>
      </w:pPr>
      <w:r>
        <w:rPr>
          <w:rFonts w:asciiTheme="minorHAnsi" w:hAnsiTheme="minorHAnsi"/>
          <w:color w:val="auto"/>
          <w:sz w:val="28"/>
          <w:szCs w:val="28"/>
        </w:rPr>
        <w:t>项目沿线现场照片</w:t>
      </w:r>
    </w:p>
    <w:p>
      <w:pPr>
        <w:spacing w:line="240" w:lineRule="auto"/>
        <w:ind w:firstLine="0" w:firstLineChars="0"/>
        <w:jc w:val="center"/>
        <w:rPr>
          <w:rFonts w:asciiTheme="minorHAnsi" w:hAnsiTheme="minorHAnsi"/>
          <w:color w:val="auto"/>
          <w:sz w:val="36"/>
          <w:szCs w:val="36"/>
        </w:rPr>
      </w:pPr>
    </w:p>
    <w:p>
      <w:pPr>
        <w:ind w:firstLine="480"/>
        <w:rPr>
          <w:color w:val="auto"/>
          <w:szCs w:val="24"/>
        </w:rPr>
      </w:pPr>
    </w:p>
    <w:p>
      <w:pPr>
        <w:ind w:firstLine="480"/>
        <w:rPr>
          <w:color w:val="auto"/>
          <w:szCs w:val="24"/>
        </w:rPr>
        <w:sectPr>
          <w:pgSz w:w="11906" w:h="16838"/>
          <w:pgMar w:top="1440" w:right="1800" w:bottom="1440" w:left="1800" w:header="851" w:footer="992" w:gutter="0"/>
          <w:cols w:space="425" w:num="1"/>
          <w:docGrid w:type="lines" w:linePitch="312" w:charSpace="0"/>
        </w:sectPr>
      </w:pPr>
    </w:p>
    <w:p>
      <w:pPr>
        <w:ind w:firstLine="643"/>
        <w:jc w:val="center"/>
        <w:rPr>
          <w:b/>
          <w:color w:val="auto"/>
          <w:sz w:val="32"/>
          <w:szCs w:val="32"/>
        </w:rPr>
      </w:pPr>
      <w:r>
        <w:rPr>
          <w:rFonts w:hint="eastAsia"/>
          <w:b/>
          <w:color w:val="auto"/>
          <w:sz w:val="32"/>
          <w:szCs w:val="32"/>
        </w:rPr>
        <w:t>目 录</w:t>
      </w:r>
    </w:p>
    <w:p>
      <w:pPr>
        <w:pStyle w:val="10"/>
        <w:rPr>
          <w:rFonts w:ascii="Times New Roman" w:hAnsi="Times New Roman" w:cs="Times New Roman"/>
          <w:b w:val="0"/>
          <w:bCs w:val="0"/>
          <w:caps w:val="0"/>
          <w:color w:val="auto"/>
          <w:sz w:val="24"/>
          <w:szCs w:val="24"/>
        </w:rPr>
      </w:pPr>
      <w:r>
        <w:rPr>
          <w:b w:val="0"/>
          <w:bCs w:val="0"/>
          <w:caps w:val="0"/>
          <w:color w:val="auto"/>
          <w:sz w:val="24"/>
          <w:szCs w:val="24"/>
        </w:rPr>
        <w:fldChar w:fldCharType="begin"/>
      </w:r>
      <w:r>
        <w:rPr>
          <w:b w:val="0"/>
          <w:bCs w:val="0"/>
          <w:caps w:val="0"/>
          <w:color w:val="auto"/>
          <w:sz w:val="24"/>
          <w:szCs w:val="24"/>
        </w:rPr>
        <w:instrText xml:space="preserve"> TOC \o "1-1" \h \z \u </w:instrText>
      </w:r>
      <w:r>
        <w:rPr>
          <w:b w:val="0"/>
          <w:bCs w:val="0"/>
          <w:caps w:val="0"/>
          <w:color w:val="auto"/>
          <w:sz w:val="24"/>
          <w:szCs w:val="24"/>
        </w:rPr>
        <w:fldChar w:fldCharType="separate"/>
      </w:r>
      <w:r>
        <w:fldChar w:fldCharType="begin"/>
      </w:r>
      <w:r>
        <w:instrText xml:space="preserve"> HYPERLINK \l "_Toc147654215" </w:instrText>
      </w:r>
      <w:r>
        <w:fldChar w:fldCharType="separate"/>
      </w:r>
      <w:r>
        <w:rPr>
          <w:rStyle w:val="18"/>
          <w:rFonts w:ascii="Times New Roman" w:hAnsi="Times New Roman" w:cs="Times New Roman"/>
          <w:b w:val="0"/>
          <w:color w:val="auto"/>
          <w:sz w:val="24"/>
          <w:szCs w:val="24"/>
        </w:rPr>
        <w:t>一、建设项目基本情况</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_Toc147654215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1</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"_Toc147654216" </w:instrText>
      </w:r>
      <w:r>
        <w:fldChar w:fldCharType="separate"/>
      </w:r>
      <w:r>
        <w:rPr>
          <w:rStyle w:val="18"/>
          <w:rFonts w:ascii="Times New Roman" w:hAnsi="Times New Roman" w:cs="Times New Roman"/>
          <w:b w:val="0"/>
          <w:color w:val="auto"/>
          <w:sz w:val="24"/>
          <w:szCs w:val="24"/>
        </w:rPr>
        <w:t>二、建设内容</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_Toc147654216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6</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"_Toc147654217" </w:instrText>
      </w:r>
      <w:r>
        <w:fldChar w:fldCharType="separate"/>
      </w:r>
      <w:r>
        <w:rPr>
          <w:rStyle w:val="18"/>
          <w:rFonts w:ascii="Times New Roman" w:hAnsi="Times New Roman" w:cs="Times New Roman"/>
          <w:b w:val="0"/>
          <w:color w:val="auto"/>
          <w:sz w:val="24"/>
          <w:szCs w:val="24"/>
        </w:rPr>
        <w:t>三、生态环境现状、保护目标及评价标准</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_Toc147654217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18</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"_Toc147654218" </w:instrText>
      </w:r>
      <w:r>
        <w:fldChar w:fldCharType="separate"/>
      </w:r>
      <w:r>
        <w:rPr>
          <w:rStyle w:val="18"/>
          <w:rFonts w:ascii="Times New Roman" w:hAnsi="Times New Roman" w:cs="Times New Roman"/>
          <w:b w:val="0"/>
          <w:color w:val="auto"/>
          <w:sz w:val="24"/>
          <w:szCs w:val="24"/>
        </w:rPr>
        <w:t>四、生态环境影响分析</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_Toc147654218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30</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"_Toc147654219" </w:instrText>
      </w:r>
      <w:r>
        <w:fldChar w:fldCharType="separate"/>
      </w:r>
      <w:r>
        <w:rPr>
          <w:rStyle w:val="18"/>
          <w:rFonts w:ascii="Times New Roman" w:hAnsi="Times New Roman" w:cs="Times New Roman"/>
          <w:b w:val="0"/>
          <w:color w:val="auto"/>
          <w:sz w:val="24"/>
          <w:szCs w:val="24"/>
        </w:rPr>
        <w:t>五、主要生态环境保护措施</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_Toc147654219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42</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"_Toc147654220" </w:instrText>
      </w:r>
      <w:r>
        <w:fldChar w:fldCharType="separate"/>
      </w:r>
      <w:r>
        <w:rPr>
          <w:rStyle w:val="18"/>
          <w:rFonts w:ascii="Times New Roman" w:hAnsi="Times New Roman" w:cs="Times New Roman"/>
          <w:b w:val="0"/>
          <w:color w:val="auto"/>
          <w:sz w:val="24"/>
          <w:szCs w:val="24"/>
        </w:rPr>
        <w:t>六、生态环境保护措施监督检查清单</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_Toc147654220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48</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pStyle w:val="10"/>
        <w:rPr>
          <w:rFonts w:ascii="Times New Roman" w:hAnsi="Times New Roman" w:cs="Times New Roman"/>
          <w:b w:val="0"/>
          <w:bCs w:val="0"/>
          <w:caps w:val="0"/>
          <w:color w:val="auto"/>
          <w:sz w:val="24"/>
          <w:szCs w:val="24"/>
        </w:rPr>
      </w:pPr>
      <w:r>
        <w:fldChar w:fldCharType="begin"/>
      </w:r>
      <w:r>
        <w:instrText xml:space="preserve"> HYPERLINK \l "_Toc147654221" </w:instrText>
      </w:r>
      <w:r>
        <w:fldChar w:fldCharType="separate"/>
      </w:r>
      <w:r>
        <w:rPr>
          <w:rStyle w:val="18"/>
          <w:rFonts w:ascii="Times New Roman" w:hAnsi="Times New Roman" w:cs="Times New Roman"/>
          <w:b w:val="0"/>
          <w:color w:val="auto"/>
          <w:sz w:val="24"/>
          <w:szCs w:val="24"/>
        </w:rPr>
        <w:t>七、结论</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PAGEREF _Toc147654221 \h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51</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fldChar w:fldCharType="end"/>
      </w:r>
    </w:p>
    <w:p>
      <w:pPr>
        <w:ind w:firstLine="0" w:firstLineChars="0"/>
        <w:rPr>
          <w:rFonts w:asciiTheme="minorHAnsi" w:hAnsiTheme="minorHAnsi" w:cstheme="minorHAnsi"/>
          <w:b/>
          <w:bCs/>
          <w:caps/>
          <w:color w:val="auto"/>
          <w:szCs w:val="24"/>
        </w:rPr>
      </w:pPr>
      <w:r>
        <w:rPr>
          <w:rFonts w:asciiTheme="minorHAnsi" w:hAnsiTheme="minorHAnsi" w:cstheme="minorHAnsi"/>
          <w:b/>
          <w:bCs/>
          <w:caps/>
          <w:color w:val="auto"/>
          <w:szCs w:val="24"/>
        </w:rPr>
        <w:fldChar w:fldCharType="end"/>
      </w:r>
    </w:p>
    <w:p>
      <w:pPr>
        <w:ind w:firstLine="0" w:firstLineChars="0"/>
        <w:rPr>
          <w:rFonts w:asciiTheme="minorHAnsi" w:hAnsiTheme="minorHAnsi" w:cstheme="minorHAnsi"/>
          <w:b/>
          <w:bCs/>
          <w:caps/>
          <w:color w:val="auto"/>
          <w:szCs w:val="24"/>
        </w:rPr>
      </w:pPr>
      <w:r>
        <w:rPr>
          <w:rFonts w:hint="eastAsia" w:asciiTheme="minorHAnsi" w:hAnsiTheme="minorHAnsi" w:cstheme="minorHAnsi"/>
          <w:b/>
          <w:bCs/>
          <w:caps/>
          <w:color w:val="auto"/>
          <w:szCs w:val="24"/>
        </w:rPr>
        <w:t>专题：</w:t>
      </w:r>
      <w:r>
        <w:rPr>
          <w:rFonts w:asciiTheme="minorHAnsi" w:hAnsiTheme="minorHAnsi" w:cstheme="minorHAnsi"/>
          <w:bCs/>
          <w:caps/>
          <w:color w:val="auto"/>
          <w:szCs w:val="24"/>
        </w:rPr>
        <w:t>电磁</w:t>
      </w:r>
      <w:r>
        <w:rPr>
          <w:rFonts w:hint="eastAsia" w:asciiTheme="minorHAnsi" w:hAnsiTheme="minorHAnsi" w:cstheme="minorHAnsi"/>
          <w:bCs/>
          <w:caps/>
          <w:color w:val="auto"/>
          <w:szCs w:val="24"/>
        </w:rPr>
        <w:t>环境</w:t>
      </w:r>
      <w:r>
        <w:rPr>
          <w:rFonts w:asciiTheme="minorHAnsi" w:hAnsiTheme="minorHAnsi" w:cstheme="minorHAnsi"/>
          <w:bCs/>
          <w:caps/>
          <w:color w:val="auto"/>
          <w:szCs w:val="24"/>
        </w:rPr>
        <w:t>影响专题</w:t>
      </w:r>
      <w:r>
        <w:rPr>
          <w:rFonts w:hint="eastAsia" w:asciiTheme="minorHAnsi" w:hAnsiTheme="minorHAnsi" w:cstheme="minorHAnsi"/>
          <w:bCs/>
          <w:caps/>
          <w:color w:val="auto"/>
          <w:szCs w:val="24"/>
        </w:rPr>
        <w:t>评价</w:t>
      </w:r>
    </w:p>
    <w:p>
      <w:pPr>
        <w:ind w:firstLine="0" w:firstLineChars="0"/>
        <w:rPr>
          <w:b/>
          <w:color w:val="auto"/>
          <w:szCs w:val="24"/>
        </w:rPr>
      </w:pPr>
    </w:p>
    <w:p>
      <w:pPr>
        <w:ind w:firstLine="0" w:firstLineChars="0"/>
        <w:rPr>
          <w:b/>
          <w:color w:val="auto"/>
          <w:szCs w:val="24"/>
        </w:rPr>
      </w:pPr>
      <w:r>
        <w:rPr>
          <w:rFonts w:hint="eastAsia"/>
          <w:b/>
          <w:color w:val="auto"/>
          <w:szCs w:val="24"/>
        </w:rPr>
        <w:t>附图：</w:t>
      </w:r>
    </w:p>
    <w:p>
      <w:pPr>
        <w:ind w:firstLine="480"/>
        <w:rPr>
          <w:b/>
          <w:color w:val="auto"/>
          <w:szCs w:val="24"/>
        </w:rPr>
      </w:pPr>
      <w:r>
        <w:rPr>
          <w:rFonts w:hint="eastAsia"/>
          <w:color w:val="auto"/>
          <w:szCs w:val="24"/>
        </w:rPr>
        <w:t>附图1 地理位置图</w:t>
      </w:r>
    </w:p>
    <w:p>
      <w:pPr>
        <w:ind w:firstLine="480"/>
        <w:rPr>
          <w:b/>
          <w:color w:val="auto"/>
          <w:szCs w:val="24"/>
        </w:rPr>
      </w:pPr>
      <w:r>
        <w:rPr>
          <w:rFonts w:hint="eastAsia"/>
          <w:color w:val="auto"/>
          <w:szCs w:val="24"/>
        </w:rPr>
        <w:t>附图2 线路路径走向图</w:t>
      </w:r>
    </w:p>
    <w:p>
      <w:pPr>
        <w:ind w:firstLine="480"/>
        <w:rPr>
          <w:b/>
          <w:color w:val="auto"/>
          <w:szCs w:val="24"/>
        </w:rPr>
      </w:pPr>
      <w:r>
        <w:rPr>
          <w:rFonts w:hint="eastAsia"/>
          <w:color w:val="auto"/>
          <w:szCs w:val="24"/>
        </w:rPr>
        <w:t>附图3茶花变电站220kV配电装置电气总平面布置图</w:t>
      </w:r>
    </w:p>
    <w:p>
      <w:pPr>
        <w:ind w:firstLine="480"/>
        <w:rPr>
          <w:color w:val="auto"/>
          <w:szCs w:val="24"/>
        </w:rPr>
      </w:pPr>
      <w:r>
        <w:rPr>
          <w:rFonts w:hint="eastAsia"/>
          <w:color w:val="auto"/>
          <w:szCs w:val="24"/>
        </w:rPr>
        <w:t>附图4 杆型及基础一览图</w:t>
      </w:r>
    </w:p>
    <w:p>
      <w:pPr>
        <w:ind w:firstLine="480"/>
        <w:rPr>
          <w:color w:val="auto"/>
          <w:szCs w:val="24"/>
        </w:rPr>
      </w:pPr>
      <w:r>
        <w:rPr>
          <w:rFonts w:hint="eastAsia"/>
          <w:color w:val="auto"/>
          <w:szCs w:val="24"/>
        </w:rPr>
        <w:t>附图5 环境质量现状监测点位图</w:t>
      </w:r>
    </w:p>
    <w:p>
      <w:pPr>
        <w:ind w:firstLine="480"/>
        <w:rPr>
          <w:color w:val="auto"/>
          <w:szCs w:val="24"/>
        </w:rPr>
      </w:pPr>
      <w:r>
        <w:rPr>
          <w:rFonts w:hint="eastAsia"/>
          <w:color w:val="auto"/>
          <w:szCs w:val="24"/>
        </w:rPr>
        <w:t>附图6 环境保护目标分布图</w:t>
      </w:r>
    </w:p>
    <w:p>
      <w:pPr>
        <w:ind w:firstLine="480"/>
        <w:rPr>
          <w:color w:val="auto"/>
          <w:szCs w:val="24"/>
        </w:rPr>
      </w:pPr>
      <w:r>
        <w:rPr>
          <w:rFonts w:hint="eastAsia"/>
          <w:color w:val="auto"/>
          <w:szCs w:val="24"/>
        </w:rPr>
        <w:t>附图7 防城港市生态功能区划图</w:t>
      </w:r>
    </w:p>
    <w:p>
      <w:pPr>
        <w:ind w:firstLine="0" w:firstLineChars="0"/>
        <w:rPr>
          <w:b/>
          <w:color w:val="auto"/>
          <w:szCs w:val="24"/>
        </w:rPr>
      </w:pPr>
      <w:r>
        <w:rPr>
          <w:rFonts w:hint="eastAsia"/>
          <w:b/>
          <w:color w:val="auto"/>
          <w:szCs w:val="24"/>
        </w:rPr>
        <w:t>附件：</w:t>
      </w:r>
    </w:p>
    <w:p>
      <w:pPr>
        <w:ind w:firstLine="480"/>
        <w:rPr>
          <w:color w:val="auto"/>
          <w:szCs w:val="24"/>
        </w:rPr>
      </w:pPr>
      <w:r>
        <w:rPr>
          <w:rFonts w:hint="eastAsia"/>
          <w:color w:val="auto"/>
          <w:szCs w:val="24"/>
        </w:rPr>
        <w:t>附件1委托书</w:t>
      </w:r>
    </w:p>
    <w:p>
      <w:pPr>
        <w:ind w:firstLine="480"/>
        <w:rPr>
          <w:color w:val="auto"/>
          <w:szCs w:val="24"/>
        </w:rPr>
      </w:pPr>
      <w:r>
        <w:rPr>
          <w:rFonts w:hint="eastAsia"/>
          <w:color w:val="auto"/>
          <w:szCs w:val="24"/>
        </w:rPr>
        <w:t>附件2 防城港大数据和行政审批局关于同意变更华润电力上思在妙100MW农光互补发电项目送出线路工程项目核准的批复</w:t>
      </w:r>
    </w:p>
    <w:p>
      <w:pPr>
        <w:ind w:firstLine="480"/>
        <w:rPr>
          <w:color w:val="auto"/>
          <w:szCs w:val="24"/>
        </w:rPr>
      </w:pPr>
      <w:r>
        <w:rPr>
          <w:rFonts w:hint="eastAsia"/>
          <w:color w:val="auto"/>
          <w:szCs w:val="24"/>
        </w:rPr>
        <w:t>附件3 上思县自然资源局关于华润上思在秒100MW农光互补发电项目送出线路工程项目路径走向复函</w:t>
      </w:r>
    </w:p>
    <w:p>
      <w:pPr>
        <w:ind w:firstLine="480"/>
        <w:rPr>
          <w:color w:val="auto"/>
          <w:szCs w:val="24"/>
        </w:rPr>
      </w:pPr>
      <w:r>
        <w:rPr>
          <w:rFonts w:hint="eastAsia"/>
          <w:color w:val="auto"/>
          <w:szCs w:val="24"/>
        </w:rPr>
        <w:t>附件4 上思县林业局关于华润电力上思在秒100MW农光互补发电项目送出线路工程项目路径走向复函</w:t>
      </w:r>
    </w:p>
    <w:p>
      <w:pPr>
        <w:ind w:firstLine="480"/>
        <w:rPr>
          <w:color w:val="auto"/>
          <w:szCs w:val="24"/>
        </w:rPr>
      </w:pPr>
      <w:r>
        <w:rPr>
          <w:rFonts w:hint="eastAsia"/>
          <w:color w:val="auto"/>
          <w:szCs w:val="24"/>
        </w:rPr>
        <w:t>附件5 上思县水利局关于华润电力上思在秒100MW农光互补发电项目送出线路工程项目路径走向复函</w:t>
      </w:r>
    </w:p>
    <w:p>
      <w:pPr>
        <w:ind w:firstLine="480"/>
        <w:rPr>
          <w:color w:val="auto"/>
          <w:szCs w:val="24"/>
        </w:rPr>
      </w:pPr>
      <w:r>
        <w:rPr>
          <w:rFonts w:hint="eastAsia"/>
          <w:color w:val="auto"/>
          <w:szCs w:val="24"/>
        </w:rPr>
        <w:t>附件6 上思县交通运输局关于华润电力上思在秒100MW农光互补发电项目送出线路工程项目路径走向复函</w:t>
      </w:r>
    </w:p>
    <w:p>
      <w:pPr>
        <w:ind w:firstLine="480"/>
        <w:rPr>
          <w:color w:val="auto"/>
          <w:szCs w:val="24"/>
        </w:rPr>
      </w:pPr>
      <w:r>
        <w:rPr>
          <w:rFonts w:hint="eastAsia"/>
          <w:color w:val="auto"/>
          <w:szCs w:val="24"/>
        </w:rPr>
        <w:t>附件7 上思县文旅局关于华润电力上思在秒100MW农光互补发电项目送出线路工程项目路径走向复函</w:t>
      </w:r>
    </w:p>
    <w:p>
      <w:pPr>
        <w:ind w:firstLine="480"/>
        <w:rPr>
          <w:color w:val="auto"/>
          <w:szCs w:val="24"/>
        </w:rPr>
      </w:pPr>
      <w:r>
        <w:rPr>
          <w:rFonts w:hint="eastAsia"/>
          <w:color w:val="auto"/>
          <w:szCs w:val="24"/>
        </w:rPr>
        <w:t>附件8 上思县生态环境局关于华润电力上思在秒100MW农光互补发电项目送出线路工程项目路径走向复函</w:t>
      </w:r>
    </w:p>
    <w:p>
      <w:pPr>
        <w:ind w:firstLine="480"/>
        <w:rPr>
          <w:color w:val="auto"/>
          <w:szCs w:val="24"/>
        </w:rPr>
      </w:pPr>
      <w:r>
        <w:rPr>
          <w:rFonts w:hint="eastAsia"/>
          <w:color w:val="auto"/>
          <w:szCs w:val="24"/>
        </w:rPr>
        <w:t>附件9 原华润电力上思在秒100MW农光互补发电项目送出线路工程环境影响报告表的批复</w:t>
      </w:r>
    </w:p>
    <w:p>
      <w:pPr>
        <w:ind w:firstLine="480"/>
        <w:rPr>
          <w:color w:val="auto"/>
          <w:szCs w:val="24"/>
        </w:rPr>
      </w:pPr>
      <w:r>
        <w:rPr>
          <w:rFonts w:hint="eastAsia"/>
          <w:color w:val="auto"/>
          <w:szCs w:val="24"/>
        </w:rPr>
        <w:t>附件10 环境质量现状监测报告</w:t>
      </w:r>
    </w:p>
    <w:p>
      <w:pPr>
        <w:ind w:firstLine="482"/>
        <w:rPr>
          <w:b/>
          <w:color w:val="auto"/>
          <w:szCs w:val="24"/>
        </w:rPr>
      </w:pPr>
    </w:p>
    <w:p>
      <w:pPr>
        <w:ind w:firstLine="0" w:firstLineChars="0"/>
        <w:rPr>
          <w:color w:val="auto"/>
          <w:szCs w:val="24"/>
        </w:rPr>
      </w:pPr>
    </w:p>
    <w:p>
      <w:pPr>
        <w:ind w:firstLine="0" w:firstLineChars="0"/>
        <w:rPr>
          <w:color w:val="auto"/>
          <w:szCs w:val="24"/>
        </w:rPr>
        <w:sectPr>
          <w:pgSz w:w="11906" w:h="16838"/>
          <w:pgMar w:top="1440" w:right="1800" w:bottom="1440" w:left="1800" w:header="851" w:footer="992" w:gutter="0"/>
          <w:cols w:space="425" w:num="1"/>
          <w:docGrid w:type="lines" w:linePitch="312" w:charSpace="0"/>
        </w:sectPr>
      </w:pPr>
    </w:p>
    <w:p>
      <w:pPr>
        <w:pStyle w:val="2"/>
        <w:rPr>
          <w:color w:val="auto"/>
        </w:rPr>
      </w:pPr>
      <w:bookmarkStart w:id="1" w:name="_Toc147654116"/>
      <w:bookmarkStart w:id="2" w:name="_Toc147654215"/>
      <w:r>
        <w:rPr>
          <w:rFonts w:hint="eastAsia"/>
          <w:color w:val="auto"/>
        </w:rPr>
        <w:t>一、建设项目基本情况</w:t>
      </w:r>
      <w:bookmarkEnd w:id="1"/>
      <w:bookmarkEnd w:id="2"/>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428"/>
        <w:gridCol w:w="1829"/>
        <w:gridCol w:w="1718"/>
        <w:gridCol w:w="331"/>
        <w:gridCol w:w="2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建设项目名称</w:t>
            </w:r>
          </w:p>
        </w:tc>
        <w:tc>
          <w:tcPr>
            <w:tcW w:w="3882" w:type="pct"/>
            <w:gridSpan w:val="4"/>
            <w:vAlign w:val="center"/>
          </w:tcPr>
          <w:p>
            <w:pPr>
              <w:spacing w:line="240" w:lineRule="auto"/>
              <w:ind w:firstLine="0" w:firstLineChars="0"/>
              <w:jc w:val="center"/>
              <w:rPr>
                <w:rFonts w:cs="Times New Roman"/>
                <w:color w:val="auto"/>
                <w:szCs w:val="24"/>
              </w:rPr>
            </w:pPr>
            <w:r>
              <w:rPr>
                <w:rFonts w:hint="eastAsia" w:cs="Times New Roman"/>
                <w:color w:val="auto"/>
                <w:szCs w:val="24"/>
              </w:rPr>
              <w:t>华润电力上思在妙100MW农光互补发电项目送出线路工程（变更）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项目代码</w:t>
            </w:r>
          </w:p>
        </w:tc>
        <w:tc>
          <w:tcPr>
            <w:tcW w:w="3882" w:type="pct"/>
            <w:gridSpan w:val="4"/>
            <w:vAlign w:val="center"/>
          </w:tcPr>
          <w:p>
            <w:pPr>
              <w:spacing w:line="240" w:lineRule="auto"/>
              <w:ind w:firstLine="0" w:firstLineChars="0"/>
              <w:jc w:val="center"/>
              <w:rPr>
                <w:rFonts w:cs="Times New Roman"/>
                <w:color w:val="auto"/>
                <w:szCs w:val="24"/>
              </w:rPr>
            </w:pPr>
            <w:r>
              <w:rPr>
                <w:rFonts w:hint="eastAsia" w:cs="Times New Roman"/>
                <w:color w:val="auto"/>
                <w:szCs w:val="24"/>
              </w:rPr>
              <w:t>2506-450600-89-01-382804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建设单位联系人</w:t>
            </w:r>
          </w:p>
        </w:tc>
        <w:tc>
          <w:tcPr>
            <w:tcW w:w="1049" w:type="pct"/>
            <w:vAlign w:val="center"/>
          </w:tcPr>
          <w:p>
            <w:pPr>
              <w:spacing w:line="240" w:lineRule="auto"/>
              <w:ind w:firstLine="0" w:firstLineChars="0"/>
              <w:jc w:val="center"/>
              <w:rPr>
                <w:rFonts w:cs="Times New Roman"/>
                <w:color w:val="auto"/>
                <w:szCs w:val="24"/>
              </w:rPr>
            </w:pPr>
            <w:r>
              <w:rPr>
                <w:rFonts w:cs="Times New Roman"/>
                <w:color w:val="auto"/>
                <w:szCs w:val="24"/>
              </w:rPr>
              <w:t>陈伟</w:t>
            </w:r>
          </w:p>
        </w:tc>
        <w:tc>
          <w:tcPr>
            <w:tcW w:w="1175"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联系方式</w:t>
            </w:r>
          </w:p>
        </w:tc>
        <w:tc>
          <w:tcPr>
            <w:tcW w:w="1658"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15977033726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建设地点</w:t>
            </w:r>
          </w:p>
        </w:tc>
        <w:tc>
          <w:tcPr>
            <w:tcW w:w="3882" w:type="pct"/>
            <w:gridSpan w:val="4"/>
            <w:vAlign w:val="center"/>
          </w:tcPr>
          <w:p>
            <w:pPr>
              <w:spacing w:line="240" w:lineRule="auto"/>
              <w:ind w:firstLine="0" w:firstLineChars="0"/>
              <w:jc w:val="center"/>
              <w:rPr>
                <w:rFonts w:cs="Times New Roman"/>
                <w:color w:val="auto"/>
                <w:szCs w:val="24"/>
              </w:rPr>
            </w:pPr>
            <w:r>
              <w:rPr>
                <w:rFonts w:hint="eastAsia" w:cs="Times New Roman"/>
                <w:color w:val="auto"/>
                <w:szCs w:val="24"/>
              </w:rPr>
              <w:t>防城港市上思县叫安镇、思阳镇、那琴乡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地理坐标</w:t>
            </w:r>
          </w:p>
        </w:tc>
        <w:tc>
          <w:tcPr>
            <w:tcW w:w="3882" w:type="pct"/>
            <w:gridSpan w:val="4"/>
            <w:vAlign w:val="center"/>
          </w:tcPr>
          <w:p>
            <w:pPr>
              <w:spacing w:line="240" w:lineRule="auto"/>
              <w:ind w:firstLine="0" w:firstLineChars="0"/>
              <w:rPr>
                <w:rFonts w:cs="Times New Roman"/>
                <w:color w:val="auto"/>
                <w:szCs w:val="24"/>
              </w:rPr>
            </w:pPr>
            <w:r>
              <w:rPr>
                <w:rFonts w:hint="eastAsia" w:cs="Times New Roman"/>
                <w:color w:val="auto"/>
                <w:szCs w:val="24"/>
              </w:rPr>
              <w:t>起点</w:t>
            </w:r>
            <w:r>
              <w:rPr>
                <w:rFonts w:cs="Times New Roman"/>
                <w:color w:val="auto"/>
                <w:szCs w:val="24"/>
              </w:rPr>
              <w:t>：经度</w:t>
            </w:r>
            <w:r>
              <w:rPr>
                <w:rFonts w:hint="eastAsia" w:cs="Times New Roman"/>
                <w:color w:val="auto"/>
                <w:szCs w:val="24"/>
              </w:rPr>
              <w:t>107度57分4.1153秒，纬度21度58分8.4199秒</w:t>
            </w:r>
            <w:r>
              <w:rPr>
                <w:rFonts w:cs="Times New Roman"/>
                <w:color w:val="auto"/>
                <w:szCs w:val="24"/>
              </w:rPr>
              <w:t>；</w:t>
            </w:r>
          </w:p>
          <w:p>
            <w:pPr>
              <w:spacing w:line="240" w:lineRule="auto"/>
              <w:ind w:firstLine="0" w:firstLineChars="0"/>
              <w:rPr>
                <w:rFonts w:cs="Times New Roman"/>
                <w:color w:val="auto"/>
                <w:szCs w:val="24"/>
              </w:rPr>
            </w:pPr>
            <w:r>
              <w:rPr>
                <w:rFonts w:hint="eastAsia" w:cs="Times New Roman"/>
                <w:color w:val="auto"/>
                <w:szCs w:val="24"/>
              </w:rPr>
              <w:t>终点</w:t>
            </w:r>
            <w:r>
              <w:rPr>
                <w:rFonts w:cs="Times New Roman"/>
                <w:color w:val="auto"/>
                <w:szCs w:val="24"/>
              </w:rPr>
              <w:t>：经度</w:t>
            </w:r>
            <w:r>
              <w:rPr>
                <w:rFonts w:hint="eastAsia" w:cs="Times New Roman"/>
                <w:color w:val="auto"/>
                <w:szCs w:val="24"/>
              </w:rPr>
              <w:t>108度0分43.583秒</w:t>
            </w:r>
            <w:r>
              <w:rPr>
                <w:rFonts w:cs="Times New Roman"/>
                <w:color w:val="auto"/>
                <w:szCs w:val="24"/>
              </w:rPr>
              <w:t>，纬度</w:t>
            </w:r>
            <w:r>
              <w:rPr>
                <w:rFonts w:hint="eastAsia" w:cs="Times New Roman"/>
                <w:color w:val="auto"/>
                <w:szCs w:val="24"/>
              </w:rPr>
              <w:t>22度11分14.542秒。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建设项目</w:t>
            </w:r>
          </w:p>
          <w:p>
            <w:pPr>
              <w:spacing w:line="240" w:lineRule="auto"/>
              <w:ind w:firstLine="0" w:firstLineChars="0"/>
              <w:jc w:val="center"/>
              <w:rPr>
                <w:rFonts w:cs="Times New Roman"/>
                <w:color w:val="auto"/>
                <w:szCs w:val="24"/>
              </w:rPr>
            </w:pPr>
            <w:r>
              <w:rPr>
                <w:rFonts w:hint="eastAsia" w:cs="Times New Roman"/>
                <w:color w:val="auto"/>
                <w:szCs w:val="24"/>
              </w:rPr>
              <w:t>行业类别</w:t>
            </w:r>
          </w:p>
        </w:tc>
        <w:tc>
          <w:tcPr>
            <w:tcW w:w="1049"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55-161输变电工程</w:t>
            </w:r>
          </w:p>
        </w:tc>
        <w:tc>
          <w:tcPr>
            <w:tcW w:w="985"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用地面积（m</w:t>
            </w:r>
            <w:r>
              <w:rPr>
                <w:rFonts w:hint="eastAsia" w:cs="Times New Roman"/>
                <w:color w:val="auto"/>
                <w:szCs w:val="24"/>
                <w:vertAlign w:val="superscript"/>
              </w:rPr>
              <w:t>2</w:t>
            </w:r>
            <w:r>
              <w:rPr>
                <w:rFonts w:hint="eastAsia" w:cs="Times New Roman"/>
                <w:color w:val="auto"/>
                <w:szCs w:val="24"/>
              </w:rPr>
              <w:t>）/长度（km）</w:t>
            </w:r>
          </w:p>
        </w:tc>
        <w:tc>
          <w:tcPr>
            <w:tcW w:w="1849"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23043m</w:t>
            </w:r>
            <w:r>
              <w:rPr>
                <w:rFonts w:hint="eastAsia" w:cs="Times New Roman"/>
                <w:color w:val="auto"/>
                <w:szCs w:val="24"/>
                <w:vertAlign w:val="superscript"/>
              </w:rPr>
              <w:t>2</w:t>
            </w:r>
            <w:r>
              <w:rPr>
                <w:rFonts w:hint="eastAsia" w:cs="Times New Roman"/>
                <w:color w:val="auto"/>
                <w:szCs w:val="24"/>
              </w:rPr>
              <w:t>，37.8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建设性质</w:t>
            </w:r>
          </w:p>
        </w:tc>
        <w:tc>
          <w:tcPr>
            <w:tcW w:w="1049" w:type="pct"/>
            <w:vAlign w:val="center"/>
          </w:tcPr>
          <w:p>
            <w:pPr>
              <w:spacing w:line="240" w:lineRule="auto"/>
              <w:ind w:firstLine="0" w:firstLineChars="0"/>
              <w:rPr>
                <w:rFonts w:cs="Times New Roman"/>
                <w:color w:val="auto"/>
                <w:szCs w:val="24"/>
              </w:rPr>
            </w:pPr>
            <w:r>
              <w:rPr>
                <w:rFonts w:hint="eastAsia" w:ascii="MS Gothic" w:hAnsi="MS Gothic" w:eastAsia="MS Gothic" w:cs="MS Gothic"/>
                <w:color w:val="auto"/>
                <w:szCs w:val="24"/>
              </w:rPr>
              <w:t>☑</w:t>
            </w:r>
            <w:r>
              <w:rPr>
                <w:rFonts w:cs="Times New Roman"/>
                <w:color w:val="auto"/>
                <w:szCs w:val="24"/>
              </w:rPr>
              <w:t>新建（迁建）</w:t>
            </w:r>
          </w:p>
          <w:p>
            <w:pPr>
              <w:spacing w:line="240" w:lineRule="auto"/>
              <w:ind w:firstLine="0" w:firstLineChars="0"/>
              <w:rPr>
                <w:rFonts w:cs="Times New Roman"/>
                <w:color w:val="auto"/>
                <w:szCs w:val="24"/>
              </w:rPr>
            </w:pPr>
            <w:r>
              <w:rPr>
                <w:rFonts w:hint="eastAsia" w:cs="Times New Roman"/>
                <w:color w:val="auto"/>
                <w:szCs w:val="24"/>
              </w:rPr>
              <w:t>□改建</w:t>
            </w:r>
          </w:p>
          <w:p>
            <w:pPr>
              <w:spacing w:line="240" w:lineRule="auto"/>
              <w:ind w:firstLine="0" w:firstLineChars="0"/>
              <w:rPr>
                <w:rFonts w:cs="Times New Roman"/>
                <w:color w:val="auto"/>
                <w:szCs w:val="24"/>
              </w:rPr>
            </w:pPr>
            <w:r>
              <w:rPr>
                <w:rFonts w:hint="eastAsia" w:cs="Times New Roman"/>
                <w:color w:val="auto"/>
                <w:szCs w:val="24"/>
              </w:rPr>
              <w:t>□扩建</w:t>
            </w:r>
          </w:p>
          <w:p>
            <w:pPr>
              <w:spacing w:line="240" w:lineRule="auto"/>
              <w:ind w:firstLine="0" w:firstLineChars="0"/>
              <w:rPr>
                <w:rFonts w:cs="Times New Roman"/>
                <w:color w:val="auto"/>
                <w:szCs w:val="24"/>
              </w:rPr>
            </w:pPr>
            <w:r>
              <w:rPr>
                <w:rFonts w:hint="eastAsia" w:cs="Times New Roman"/>
                <w:color w:val="auto"/>
                <w:szCs w:val="24"/>
              </w:rPr>
              <w:t>□技术改造</w:t>
            </w:r>
          </w:p>
        </w:tc>
        <w:tc>
          <w:tcPr>
            <w:tcW w:w="985"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建设项目申报情况</w:t>
            </w:r>
          </w:p>
        </w:tc>
        <w:tc>
          <w:tcPr>
            <w:tcW w:w="1849" w:type="pct"/>
            <w:gridSpan w:val="2"/>
            <w:vAlign w:val="center"/>
          </w:tcPr>
          <w:p>
            <w:pPr>
              <w:spacing w:line="240" w:lineRule="auto"/>
              <w:ind w:firstLine="0" w:firstLineChars="0"/>
              <w:rPr>
                <w:rFonts w:cs="Times New Roman"/>
                <w:color w:val="auto"/>
                <w:szCs w:val="24"/>
              </w:rPr>
            </w:pPr>
            <w:r>
              <w:rPr>
                <w:rFonts w:hint="eastAsia" w:cs="Times New Roman"/>
                <w:color w:val="auto"/>
                <w:szCs w:val="24"/>
              </w:rPr>
              <w:t>□</w:t>
            </w:r>
            <w:r>
              <w:rPr>
                <w:rFonts w:cs="Times New Roman"/>
                <w:color w:val="auto"/>
                <w:szCs w:val="24"/>
              </w:rPr>
              <w:t>首次申报项目</w:t>
            </w:r>
          </w:p>
          <w:p>
            <w:pPr>
              <w:spacing w:line="240" w:lineRule="auto"/>
              <w:ind w:firstLine="0" w:firstLineChars="0"/>
              <w:rPr>
                <w:rFonts w:cs="Times New Roman"/>
                <w:color w:val="auto"/>
                <w:szCs w:val="24"/>
              </w:rPr>
            </w:pPr>
            <w:r>
              <w:rPr>
                <w:rFonts w:hint="eastAsia" w:cs="Times New Roman"/>
                <w:color w:val="auto"/>
                <w:szCs w:val="24"/>
              </w:rPr>
              <w:t>□不予批准后再次申报项目</w:t>
            </w:r>
          </w:p>
          <w:p>
            <w:pPr>
              <w:spacing w:line="240" w:lineRule="auto"/>
              <w:ind w:firstLine="0" w:firstLineChars="0"/>
              <w:rPr>
                <w:rFonts w:cs="Times New Roman"/>
                <w:color w:val="auto"/>
                <w:szCs w:val="24"/>
              </w:rPr>
            </w:pPr>
            <w:r>
              <w:rPr>
                <w:rFonts w:hint="eastAsia" w:cs="Times New Roman"/>
                <w:color w:val="auto"/>
                <w:szCs w:val="24"/>
              </w:rPr>
              <w:t>□超五年重新审核项目</w:t>
            </w:r>
          </w:p>
          <w:p>
            <w:pPr>
              <w:spacing w:line="240" w:lineRule="auto"/>
              <w:ind w:firstLine="0" w:firstLineChars="0"/>
              <w:rPr>
                <w:rFonts w:cs="Times New Roman"/>
                <w:color w:val="auto"/>
                <w:szCs w:val="24"/>
              </w:rPr>
            </w:pPr>
            <w:r>
              <w:rPr>
                <w:rFonts w:hint="eastAsia" w:ascii="MS Gothic" w:hAnsi="MS Gothic" w:eastAsia="MS Gothic" w:cs="MS Gothic"/>
                <w:color w:val="auto"/>
                <w:szCs w:val="24"/>
              </w:rPr>
              <w:t>☑</w:t>
            </w:r>
            <w:r>
              <w:rPr>
                <w:rFonts w:hint="eastAsia" w:cs="Times New Roman"/>
                <w:color w:val="auto"/>
                <w:szCs w:val="24"/>
              </w:rPr>
              <w:t>重大变动重新申报项目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项目审批（核准</w:t>
            </w:r>
            <w:r>
              <w:rPr>
                <w:rFonts w:hint="eastAsia" w:cs="Times New Roman"/>
                <w:color w:val="auto"/>
                <w:szCs w:val="24"/>
              </w:rPr>
              <w:t>/备案</w:t>
            </w:r>
            <w:r>
              <w:rPr>
                <w:rFonts w:cs="Times New Roman"/>
                <w:color w:val="auto"/>
                <w:szCs w:val="24"/>
              </w:rPr>
              <w:t>）部门</w:t>
            </w:r>
          </w:p>
        </w:tc>
        <w:tc>
          <w:tcPr>
            <w:tcW w:w="1049" w:type="pct"/>
            <w:vAlign w:val="center"/>
          </w:tcPr>
          <w:p>
            <w:pPr>
              <w:spacing w:line="240" w:lineRule="auto"/>
              <w:ind w:firstLine="0" w:firstLineChars="0"/>
              <w:jc w:val="center"/>
              <w:rPr>
                <w:rFonts w:cs="Times New Roman"/>
                <w:color w:val="auto"/>
                <w:szCs w:val="24"/>
              </w:rPr>
            </w:pPr>
            <w:r>
              <w:rPr>
                <w:rFonts w:cs="Times New Roman"/>
                <w:color w:val="auto"/>
                <w:szCs w:val="24"/>
              </w:rPr>
              <w:t>防城港市大数据和行政审批局</w:t>
            </w:r>
          </w:p>
        </w:tc>
        <w:tc>
          <w:tcPr>
            <w:tcW w:w="985" w:type="pct"/>
            <w:vAlign w:val="center"/>
          </w:tcPr>
          <w:p>
            <w:pPr>
              <w:spacing w:line="240" w:lineRule="auto"/>
              <w:ind w:firstLine="0" w:firstLineChars="0"/>
              <w:jc w:val="center"/>
              <w:rPr>
                <w:rFonts w:cs="Times New Roman"/>
                <w:color w:val="auto"/>
                <w:szCs w:val="24"/>
              </w:rPr>
            </w:pPr>
            <w:r>
              <w:rPr>
                <w:rFonts w:cs="Times New Roman"/>
                <w:color w:val="auto"/>
                <w:szCs w:val="24"/>
              </w:rPr>
              <w:t>项目审批（核准</w:t>
            </w:r>
            <w:r>
              <w:rPr>
                <w:rFonts w:hint="eastAsia" w:cs="Times New Roman"/>
                <w:color w:val="auto"/>
                <w:szCs w:val="24"/>
              </w:rPr>
              <w:t>/备案</w:t>
            </w:r>
            <w:r>
              <w:rPr>
                <w:rFonts w:cs="Times New Roman"/>
                <w:color w:val="auto"/>
                <w:szCs w:val="24"/>
              </w:rPr>
              <w:t>）文号</w:t>
            </w:r>
          </w:p>
        </w:tc>
        <w:tc>
          <w:tcPr>
            <w:tcW w:w="1849"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防审批投资</w:t>
            </w:r>
            <w:r>
              <w:rPr>
                <w:rFonts w:hint="eastAsia" w:cs="Times New Roman" w:asciiTheme="minorEastAsia" w:hAnsiTheme="minorEastAsia"/>
                <w:color w:val="auto"/>
                <w:szCs w:val="24"/>
              </w:rPr>
              <w:t>〔</w:t>
            </w:r>
            <w:r>
              <w:rPr>
                <w:rFonts w:hint="eastAsia" w:cs="Times New Roman"/>
                <w:color w:val="auto"/>
                <w:szCs w:val="24"/>
              </w:rPr>
              <w:t>2025</w:t>
            </w:r>
            <w:r>
              <w:rPr>
                <w:rFonts w:hint="eastAsia" w:ascii="宋体" w:hAnsi="宋体" w:eastAsia="宋体" w:cs="Times New Roman"/>
                <w:color w:val="auto"/>
                <w:szCs w:val="24"/>
              </w:rPr>
              <w:t>〕</w:t>
            </w:r>
            <w:r>
              <w:rPr>
                <w:rFonts w:hint="eastAsia" w:cs="Times New Roman"/>
                <w:color w:val="auto"/>
                <w:szCs w:val="24"/>
              </w:rPr>
              <w:t>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总投资（万元）</w:t>
            </w:r>
          </w:p>
        </w:tc>
        <w:tc>
          <w:tcPr>
            <w:tcW w:w="1049"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7094</w:t>
            </w:r>
          </w:p>
        </w:tc>
        <w:tc>
          <w:tcPr>
            <w:tcW w:w="985" w:type="pct"/>
            <w:vAlign w:val="center"/>
          </w:tcPr>
          <w:p>
            <w:pPr>
              <w:spacing w:line="240" w:lineRule="auto"/>
              <w:ind w:firstLine="0" w:firstLineChars="0"/>
              <w:jc w:val="center"/>
              <w:rPr>
                <w:rFonts w:cs="Times New Roman"/>
                <w:color w:val="auto"/>
                <w:szCs w:val="24"/>
              </w:rPr>
            </w:pPr>
            <w:r>
              <w:rPr>
                <w:rFonts w:cs="Times New Roman"/>
                <w:color w:val="auto"/>
                <w:szCs w:val="24"/>
              </w:rPr>
              <w:t>环保投资</w:t>
            </w:r>
          </w:p>
          <w:p>
            <w:pPr>
              <w:spacing w:line="240" w:lineRule="auto"/>
              <w:ind w:firstLine="0" w:firstLineChars="0"/>
              <w:jc w:val="center"/>
              <w:rPr>
                <w:rFonts w:cs="Times New Roman"/>
                <w:color w:val="auto"/>
                <w:szCs w:val="24"/>
              </w:rPr>
            </w:pPr>
            <w:r>
              <w:rPr>
                <w:rFonts w:cs="Times New Roman"/>
                <w:color w:val="auto"/>
                <w:szCs w:val="24"/>
              </w:rPr>
              <w:t>（万元）</w:t>
            </w:r>
          </w:p>
        </w:tc>
        <w:tc>
          <w:tcPr>
            <w:tcW w:w="1849"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环保投资占（</w:t>
            </w:r>
            <w:r>
              <w:rPr>
                <w:rFonts w:hint="eastAsia" w:cs="Times New Roman"/>
                <w:color w:val="auto"/>
                <w:szCs w:val="24"/>
              </w:rPr>
              <w:t>%</w:t>
            </w:r>
            <w:r>
              <w:rPr>
                <w:rFonts w:cs="Times New Roman"/>
                <w:color w:val="auto"/>
                <w:szCs w:val="24"/>
              </w:rPr>
              <w:t>）</w:t>
            </w:r>
          </w:p>
        </w:tc>
        <w:tc>
          <w:tcPr>
            <w:tcW w:w="1049" w:type="pct"/>
            <w:vAlign w:val="center"/>
          </w:tcPr>
          <w:p>
            <w:pPr>
              <w:spacing w:line="240" w:lineRule="auto"/>
              <w:ind w:firstLine="0" w:firstLineChars="0"/>
              <w:jc w:val="center"/>
              <w:rPr>
                <w:rFonts w:cs="Times New Roman"/>
                <w:color w:val="auto"/>
                <w:szCs w:val="24"/>
              </w:rPr>
            </w:pPr>
            <w:r>
              <w:rPr>
                <w:rFonts w:hint="eastAsia" w:cs="Times New Roman"/>
                <w:color w:val="auto"/>
                <w:szCs w:val="24"/>
              </w:rPr>
              <w:t>0.58</w:t>
            </w:r>
          </w:p>
        </w:tc>
        <w:tc>
          <w:tcPr>
            <w:tcW w:w="985" w:type="pct"/>
            <w:vAlign w:val="center"/>
          </w:tcPr>
          <w:p>
            <w:pPr>
              <w:spacing w:line="240" w:lineRule="auto"/>
              <w:ind w:firstLine="0" w:firstLineChars="0"/>
              <w:jc w:val="center"/>
              <w:rPr>
                <w:rFonts w:cs="Times New Roman"/>
                <w:color w:val="auto"/>
                <w:szCs w:val="24"/>
              </w:rPr>
            </w:pPr>
            <w:r>
              <w:rPr>
                <w:rFonts w:cs="Times New Roman"/>
                <w:color w:val="auto"/>
                <w:szCs w:val="24"/>
              </w:rPr>
              <w:t>施工工期</w:t>
            </w:r>
          </w:p>
        </w:tc>
        <w:tc>
          <w:tcPr>
            <w:tcW w:w="1849" w:type="pct"/>
            <w:gridSpan w:val="2"/>
            <w:vAlign w:val="center"/>
          </w:tcPr>
          <w:p>
            <w:pPr>
              <w:spacing w:line="240" w:lineRule="auto"/>
              <w:ind w:firstLine="0" w:firstLineChars="0"/>
              <w:jc w:val="center"/>
              <w:rPr>
                <w:rFonts w:cs="Times New Roman"/>
                <w:color w:val="auto"/>
                <w:szCs w:val="24"/>
              </w:rPr>
            </w:pPr>
            <w:r>
              <w:rPr>
                <w:rFonts w:hint="eastAsia" w:cs="Times New Roman"/>
                <w:color w:val="auto"/>
                <w:szCs w:val="24"/>
              </w:rPr>
              <w:t>13个月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是否开工建设</w:t>
            </w:r>
          </w:p>
        </w:tc>
        <w:tc>
          <w:tcPr>
            <w:tcW w:w="3882" w:type="pct"/>
            <w:gridSpan w:val="4"/>
            <w:vAlign w:val="center"/>
          </w:tcPr>
          <w:p>
            <w:pPr>
              <w:spacing w:line="240" w:lineRule="auto"/>
              <w:ind w:firstLine="0" w:firstLineChars="0"/>
              <w:rPr>
                <w:rFonts w:cs="Times New Roman"/>
                <w:color w:val="auto"/>
                <w:sz w:val="21"/>
                <w:szCs w:val="21"/>
              </w:rPr>
            </w:pPr>
            <w:r>
              <w:rPr>
                <w:rFonts w:hint="eastAsia" w:ascii="MS Gothic" w:hAnsi="MS Gothic" w:eastAsia="MS Gothic" w:cs="MS Gothic"/>
                <w:color w:val="auto"/>
                <w:szCs w:val="24"/>
              </w:rPr>
              <w:t>☑</w:t>
            </w:r>
            <w:r>
              <w:rPr>
                <w:rFonts w:cs="Times New Roman"/>
                <w:color w:val="auto"/>
                <w:sz w:val="21"/>
                <w:szCs w:val="21"/>
              </w:rPr>
              <w:t>否</w:t>
            </w:r>
          </w:p>
          <w:p>
            <w:pPr>
              <w:spacing w:line="240" w:lineRule="auto"/>
              <w:ind w:firstLine="0" w:firstLineChars="0"/>
              <w:rPr>
                <w:rFonts w:cs="Times New Roman"/>
                <w:color w:val="auto"/>
                <w:sz w:val="21"/>
                <w:szCs w:val="21"/>
                <w:u w:val="single"/>
              </w:rPr>
            </w:pPr>
            <w:r>
              <w:rPr>
                <w:rFonts w:hint="eastAsia" w:cs="Times New Roman"/>
                <w:color w:val="auto"/>
                <w:szCs w:val="24"/>
              </w:rPr>
              <w:t>□</w:t>
            </w:r>
            <w:r>
              <w:rPr>
                <w:rFonts w:hint="eastAsia" w:cs="Times New Roman"/>
                <w:color w:val="auto"/>
                <w:sz w:val="21"/>
                <w:szCs w:val="21"/>
              </w:rPr>
              <w:t>是：</w:t>
            </w:r>
            <w:r>
              <w:rPr>
                <w:rFonts w:hint="eastAsia" w:cs="Times New Roman"/>
                <w:color w:val="auto"/>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专项评价设置</w:t>
            </w:r>
          </w:p>
          <w:p>
            <w:pPr>
              <w:spacing w:line="240" w:lineRule="auto"/>
              <w:ind w:firstLine="0" w:firstLineChars="0"/>
              <w:jc w:val="center"/>
              <w:rPr>
                <w:rFonts w:cs="Times New Roman"/>
                <w:color w:val="auto"/>
                <w:szCs w:val="24"/>
              </w:rPr>
            </w:pPr>
            <w:r>
              <w:rPr>
                <w:rFonts w:cs="Times New Roman"/>
                <w:color w:val="auto"/>
                <w:szCs w:val="24"/>
              </w:rPr>
              <w:t>情况</w:t>
            </w:r>
          </w:p>
        </w:tc>
        <w:tc>
          <w:tcPr>
            <w:tcW w:w="3882" w:type="pct"/>
            <w:gridSpan w:val="4"/>
            <w:vAlign w:val="center"/>
          </w:tcPr>
          <w:p>
            <w:pPr>
              <w:spacing w:line="240" w:lineRule="auto"/>
              <w:ind w:firstLine="0" w:firstLineChars="0"/>
              <w:rPr>
                <w:rFonts w:cs="Times New Roman"/>
                <w:color w:val="auto"/>
                <w:szCs w:val="24"/>
              </w:rPr>
            </w:pPr>
            <w:r>
              <w:rPr>
                <w:rFonts w:hint="eastAsia" w:cs="Times New Roman"/>
                <w:color w:val="auto"/>
                <w:szCs w:val="24"/>
              </w:rPr>
              <w:t>根据《环境影响评价技术导则输变电》（HJ24-2020）应设电磁环境影响专题评价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规划情况</w:t>
            </w:r>
          </w:p>
        </w:tc>
        <w:tc>
          <w:tcPr>
            <w:tcW w:w="3882" w:type="pct"/>
            <w:gridSpan w:val="4"/>
            <w:vAlign w:val="center"/>
          </w:tcPr>
          <w:p>
            <w:pPr>
              <w:spacing w:line="240" w:lineRule="auto"/>
              <w:ind w:firstLine="0" w:firstLineChars="0"/>
              <w:rPr>
                <w:rFonts w:cs="Times New Roman"/>
                <w:color w:val="auto"/>
                <w:szCs w:val="24"/>
              </w:rPr>
            </w:pPr>
            <w:r>
              <w:rPr>
                <w:rFonts w:cs="Times New Roman"/>
                <w:color w:val="auto"/>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规划环境影响</w:t>
            </w:r>
          </w:p>
          <w:p>
            <w:pPr>
              <w:spacing w:line="240" w:lineRule="auto"/>
              <w:ind w:firstLine="0" w:firstLineChars="0"/>
              <w:jc w:val="center"/>
              <w:rPr>
                <w:rFonts w:cs="Times New Roman"/>
                <w:color w:val="auto"/>
                <w:szCs w:val="24"/>
              </w:rPr>
            </w:pPr>
            <w:r>
              <w:rPr>
                <w:rFonts w:cs="Times New Roman"/>
                <w:color w:val="auto"/>
                <w:szCs w:val="24"/>
              </w:rPr>
              <w:t>评价情况</w:t>
            </w:r>
          </w:p>
        </w:tc>
        <w:tc>
          <w:tcPr>
            <w:tcW w:w="3882" w:type="pct"/>
            <w:gridSpan w:val="4"/>
            <w:vAlign w:val="center"/>
          </w:tcPr>
          <w:p>
            <w:pPr>
              <w:spacing w:line="240" w:lineRule="auto"/>
              <w:ind w:firstLine="0" w:firstLineChars="0"/>
              <w:rPr>
                <w:rFonts w:cs="Times New Roman"/>
                <w:color w:val="auto"/>
                <w:szCs w:val="24"/>
              </w:rPr>
            </w:pPr>
            <w:r>
              <w:rPr>
                <w:rFonts w:cs="Times New Roman"/>
                <w:color w:val="auto"/>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gridSpan w:val="2"/>
            <w:vAlign w:val="center"/>
          </w:tcPr>
          <w:p>
            <w:pPr>
              <w:spacing w:line="240" w:lineRule="auto"/>
              <w:ind w:firstLine="0" w:firstLineChars="0"/>
              <w:jc w:val="center"/>
              <w:rPr>
                <w:rFonts w:cs="Times New Roman"/>
                <w:color w:val="auto"/>
                <w:szCs w:val="24"/>
              </w:rPr>
            </w:pPr>
            <w:r>
              <w:rPr>
                <w:rFonts w:cs="Times New Roman"/>
                <w:color w:val="auto"/>
                <w:szCs w:val="24"/>
              </w:rPr>
              <w:t>规划及规划环境影响评价</w:t>
            </w:r>
            <w:r>
              <w:rPr>
                <w:rFonts w:hint="eastAsia" w:cs="Times New Roman"/>
                <w:color w:val="auto"/>
                <w:szCs w:val="24"/>
              </w:rPr>
              <w:t>符合</w:t>
            </w:r>
            <w:r>
              <w:rPr>
                <w:rFonts w:cs="Times New Roman"/>
                <w:color w:val="auto"/>
                <w:szCs w:val="24"/>
              </w:rPr>
              <w:t>性分析</w:t>
            </w:r>
          </w:p>
        </w:tc>
        <w:tc>
          <w:tcPr>
            <w:tcW w:w="3882" w:type="pct"/>
            <w:gridSpan w:val="4"/>
            <w:vAlign w:val="center"/>
          </w:tcPr>
          <w:p>
            <w:pPr>
              <w:spacing w:line="240" w:lineRule="auto"/>
              <w:ind w:firstLine="0" w:firstLineChars="0"/>
              <w:rPr>
                <w:rFonts w:cs="Times New Roman"/>
                <w:color w:val="auto"/>
                <w:szCs w:val="24"/>
              </w:rPr>
            </w:pPr>
            <w:r>
              <w:rPr>
                <w:rFonts w:cs="Times New Roman"/>
                <w:color w:val="auto"/>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vAlign w:val="center"/>
          </w:tcPr>
          <w:p>
            <w:pPr>
              <w:spacing w:line="240" w:lineRule="auto"/>
              <w:ind w:firstLine="0" w:firstLineChars="0"/>
              <w:jc w:val="center"/>
              <w:rPr>
                <w:rFonts w:cs="Times New Roman"/>
                <w:color w:val="auto"/>
                <w:szCs w:val="24"/>
              </w:rPr>
            </w:pPr>
            <w:r>
              <w:rPr>
                <w:rFonts w:cs="Times New Roman"/>
                <w:color w:val="auto"/>
                <w:szCs w:val="24"/>
              </w:rPr>
              <w:t>其他符合性分析</w:t>
            </w:r>
          </w:p>
        </w:tc>
        <w:tc>
          <w:tcPr>
            <w:tcW w:w="4701" w:type="pct"/>
            <w:gridSpan w:val="5"/>
            <w:vAlign w:val="center"/>
          </w:tcPr>
          <w:p>
            <w:pPr>
              <w:ind w:left="480" w:firstLine="0" w:firstLineChars="0"/>
              <w:rPr>
                <w:rFonts w:cs="Times New Roman"/>
                <w:b/>
                <w:color w:val="auto"/>
                <w:szCs w:val="24"/>
              </w:rPr>
            </w:pPr>
            <w:r>
              <w:rPr>
                <w:rFonts w:hint="eastAsia" w:cs="Times New Roman"/>
                <w:b/>
                <w:color w:val="auto"/>
                <w:szCs w:val="24"/>
              </w:rPr>
              <w:t>1、与产业政策符合性分析</w:t>
            </w:r>
          </w:p>
          <w:p>
            <w:pPr>
              <w:ind w:left="480" w:firstLine="0" w:firstLineChars="0"/>
              <w:rPr>
                <w:rFonts w:cs="Times New Roman"/>
                <w:b/>
                <w:color w:val="auto"/>
                <w:szCs w:val="24"/>
              </w:rPr>
            </w:pPr>
            <w:r>
              <w:rPr>
                <w:rFonts w:cs="Times New Roman"/>
                <w:b/>
                <w:color w:val="auto"/>
                <w:szCs w:val="24"/>
              </w:rPr>
              <w:t>（</w:t>
            </w:r>
            <w:r>
              <w:rPr>
                <w:rFonts w:hint="eastAsia" w:cs="Times New Roman"/>
                <w:b/>
                <w:color w:val="auto"/>
                <w:szCs w:val="24"/>
              </w:rPr>
              <w:t>1</w:t>
            </w:r>
            <w:r>
              <w:rPr>
                <w:rFonts w:cs="Times New Roman"/>
                <w:b/>
                <w:color w:val="auto"/>
                <w:szCs w:val="24"/>
              </w:rPr>
              <w:t>）与</w:t>
            </w:r>
            <w:r>
              <w:rPr>
                <w:rFonts w:hint="eastAsia" w:cs="Times New Roman"/>
                <w:b/>
                <w:color w:val="auto"/>
                <w:szCs w:val="24"/>
              </w:rPr>
              <w:t>《产业结构调整指导目录》相符性分析</w:t>
            </w:r>
          </w:p>
          <w:p>
            <w:pPr>
              <w:ind w:firstLine="480"/>
              <w:rPr>
                <w:rFonts w:cs="Times New Roman"/>
                <w:color w:val="auto"/>
                <w:szCs w:val="24"/>
              </w:rPr>
            </w:pPr>
            <w:r>
              <w:rPr>
                <w:rFonts w:hint="eastAsia" w:cs="Times New Roman"/>
                <w:color w:val="auto"/>
                <w:szCs w:val="24"/>
              </w:rPr>
              <w:t>根据《产业结构调整指导目录（2024年本）》，本项目为 “电力基础设施建设”类，属于鼓励类，项目已取得防城港市大数据和行政审批局项目核准的批复（</w:t>
            </w:r>
            <w:r>
              <w:rPr>
                <w:rFonts w:hint="eastAsia" w:cs="Times New Roman" w:asciiTheme="minorEastAsia" w:hAnsiTheme="minorEastAsia"/>
                <w:color w:val="auto"/>
                <w:szCs w:val="24"/>
              </w:rPr>
              <w:t>〔</w:t>
            </w:r>
            <w:r>
              <w:rPr>
                <w:rFonts w:hint="eastAsia" w:cs="Times New Roman"/>
                <w:color w:val="auto"/>
                <w:szCs w:val="24"/>
              </w:rPr>
              <w:t>2025</w:t>
            </w:r>
            <w:r>
              <w:rPr>
                <w:rFonts w:hint="eastAsia" w:ascii="宋体" w:hAnsi="宋体" w:eastAsia="宋体" w:cs="Times New Roman"/>
                <w:color w:val="auto"/>
                <w:szCs w:val="24"/>
              </w:rPr>
              <w:t>〕</w:t>
            </w:r>
            <w:r>
              <w:rPr>
                <w:rFonts w:hint="eastAsia" w:cs="Times New Roman"/>
                <w:szCs w:val="24"/>
              </w:rPr>
              <w:t>33号）</w:t>
            </w:r>
            <w:r>
              <w:rPr>
                <w:rFonts w:hint="eastAsia" w:cs="Times New Roman"/>
                <w:color w:val="auto"/>
                <w:szCs w:val="24"/>
              </w:rPr>
              <w:t>（详见附件2），项目建设符合国家产业政策要求。</w:t>
            </w:r>
          </w:p>
          <w:p>
            <w:pPr>
              <w:ind w:firstLine="482"/>
              <w:rPr>
                <w:rFonts w:cs="Times New Roman"/>
                <w:b/>
                <w:color w:val="auto"/>
                <w:szCs w:val="24"/>
              </w:rPr>
            </w:pPr>
            <w:r>
              <w:rPr>
                <w:rFonts w:cs="Times New Roman"/>
                <w:b/>
                <w:color w:val="auto"/>
                <w:szCs w:val="24"/>
              </w:rPr>
              <w:t>（</w:t>
            </w:r>
            <w:r>
              <w:rPr>
                <w:rFonts w:hint="eastAsia" w:cs="Times New Roman"/>
                <w:b/>
                <w:color w:val="auto"/>
                <w:szCs w:val="24"/>
              </w:rPr>
              <w:t>2</w:t>
            </w:r>
            <w:r>
              <w:rPr>
                <w:rFonts w:cs="Times New Roman"/>
                <w:b/>
                <w:color w:val="auto"/>
                <w:szCs w:val="24"/>
              </w:rPr>
              <w:t>）与上思县国家重点生态功能区产业准入负面清单相符性分析</w:t>
            </w:r>
          </w:p>
          <w:p>
            <w:pPr>
              <w:ind w:firstLine="480"/>
              <w:rPr>
                <w:rFonts w:cs="Times New Roman"/>
                <w:color w:val="auto"/>
                <w:szCs w:val="24"/>
              </w:rPr>
            </w:pPr>
            <w:r>
              <w:rPr>
                <w:rFonts w:hint="eastAsia" w:cs="Times New Roman"/>
                <w:color w:val="auto"/>
                <w:szCs w:val="24"/>
              </w:rPr>
              <w:t>根据《广西壮族自治区重点生态功能区县产业准入负面清单调整方案》，</w:t>
            </w:r>
          </w:p>
          <w:p>
            <w:pPr>
              <w:ind w:firstLine="0" w:firstLineChars="0"/>
              <w:rPr>
                <w:rFonts w:cs="Times New Roman"/>
                <w:color w:val="auto"/>
                <w:szCs w:val="24"/>
              </w:rPr>
            </w:pPr>
            <w:r>
              <w:rPr>
                <w:rFonts w:hint="eastAsia" w:cs="Times New Roman"/>
                <w:color w:val="auto"/>
                <w:szCs w:val="24"/>
              </w:rPr>
              <w:t>本项目不属于上思县国家重点生态功能区产业准入负面清单里禁止类、限制类，项目允许建设。</w:t>
            </w:r>
          </w:p>
          <w:p>
            <w:pPr>
              <w:ind w:firstLine="482"/>
              <w:rPr>
                <w:rFonts w:cs="Times New Roman"/>
                <w:b/>
                <w:color w:val="auto"/>
                <w:szCs w:val="24"/>
              </w:rPr>
            </w:pPr>
            <w:r>
              <w:rPr>
                <w:rFonts w:hint="eastAsia" w:cs="Times New Roman"/>
                <w:b/>
                <w:color w:val="auto"/>
                <w:szCs w:val="24"/>
              </w:rPr>
              <w:t>2 、与《广西生态环境保护 “ 十四五” 规划》相符性分析</w:t>
            </w:r>
          </w:p>
          <w:p>
            <w:pPr>
              <w:ind w:firstLine="480"/>
              <w:rPr>
                <w:rFonts w:cs="Times New Roman"/>
                <w:color w:val="auto"/>
                <w:szCs w:val="24"/>
              </w:rPr>
            </w:pPr>
            <w:r>
              <w:rPr>
                <w:rFonts w:hint="eastAsia" w:cs="Times New Roman"/>
                <w:color w:val="auto"/>
                <w:szCs w:val="24"/>
              </w:rPr>
              <w:t>根据《广西壮族自治区人民政府办公厅关于印发广西生态环境保护“十四五”规划的通知》（桂政办发〔2021〕145号），“继续推动能源结构优化...积极开发陆上风电和光伏发电，规模化、集约化发展海上风电，……推进电力源网荷储一体化和多能互补发展，加快构建以新能源为主体、适应高比例可再生能源发展的新型电力系统。”本项目为光伏发电项目高压输电送出线路工程，符合《广西生态环境保护“十四五”规划》的要求。</w:t>
            </w:r>
          </w:p>
          <w:p>
            <w:pPr>
              <w:ind w:firstLine="482"/>
              <w:rPr>
                <w:rFonts w:cs="Times New Roman"/>
                <w:b/>
                <w:color w:val="auto"/>
                <w:szCs w:val="24"/>
              </w:rPr>
            </w:pPr>
            <w:r>
              <w:rPr>
                <w:rFonts w:hint="eastAsia" w:cs="Times New Roman"/>
                <w:b/>
                <w:color w:val="auto"/>
                <w:szCs w:val="24"/>
              </w:rPr>
              <w:t>3、与《防城港市生态环境保护“十四五”规划》符合性分析</w:t>
            </w:r>
          </w:p>
          <w:p>
            <w:pPr>
              <w:ind w:firstLine="480"/>
              <w:rPr>
                <w:rFonts w:cs="Times New Roman"/>
                <w:color w:val="auto"/>
                <w:szCs w:val="24"/>
              </w:rPr>
            </w:pPr>
            <w:r>
              <w:rPr>
                <w:rFonts w:hint="eastAsia" w:cs="Times New Roman"/>
                <w:color w:val="auto"/>
                <w:szCs w:val="24"/>
              </w:rPr>
              <w:t>根据《防城港市人民政府办公室关于印发防城港市生态环境保护“十四五”规划的通知》（防政办发〔2022〕11号），规划 中“第三章第四节：大力发展非化石能源电力，安全稳妥发展先进核电，推动防城港红沙核电二期及三期项目尽快建成。大力发展可再生能源，推动发展分布式光伏发电，利用荒山荒地、盐碱地、滩涂、水面等未利用地及采矿废弃地，探索灵活的土地供应方式，推进各种类型的光伏电站建设，鼓励农光互补、渔光互补、风光互补等光伏发电，加快门崖岭风电场、滩营风电场等陆上风电项目建设……加强城乡配电网改造，加快推进增量配电试点改革工作，建设智能电网和分布式能源。优化电力输送通道布局，重点规划优化核电、煤电等重大电源项目输电线路通道，推进主城区网架布局“网格化”，加速智能变电站、智能配电房等智能电网技术应用，建设满足新型城镇化用电需求的城市配电网。”本项目为风力发电项目高压送出线路工程，符合《防城港市生态环境保护“十四五”规划》。</w:t>
            </w:r>
          </w:p>
          <w:p>
            <w:pPr>
              <w:autoSpaceDE w:val="0"/>
              <w:autoSpaceDN w:val="0"/>
              <w:adjustRightInd w:val="0"/>
              <w:snapToGrid w:val="0"/>
              <w:ind w:firstLine="482"/>
              <w:rPr>
                <w:rFonts w:eastAsia="宋体" w:cs="Times New Roman"/>
                <w:b/>
                <w:color w:val="auto"/>
                <w:kern w:val="0"/>
                <w:szCs w:val="24"/>
              </w:rPr>
            </w:pPr>
            <w:r>
              <w:rPr>
                <w:rFonts w:eastAsia="宋体" w:cs="Times New Roman"/>
                <w:b/>
                <w:color w:val="auto"/>
                <w:kern w:val="0"/>
                <w:szCs w:val="24"/>
              </w:rPr>
              <w:t>4、与《输变电建设项目环境保护技术要求》符合性分析</w:t>
            </w:r>
          </w:p>
          <w:p>
            <w:pPr>
              <w:autoSpaceDE w:val="0"/>
              <w:autoSpaceDN w:val="0"/>
              <w:adjustRightInd w:val="0"/>
              <w:snapToGrid w:val="0"/>
              <w:ind w:firstLine="480"/>
              <w:rPr>
                <w:rFonts w:eastAsia="宋体" w:cs="Times New Roman"/>
                <w:color w:val="auto"/>
                <w:kern w:val="0"/>
                <w:szCs w:val="24"/>
              </w:rPr>
            </w:pPr>
            <w:r>
              <w:rPr>
                <w:rFonts w:eastAsia="宋体" w:cs="Times New Roman"/>
                <w:color w:val="auto"/>
                <w:kern w:val="0"/>
                <w:szCs w:val="24"/>
              </w:rPr>
              <w:t>项目与《输变电建设项目环境保技术要求》（HJ1113-2020）符合性分析见下表：</w:t>
            </w:r>
          </w:p>
          <w:p>
            <w:pPr>
              <w:autoSpaceDE w:val="0"/>
              <w:autoSpaceDN w:val="0"/>
              <w:adjustRightInd w:val="0"/>
              <w:snapToGrid w:val="0"/>
              <w:ind w:firstLine="480"/>
              <w:rPr>
                <w:rFonts w:eastAsia="宋体" w:cs="Times New Roman"/>
                <w:color w:val="auto"/>
                <w:kern w:val="0"/>
                <w:szCs w:val="24"/>
              </w:rPr>
            </w:pPr>
          </w:p>
          <w:p>
            <w:pPr>
              <w:autoSpaceDE w:val="0"/>
              <w:autoSpaceDN w:val="0"/>
              <w:adjustRightInd w:val="0"/>
              <w:snapToGrid w:val="0"/>
              <w:ind w:firstLine="480"/>
              <w:rPr>
                <w:rFonts w:eastAsia="宋体" w:cs="Times New Roman"/>
                <w:color w:val="auto"/>
                <w:kern w:val="0"/>
                <w:szCs w:val="24"/>
              </w:rPr>
            </w:pPr>
          </w:p>
          <w:p>
            <w:pPr>
              <w:autoSpaceDE w:val="0"/>
              <w:autoSpaceDN w:val="0"/>
              <w:adjustRightInd w:val="0"/>
              <w:snapToGrid w:val="0"/>
              <w:ind w:firstLine="480"/>
              <w:rPr>
                <w:rFonts w:eastAsia="宋体" w:cs="Times New Roman"/>
                <w:color w:val="auto"/>
                <w:kern w:val="0"/>
                <w:szCs w:val="24"/>
              </w:rPr>
            </w:pPr>
          </w:p>
          <w:p>
            <w:pPr>
              <w:autoSpaceDE w:val="0"/>
              <w:autoSpaceDN w:val="0"/>
              <w:adjustRightInd w:val="0"/>
              <w:snapToGrid w:val="0"/>
              <w:spacing w:line="240" w:lineRule="auto"/>
              <w:ind w:firstLine="422"/>
              <w:jc w:val="center"/>
              <w:rPr>
                <w:rFonts w:eastAsia="宋体" w:cs="Times New Roman"/>
                <w:b/>
                <w:color w:val="auto"/>
                <w:kern w:val="0"/>
                <w:sz w:val="21"/>
                <w:szCs w:val="21"/>
              </w:rPr>
            </w:pPr>
            <w:r>
              <w:rPr>
                <w:rFonts w:eastAsia="宋体" w:cs="Times New Roman"/>
                <w:b/>
                <w:color w:val="auto"/>
                <w:kern w:val="0"/>
                <w:sz w:val="21"/>
                <w:szCs w:val="21"/>
              </w:rPr>
              <w:t>表1-1 项目与输变电建设项目环境保护要求符合性分析</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9"/>
              <w:gridCol w:w="3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输变电建设项目环境保护要求</w:t>
                  </w:r>
                </w:p>
              </w:tc>
              <w:tc>
                <w:tcPr>
                  <w:tcW w:w="2486" w:type="pc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本项目情况相符性分析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输变电建设项目选址选线应符合生态保护红线管控要求，避让自然保护区、饮用水水源保护区等环境敏感区。</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w:t>
                  </w:r>
                  <w:r>
                    <w:rPr>
                      <w:rFonts w:hint="eastAsia" w:eastAsia="宋体" w:cs="Times New Roman"/>
                      <w:color w:val="auto"/>
                      <w:kern w:val="0"/>
                      <w:sz w:val="21"/>
                      <w:szCs w:val="21"/>
                    </w:rPr>
                    <w:t>不在生态保护红线、饮用水源保护区设立塔基，采用无人机牵引导线（无害化）施工方式，符合生态保护红线管控要求，选址避让自然保护区、饮用水源保护区等敏感区域。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户外变电工程及规划架空进出线选址选线时，应关注以居住、医疗卫生、文化教育、科研、行政办公等为主要功能的区域，采取综合措施，减少电磁和声环境影响。</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w:t>
                  </w:r>
                  <w:r>
                    <w:rPr>
                      <w:rFonts w:hint="eastAsia" w:eastAsia="宋体" w:cs="Times New Roman"/>
                      <w:color w:val="auto"/>
                      <w:kern w:val="0"/>
                      <w:sz w:val="21"/>
                      <w:szCs w:val="21"/>
                    </w:rPr>
                    <w:t>架空</w:t>
                  </w:r>
                  <w:r>
                    <w:rPr>
                      <w:rFonts w:eastAsia="宋体" w:cs="Times New Roman"/>
                      <w:color w:val="auto"/>
                      <w:kern w:val="0"/>
                      <w:sz w:val="21"/>
                      <w:szCs w:val="21"/>
                    </w:rPr>
                    <w:t>线路选线已避开以居住、医疗卫生、文化教育、科研、行政办公等区域</w:t>
                  </w: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同一走廊内的多回输电线路，宜采取同塔多回架设、并行架设等形式，减少新开辟走廊，优化线路走廊间距</w:t>
                  </w:r>
                  <w:r>
                    <w:rPr>
                      <w:rFonts w:hint="eastAsia" w:eastAsia="宋体" w:cs="Times New Roman"/>
                      <w:color w:val="auto"/>
                      <w:kern w:val="0"/>
                      <w:sz w:val="21"/>
                      <w:szCs w:val="21"/>
                    </w:rPr>
                    <w:t>离</w:t>
                  </w:r>
                  <w:r>
                    <w:rPr>
                      <w:rFonts w:eastAsia="宋体" w:cs="Times New Roman"/>
                      <w:color w:val="auto"/>
                      <w:kern w:val="0"/>
                      <w:sz w:val="21"/>
                      <w:szCs w:val="21"/>
                    </w:rPr>
                    <w:t>降低环境影响。</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w:t>
                  </w:r>
                  <w:r>
                    <w:rPr>
                      <w:rFonts w:hint="eastAsia" w:eastAsia="宋体" w:cs="Times New Roman"/>
                      <w:color w:val="auto"/>
                      <w:kern w:val="0"/>
                      <w:sz w:val="21"/>
                      <w:szCs w:val="21"/>
                    </w:rPr>
                    <w:t>本</w:t>
                  </w:r>
                  <w:r>
                    <w:rPr>
                      <w:rFonts w:eastAsia="宋体" w:cs="Times New Roman"/>
                      <w:color w:val="auto"/>
                      <w:kern w:val="0"/>
                      <w:sz w:val="21"/>
                      <w:szCs w:val="21"/>
                    </w:rPr>
                    <w:t>项目为单回路输电线路。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输电线路宜避让集中林区，以减少林木砍伐，保护生态环境。</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符合，项目输电线路尽量避开集中林区，减少林木砍伐，保护生态环境。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进入自然保护区的输电线路，应按照 HJ 19 的要求开展生态现状调查，避让保护对象的集中分布区。</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w:t>
                  </w:r>
                  <w:r>
                    <w:rPr>
                      <w:rFonts w:hint="eastAsia" w:eastAsia="宋体" w:cs="Times New Roman"/>
                      <w:color w:val="auto"/>
                      <w:kern w:val="0"/>
                      <w:sz w:val="21"/>
                      <w:szCs w:val="21"/>
                    </w:rPr>
                    <w:t>项目不涉及自然保护区</w:t>
                  </w:r>
                  <w:r>
                    <w:rPr>
                      <w:rFonts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输电线路进入自然保护区实验区、饮用水水源二级保护区等环境敏感区时，应采取塔基定位避让、减少进入长度、控制导线高度等环境保护措施，减少对环境保护对象的不利影响。</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符合。项目不在饮用水源二级保护区等敏感区域设立塔基，已采取避让、减少导线跨越长度、控制导线高度，采取无人机牵引导线（无害化施工工艺）等措施，减少对环境不利影响。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输电线路设计应因地制宜选择线路型式、架设高度、杆塔塔型、导线参数、相序布置等，</w:t>
                  </w:r>
                  <w:r>
                    <w:rPr>
                      <w:rFonts w:hint="eastAsia" w:eastAsia="宋体" w:cs="Times New Roman"/>
                      <w:color w:val="auto"/>
                      <w:kern w:val="0"/>
                      <w:sz w:val="21"/>
                      <w:szCs w:val="21"/>
                    </w:rPr>
                    <w:t>减</w:t>
                  </w:r>
                  <w:r>
                    <w:rPr>
                      <w:rFonts w:eastAsia="宋体" w:cs="Times New Roman"/>
                      <w:color w:val="auto"/>
                      <w:kern w:val="0"/>
                      <w:sz w:val="21"/>
                      <w:szCs w:val="21"/>
                    </w:rPr>
                    <w:t>少电磁环境影响。</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符合。项目输电线路因地制宜选择线路型式、架设高度、杆塔塔型、导线参数、相序布置等，减少电磁环境影响。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架空输电线路经过电磁环境敏感目标时，应采取避让或增加导线对地高度等措施，减</w:t>
                  </w:r>
                  <w:r>
                    <w:rPr>
                      <w:rFonts w:hint="eastAsia" w:eastAsia="宋体" w:cs="Times New Roman"/>
                      <w:color w:val="auto"/>
                      <w:kern w:val="0"/>
                      <w:sz w:val="21"/>
                      <w:szCs w:val="21"/>
                    </w:rPr>
                    <w:t>少</w:t>
                  </w:r>
                  <w:r>
                    <w:rPr>
                      <w:rFonts w:eastAsia="宋体" w:cs="Times New Roman"/>
                      <w:color w:val="auto"/>
                      <w:kern w:val="0"/>
                      <w:sz w:val="21"/>
                      <w:szCs w:val="21"/>
                    </w:rPr>
                    <w:t>电磁环境影响。</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符合。项目输电线路已采取避让措施</w:t>
                  </w:r>
                  <w:r>
                    <w:rPr>
                      <w:rFonts w:hint="eastAsia" w:eastAsia="宋体" w:cs="Times New Roman"/>
                      <w:color w:val="auto"/>
                      <w:kern w:val="0"/>
                      <w:sz w:val="21"/>
                      <w:szCs w:val="21"/>
                    </w:rPr>
                    <w:t>及</w:t>
                  </w:r>
                  <w:r>
                    <w:rPr>
                      <w:rFonts w:eastAsia="宋体" w:cs="Times New Roman"/>
                      <w:color w:val="auto"/>
                      <w:kern w:val="0"/>
                      <w:sz w:val="21"/>
                      <w:szCs w:val="21"/>
                    </w:rPr>
                    <w:t>增加导线对地高度等措施。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输电线路应因地制宜合理选择塔基基础，在山丘区应采用全方位长短腿与不等高基础设计，以减少土石方开挖。输电线路无法避让集中林区时，应采取控制导线高度设</w:t>
                  </w:r>
                  <w:r>
                    <w:rPr>
                      <w:rFonts w:hint="eastAsia" w:eastAsia="宋体" w:cs="Times New Roman"/>
                      <w:color w:val="auto"/>
                      <w:kern w:val="0"/>
                      <w:sz w:val="21"/>
                      <w:szCs w:val="21"/>
                    </w:rPr>
                    <w:t>计</w:t>
                  </w:r>
                  <w:r>
                    <w:rPr>
                      <w:rFonts w:eastAsia="宋体" w:cs="Times New Roman"/>
                      <w:color w:val="auto"/>
                      <w:kern w:val="0"/>
                      <w:sz w:val="21"/>
                      <w:szCs w:val="21"/>
                    </w:rPr>
                    <w:t>，以减少林木砍伐，保护生态环境。</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符合。项目输电线路因地选择</w:t>
                  </w:r>
                  <w:r>
                    <w:rPr>
                      <w:rFonts w:eastAsia="宋体" w:cs="Times New Roman"/>
                      <w:kern w:val="0"/>
                      <w:sz w:val="21"/>
                      <w:szCs w:val="21"/>
                    </w:rPr>
                    <w:t>掏挖基础、挖孔</w:t>
                  </w:r>
                  <w:r>
                    <w:rPr>
                      <w:rFonts w:hint="eastAsia" w:eastAsia="宋体" w:cs="Times New Roman"/>
                      <w:kern w:val="0"/>
                      <w:sz w:val="21"/>
                      <w:szCs w:val="21"/>
                    </w:rPr>
                    <w:t>桩</w:t>
                  </w:r>
                  <w:r>
                    <w:rPr>
                      <w:rFonts w:eastAsia="宋体" w:cs="Times New Roman"/>
                      <w:kern w:val="0"/>
                      <w:sz w:val="21"/>
                      <w:szCs w:val="21"/>
                    </w:rPr>
                    <w:t>基础、板式基础</w:t>
                  </w:r>
                  <w:r>
                    <w:rPr>
                      <w:rFonts w:eastAsia="宋体" w:cs="Times New Roman"/>
                      <w:color w:val="auto"/>
                      <w:kern w:val="0"/>
                      <w:sz w:val="21"/>
                      <w:szCs w:val="21"/>
                    </w:rPr>
                    <w:t>，在山丘区采用全方位长短腿与不等高基础设计，减少土方开挖。经过林区时，采取抬高导线高度，减少林木砍伐，保护生态环境。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输变电建设项目临时占地，应因地制宜进行土地功能恢复设计。</w:t>
                  </w:r>
                </w:p>
              </w:tc>
              <w:tc>
                <w:tcPr>
                  <w:tcW w:w="2486" w:type="pct"/>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符合。项目输电线路临时施工道路和牵张场等临时占地，施工结束后进行土地功能恢复。</w:t>
                  </w:r>
                </w:p>
              </w:tc>
            </w:tr>
          </w:tbl>
          <w:p>
            <w:pPr>
              <w:autoSpaceDE w:val="0"/>
              <w:autoSpaceDN w:val="0"/>
              <w:adjustRightInd w:val="0"/>
              <w:snapToGrid w:val="0"/>
              <w:ind w:firstLine="480"/>
              <w:rPr>
                <w:rFonts w:eastAsia="宋体" w:cs="Times New Roman"/>
                <w:color w:val="auto"/>
                <w:kern w:val="0"/>
                <w:szCs w:val="24"/>
              </w:rPr>
            </w:pPr>
            <w:r>
              <w:rPr>
                <w:rFonts w:eastAsia="宋体" w:cs="Times New Roman"/>
                <w:color w:val="auto"/>
                <w:kern w:val="0"/>
                <w:szCs w:val="24"/>
              </w:rPr>
              <w:t>经过对比分析，项目输电线路符合《输变电建设项目环境保护技术要求》的相关要求。</w:t>
            </w:r>
          </w:p>
          <w:p>
            <w:pPr>
              <w:ind w:firstLine="482"/>
              <w:rPr>
                <w:rFonts w:cs="Times New Roman"/>
                <w:b/>
                <w:color w:val="auto"/>
                <w:szCs w:val="24"/>
              </w:rPr>
            </w:pPr>
            <w:r>
              <w:rPr>
                <w:rFonts w:hint="eastAsia" w:cs="Times New Roman"/>
                <w:b/>
                <w:color w:val="auto"/>
                <w:szCs w:val="24"/>
              </w:rPr>
              <w:t>5、与《</w:t>
            </w:r>
            <w:bookmarkStart w:id="3" w:name="OLE_LINK4"/>
            <w:r>
              <w:rPr>
                <w:rFonts w:hint="eastAsia" w:cs="Times New Roman"/>
                <w:b/>
                <w:color w:val="auto"/>
                <w:szCs w:val="24"/>
              </w:rPr>
              <w:t>自然资源部生态环境部国家林业和草原局关于加强生态保护红线管理的通知（试行）</w:t>
            </w:r>
            <w:bookmarkEnd w:id="3"/>
            <w:r>
              <w:rPr>
                <w:rFonts w:hint="eastAsia" w:cs="Times New Roman"/>
                <w:b/>
                <w:color w:val="auto"/>
                <w:szCs w:val="24"/>
              </w:rPr>
              <w:t>》符合性分析</w:t>
            </w:r>
          </w:p>
          <w:p>
            <w:pPr>
              <w:ind w:firstLine="480"/>
              <w:rPr>
                <w:rFonts w:cs="Times New Roman"/>
                <w:color w:val="auto"/>
                <w:szCs w:val="24"/>
              </w:rPr>
            </w:pPr>
            <w:r>
              <w:rPr>
                <w:rFonts w:hint="eastAsia" w:cs="Times New Roman"/>
                <w:color w:val="auto"/>
                <w:szCs w:val="24"/>
              </w:rPr>
              <w:t>本项目不在生态保护红线、风景名胜区、饮用水源保护区等范围内设立塔基，不涉及占用永久基本农田，项目属于输变电线性基础设施，不属于开发性、生产性建设活动，项目建设活动符合《自然资源部生态环境部国家林业和草原局关于加强生态保护红线管理的通知（试行）》（自然资发﹝2022﹞142号）。</w:t>
            </w:r>
          </w:p>
          <w:p>
            <w:pPr>
              <w:ind w:firstLine="482"/>
              <w:rPr>
                <w:rFonts w:cs="Times New Roman"/>
                <w:b/>
                <w:color w:val="auto"/>
                <w:szCs w:val="24"/>
              </w:rPr>
            </w:pPr>
            <w:r>
              <w:rPr>
                <w:rFonts w:hint="eastAsia" w:cs="Times New Roman"/>
                <w:b/>
                <w:color w:val="auto"/>
                <w:szCs w:val="24"/>
              </w:rPr>
              <w:t>6、与《广西生态保护红线监管办法（试行）》符合性分析</w:t>
            </w:r>
          </w:p>
          <w:p>
            <w:pPr>
              <w:ind w:firstLine="480"/>
              <w:rPr>
                <w:rFonts w:cs="Times New Roman"/>
                <w:color w:val="auto"/>
                <w:szCs w:val="24"/>
              </w:rPr>
            </w:pPr>
            <w:r>
              <w:rPr>
                <w:rFonts w:hint="eastAsia" w:cs="Times New Roman"/>
                <w:color w:val="auto"/>
                <w:szCs w:val="24"/>
              </w:rPr>
              <w:t>项目不在生态保护红线内自然保护区、重要湿地、风景名胜区、饮用水源保护区等设立塔基，不涉及占用永久基本农田，跨越生态保护红线及饮用水源保护区导线牵引采用无人机挂线牵引方式，施工人员及施工机械均不进入生态保护红线及饮用水源保护区内，属于无害化施工，项目建设活动符合《广西生态保护红线监管办法（试行）》（桂自然资规</w:t>
            </w:r>
            <w:r>
              <w:rPr>
                <w:rFonts w:hint="eastAsia" w:cs="Times New Roman" w:asciiTheme="minorEastAsia" w:hAnsiTheme="minorEastAsia"/>
                <w:color w:val="auto"/>
                <w:szCs w:val="24"/>
              </w:rPr>
              <w:t>〔</w:t>
            </w:r>
            <w:r>
              <w:rPr>
                <w:rFonts w:hint="eastAsia" w:cs="Times New Roman"/>
                <w:color w:val="auto"/>
                <w:szCs w:val="24"/>
              </w:rPr>
              <w:t>2023</w:t>
            </w:r>
            <w:r>
              <w:rPr>
                <w:rFonts w:hint="eastAsia" w:ascii="宋体" w:hAnsi="宋体" w:eastAsia="宋体" w:cs="Times New Roman"/>
                <w:color w:val="auto"/>
                <w:szCs w:val="24"/>
              </w:rPr>
              <w:t>〕</w:t>
            </w:r>
            <w:r>
              <w:rPr>
                <w:rFonts w:hint="eastAsia" w:cs="Times New Roman"/>
                <w:color w:val="auto"/>
                <w:szCs w:val="24"/>
              </w:rPr>
              <w:t>4号）。</w:t>
            </w:r>
          </w:p>
          <w:p>
            <w:pPr>
              <w:ind w:firstLine="482"/>
              <w:rPr>
                <w:rFonts w:cs="Times New Roman"/>
                <w:b/>
                <w:color w:val="auto"/>
                <w:szCs w:val="24"/>
              </w:rPr>
            </w:pPr>
            <w:r>
              <w:rPr>
                <w:rFonts w:hint="eastAsia" w:cs="Times New Roman"/>
                <w:b/>
                <w:color w:val="auto"/>
                <w:szCs w:val="24"/>
              </w:rPr>
              <w:t>7、项目临时用地合理性分析</w:t>
            </w:r>
          </w:p>
          <w:p>
            <w:pPr>
              <w:ind w:firstLine="480"/>
              <w:rPr>
                <w:rFonts w:cs="Times New Roman"/>
                <w:color w:val="auto"/>
                <w:szCs w:val="24"/>
              </w:rPr>
            </w:pPr>
            <w:r>
              <w:rPr>
                <w:rFonts w:hint="eastAsia" w:cs="Times New Roman"/>
                <w:color w:val="auto"/>
                <w:szCs w:val="24"/>
              </w:rPr>
              <w:t>根据自然资源部《关于规范临时用地管理的通知》（自然资规〔2021〕2号），建设项目施工、地质勘查使用临时用地时应坚持“用多少、批多少、占多少、恢复多少”，尽量不占或者少占耕地。临时用地使用期限一般不超过两年。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项目施工期限为</w:t>
            </w:r>
            <w:r>
              <w:rPr>
                <w:rFonts w:hint="eastAsia" w:cs="Times New Roman"/>
                <w:szCs w:val="24"/>
              </w:rPr>
              <w:t>18个</w:t>
            </w:r>
            <w:r>
              <w:rPr>
                <w:rFonts w:hint="eastAsia" w:cs="Times New Roman"/>
                <w:color w:val="auto"/>
                <w:szCs w:val="24"/>
              </w:rPr>
              <w:t>月，根据施工需要牵张场、临时便道合理占用临时用地，用地面积适宜，不扩大临时用地范围，节约用地，项目施工结束后根据占地类型复垦为原地类。因此，项目临时用地符合《关于规范临时用地管理的通知》（自然资规〔2021〕2号）要求。</w:t>
            </w:r>
          </w:p>
          <w:p>
            <w:pPr>
              <w:ind w:firstLine="482"/>
              <w:rPr>
                <w:rFonts w:cs="Times New Roman"/>
                <w:b/>
                <w:color w:val="auto"/>
                <w:szCs w:val="24"/>
              </w:rPr>
            </w:pPr>
            <w:r>
              <w:rPr>
                <w:rFonts w:hint="eastAsia" w:cs="Times New Roman"/>
                <w:b/>
                <w:color w:val="auto"/>
                <w:szCs w:val="24"/>
              </w:rPr>
              <w:t>8、生态环境管控单元符合性分析</w:t>
            </w:r>
          </w:p>
          <w:p>
            <w:pPr>
              <w:ind w:firstLine="480"/>
              <w:rPr>
                <w:rFonts w:cs="Times New Roman"/>
                <w:color w:val="auto"/>
                <w:szCs w:val="24"/>
              </w:rPr>
            </w:pPr>
            <w:r>
              <w:rPr>
                <w:rFonts w:hint="eastAsia" w:cs="Times New Roman"/>
                <w:color w:val="auto"/>
                <w:szCs w:val="24"/>
              </w:rPr>
              <w:t>本项目位于防城港市上思县，通过“广西生态云建设项目准入研判系统”研判，本项目涉及6个环境管控单元，具体详见下表</w:t>
            </w:r>
            <w:r>
              <w:rPr>
                <w:rFonts w:cs="Times New Roman"/>
                <w:color w:val="auto"/>
                <w:szCs w:val="24"/>
              </w:rPr>
              <w:t>1-</w:t>
            </w:r>
            <w:r>
              <w:rPr>
                <w:rFonts w:hint="eastAsia" w:cs="Times New Roman"/>
                <w:color w:val="auto"/>
                <w:szCs w:val="24"/>
              </w:rPr>
              <w:t>2。</w:t>
            </w: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spacing w:line="240" w:lineRule="auto"/>
              <w:ind w:firstLine="0" w:firstLineChars="0"/>
              <w:jc w:val="center"/>
              <w:rPr>
                <w:rFonts w:cs="Times New Roman"/>
                <w:b/>
                <w:color w:val="auto"/>
                <w:szCs w:val="24"/>
              </w:rPr>
            </w:pPr>
            <w:r>
              <w:rPr>
                <w:rFonts w:hint="eastAsia" w:cs="Times New Roman"/>
                <w:b/>
                <w:color w:val="auto"/>
                <w:szCs w:val="24"/>
              </w:rPr>
              <w:t>表1-2 项目涉及环境管控单元列表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651"/>
              <w:gridCol w:w="2990"/>
              <w:gridCol w:w="1559"/>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序号</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管控单元编码</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管控单元名称</w:t>
                  </w:r>
                </w:p>
              </w:tc>
              <w:tc>
                <w:tcPr>
                  <w:tcW w:w="1559"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单元分类</w:t>
                  </w:r>
                </w:p>
              </w:tc>
              <w:tc>
                <w:tcPr>
                  <w:tcW w:w="112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ZH45062110003</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十万大山水源涵养与生物多样性维护生态保护红线</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优先保护单元</w:t>
                  </w:r>
                </w:p>
              </w:tc>
              <w:tc>
                <w:tcPr>
                  <w:tcW w:w="1128" w:type="dxa"/>
                  <w:vMerge w:val="restart"/>
                </w:tcPr>
                <w:p>
                  <w:pPr>
                    <w:spacing w:line="240" w:lineRule="auto"/>
                    <w:ind w:firstLine="0" w:firstLineChars="0"/>
                    <w:rPr>
                      <w:rFonts w:cs="Times New Roman"/>
                      <w:color w:val="auto"/>
                      <w:sz w:val="21"/>
                      <w:szCs w:val="21"/>
                    </w:rPr>
                  </w:pPr>
                  <w:r>
                    <w:rPr>
                      <w:rFonts w:cs="Times New Roman"/>
                      <w:color w:val="auto"/>
                      <w:sz w:val="21"/>
                      <w:szCs w:val="21"/>
                    </w:rPr>
                    <w:t>导线跨越，塔基不在保护区内设立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ZH45062110005</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上思县那板水库饮用水水源保护区一般生态空间</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优先保护单元</w:t>
                  </w:r>
                </w:p>
              </w:tc>
              <w:tc>
                <w:tcPr>
                  <w:tcW w:w="1128" w:type="dxa"/>
                  <w:vMerge w:val="continue"/>
                </w:tcPr>
                <w:p>
                  <w:pPr>
                    <w:spacing w:line="240" w:lineRule="auto"/>
                    <w:ind w:firstLine="0" w:firstLineChars="0"/>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3</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ZH45062110006</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上思县其他优先保护单元</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优先保护单元</w:t>
                  </w:r>
                </w:p>
              </w:tc>
              <w:tc>
                <w:tcPr>
                  <w:tcW w:w="112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ZH45062120002</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上思县城镇空间重点管控单元</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重点管控单元</w:t>
                  </w:r>
                </w:p>
              </w:tc>
              <w:tc>
                <w:tcPr>
                  <w:tcW w:w="112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5</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ZH45062120003</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上思县其他重点管控单元</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重点管控单元</w:t>
                  </w:r>
                </w:p>
              </w:tc>
              <w:tc>
                <w:tcPr>
                  <w:tcW w:w="112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6</w:t>
                  </w:r>
                </w:p>
              </w:tc>
              <w:tc>
                <w:tcPr>
                  <w:tcW w:w="1651"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ZH45062130001</w:t>
                  </w:r>
                </w:p>
              </w:tc>
              <w:tc>
                <w:tcPr>
                  <w:tcW w:w="299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上思县一般管控单元</w:t>
                  </w:r>
                </w:p>
              </w:tc>
              <w:tc>
                <w:tcPr>
                  <w:tcW w:w="1559"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一般管控单元</w:t>
                  </w:r>
                </w:p>
              </w:tc>
              <w:tc>
                <w:tcPr>
                  <w:tcW w:w="112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w:t>
                  </w:r>
                </w:p>
              </w:tc>
            </w:tr>
          </w:tbl>
          <w:p>
            <w:pPr>
              <w:ind w:firstLine="480"/>
              <w:rPr>
                <w:rFonts w:cs="Times New Roman"/>
                <w:color w:val="auto"/>
                <w:szCs w:val="24"/>
              </w:rPr>
            </w:pPr>
            <w:r>
              <w:rPr>
                <w:color w:val="auto"/>
              </w:rPr>
              <w:t xml:space="preserve">  </w:t>
            </w:r>
            <w:r>
              <w:rPr>
                <w:rFonts w:hint="eastAsia" w:cs="Times New Roman"/>
                <w:color w:val="auto"/>
                <w:szCs w:val="24"/>
              </w:rPr>
              <w:t>项目与《防城港市生态环境准入及管控要求清单（2023年）》符合性分析见下表1-3。</w:t>
            </w: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tc>
      </w:tr>
    </w:tbl>
    <w:p>
      <w:pPr>
        <w:ind w:firstLine="480"/>
        <w:rPr>
          <w:color w:val="auto"/>
        </w:rPr>
        <w:sectPr>
          <w:footerReference r:id="rId11" w:type="default"/>
          <w:pgSz w:w="11906" w:h="16838"/>
          <w:pgMar w:top="1418" w:right="1701" w:bottom="1418" w:left="1701" w:header="851" w:footer="850" w:gutter="0"/>
          <w:pgNumType w:start="1"/>
          <w:cols w:space="425" w:num="1"/>
          <w:docGrid w:type="lines" w:linePitch="326" w:charSpace="0"/>
        </w:sectPr>
      </w:pPr>
    </w:p>
    <w:p>
      <w:pPr>
        <w:ind w:firstLine="482"/>
        <w:jc w:val="center"/>
        <w:rPr>
          <w:b/>
          <w:color w:val="auto"/>
        </w:rPr>
      </w:pPr>
      <w:r>
        <w:rPr>
          <w:rFonts w:hint="eastAsia"/>
          <w:b/>
          <w:color w:val="auto"/>
        </w:rPr>
        <w:t>表1-3 项目与管控单元生态环境准入及管控要求符合性分析</w:t>
      </w:r>
    </w:p>
    <w:tbl>
      <w:tblPr>
        <w:tblStyle w:val="15"/>
        <w:tblW w:w="5000" w:type="pct"/>
        <w:jc w:val="center"/>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Layout w:type="autofit"/>
        <w:tblCellMar>
          <w:top w:w="0" w:type="dxa"/>
          <w:left w:w="0" w:type="dxa"/>
          <w:bottom w:w="0" w:type="dxa"/>
          <w:right w:w="0" w:type="dxa"/>
        </w:tblCellMar>
      </w:tblPr>
      <w:tblGrid>
        <w:gridCol w:w="681"/>
        <w:gridCol w:w="681"/>
        <w:gridCol w:w="676"/>
        <w:gridCol w:w="676"/>
        <w:gridCol w:w="9039"/>
        <w:gridCol w:w="2265"/>
      </w:tblGrid>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95" w:hRule="atLeast"/>
          <w:tblHeader/>
          <w:jc w:val="center"/>
        </w:trPr>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序号</w:t>
            </w:r>
          </w:p>
        </w:tc>
        <w:tc>
          <w:tcPr>
            <w:tcW w:w="243" w:type="pct"/>
            <w:tcBorders>
              <w:top w:val="single" w:color="000000" w:sz="6" w:space="0"/>
              <w:left w:val="single" w:color="000000" w:sz="6" w:space="0"/>
              <w:bottom w:val="single" w:color="000000" w:sz="6" w:space="0"/>
            </w:tcBorders>
            <w:shd w:val="clear" w:color="auto" w:fill="FFFFFF"/>
          </w:tcPr>
          <w:p>
            <w:pPr>
              <w:spacing w:line="240" w:lineRule="auto"/>
              <w:ind w:firstLine="0" w:firstLineChars="0"/>
              <w:jc w:val="center"/>
              <w:rPr>
                <w:rFonts w:cs="Times New Roman"/>
                <w:color w:val="auto"/>
                <w:sz w:val="21"/>
                <w:szCs w:val="21"/>
              </w:rPr>
            </w:pPr>
            <w:r>
              <w:rPr>
                <w:rFonts w:hint="eastAsia" w:cs="Times New Roman"/>
                <w:color w:val="auto"/>
                <w:sz w:val="21"/>
                <w:szCs w:val="21"/>
              </w:rPr>
              <w:t>管控单元名称</w:t>
            </w:r>
          </w:p>
        </w:tc>
        <w:tc>
          <w:tcPr>
            <w:tcW w:w="241" w:type="pct"/>
            <w:tcBorders>
              <w:top w:val="single" w:color="000000" w:sz="6" w:space="0"/>
              <w:left w:val="single" w:color="000000" w:sz="6" w:space="0"/>
              <w:bottom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管控类别</w:t>
            </w:r>
          </w:p>
        </w:tc>
        <w:tc>
          <w:tcPr>
            <w:tcW w:w="3465" w:type="pct"/>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生态环境准入及管控要求</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符合性分析</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2799" w:hRule="atLeast"/>
          <w:jc w:val="center"/>
        </w:trPr>
        <w:tc>
          <w:tcPr>
            <w:tcW w:w="243" w:type="pct"/>
            <w:tcBorders>
              <w:top w:val="single" w:color="000000" w:sz="6" w:space="0"/>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243" w:type="pct"/>
            <w:tcBorders>
              <w:top w:val="single" w:color="000000" w:sz="6" w:space="0"/>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十万大山水源涵养与生物多样性维护生态保护红线</w:t>
            </w:r>
          </w:p>
        </w:tc>
        <w:tc>
          <w:tcPr>
            <w:tcW w:w="241" w:type="pct"/>
            <w:tcBorders>
              <w:top w:val="single" w:color="000000" w:sz="6" w:space="0"/>
              <w:left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优先保护单元</w:t>
            </w:r>
          </w:p>
        </w:tc>
        <w:tc>
          <w:tcPr>
            <w:tcW w:w="241" w:type="pct"/>
            <w:tcBorders>
              <w:top w:val="single" w:color="000000" w:sz="6" w:space="0"/>
              <w:left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空间布局约束</w:t>
            </w:r>
          </w:p>
        </w:tc>
        <w:tc>
          <w:tcPr>
            <w:tcW w:w="3224" w:type="pc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生态保护红线内自然保护地核心保护区外，禁止开发性、生产性建设活动，在符合法律法规的前提下，仅允许对生态功能不造成破坏的有限人为活动。生态保护红线划定后，未经批准，严禁擅自调整。因国家重大项目建设需要，确需占用生态保护红线的，按照国家和自治区规定的程序办理用地审批。</w:t>
            </w:r>
          </w:p>
          <w:p>
            <w:pPr>
              <w:spacing w:line="240" w:lineRule="auto"/>
              <w:ind w:firstLine="0" w:firstLineChars="0"/>
              <w:rPr>
                <w:rFonts w:cs="Times New Roman"/>
                <w:color w:val="auto"/>
                <w:sz w:val="21"/>
                <w:szCs w:val="21"/>
              </w:rPr>
            </w:pPr>
            <w:r>
              <w:rPr>
                <w:rFonts w:hint="eastAsia" w:cs="Times New Roman"/>
                <w:color w:val="auto"/>
                <w:sz w:val="21"/>
                <w:szCs w:val="21"/>
              </w:rPr>
              <w:t>2．允许的有限人为活动按照《自然资源部 生态环境部 国家林业和草原局＜关于加强生态保护红线管理的通知（试行）＞》（自然资发〔2022〕142号）《广西壮族自治区自然资源厅 广西壮族自治区生态环境厅 广西壮族自治区林业局 广西壮族自治区海洋局关于印发广西生态保护红线监管办法（试行）的通知》（桂自然资规〔2023〕4号）和自治区级环境管控及准入要求清单进行管控。</w:t>
            </w:r>
          </w:p>
          <w:p>
            <w:pPr>
              <w:spacing w:line="240" w:lineRule="auto"/>
              <w:ind w:firstLine="0" w:firstLineChars="0"/>
              <w:rPr>
                <w:rFonts w:cs="Times New Roman"/>
                <w:color w:val="auto"/>
                <w:sz w:val="21"/>
                <w:szCs w:val="21"/>
              </w:rPr>
            </w:pPr>
            <w:r>
              <w:rPr>
                <w:rFonts w:hint="eastAsia" w:cs="Times New Roman"/>
                <w:color w:val="auto"/>
                <w:sz w:val="21"/>
                <w:szCs w:val="21"/>
              </w:rPr>
              <w:t>3．饮用水水源保护区以及生态公益林、天然林执行国家、自治区以及市县相应法律法规要求。</w:t>
            </w:r>
          </w:p>
        </w:tc>
        <w:tc>
          <w:tcPr>
            <w:tcW w:w="808" w:type="pc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符合。项目</w:t>
            </w:r>
            <w:r>
              <w:rPr>
                <w:rFonts w:cs="Times New Roman"/>
                <w:color w:val="auto"/>
                <w:sz w:val="21"/>
                <w:szCs w:val="21"/>
              </w:rPr>
              <w:t>为架空输电工程，不在保护区去内新建塔基，导线采用无人机牵引施工，对生态功能不造成破坏。</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w:t>
            </w:r>
          </w:p>
        </w:tc>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上思县那板水库饮用水水源保护区一般生态空间</w:t>
            </w:r>
          </w:p>
        </w:tc>
        <w:tc>
          <w:tcPr>
            <w:tcW w:w="241" w:type="pct"/>
            <w:tcBorders>
              <w:top w:val="single" w:color="000000" w:sz="6" w:space="0"/>
              <w:left w:val="single" w:color="000000" w:sz="6" w:space="0"/>
              <w:bottom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优先保护</w:t>
            </w:r>
            <w:r>
              <w:rPr>
                <w:rFonts w:cs="Times New Roman"/>
                <w:color w:val="auto"/>
                <w:sz w:val="21"/>
                <w:szCs w:val="21"/>
              </w:rPr>
              <w:t>单元</w:t>
            </w: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空间布局约束</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1．饮用水水源保护区按照《饮用水水源保护区污染防治管理规定》《中华人民共和国水污染防治法》《广西壮族自治区饮用水水源保护条例》《广西壮族自治区水污染防治条例》等相关法律法规进行管理。</w:t>
            </w:r>
          </w:p>
          <w:p>
            <w:pPr>
              <w:spacing w:line="240" w:lineRule="auto"/>
              <w:ind w:firstLine="0" w:firstLineChars="0"/>
              <w:rPr>
                <w:rFonts w:cs="Times New Roman"/>
                <w:color w:val="auto"/>
                <w:sz w:val="21"/>
                <w:szCs w:val="21"/>
              </w:rPr>
            </w:pPr>
            <w:r>
              <w:rPr>
                <w:rFonts w:hint="eastAsia" w:cs="Times New Roman"/>
                <w:color w:val="auto"/>
                <w:sz w:val="21"/>
                <w:szCs w:val="21"/>
              </w:rPr>
              <w:t>2．国家级公益林依据《国家级公益林管理办法》（林资发〔2017〕34号）进行管理，严格控制勘查、开采矿藏和工程建设使用国家级公益林地。确需使用的，严格按照《建设项目使用林地审核审批管理办法》有关规定办理使用林地手续。涉及林木采伐的，按相关规定依法办理林木采伐手续。经审核审批同意使用的国家级公益林地，可按规定实行占补平衡。一级国家级公益林原则上不得开展生产经营活动，严禁打枝、采脂、割漆、剥树皮、掘根等行为。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w:t>
            </w:r>
          </w:p>
          <w:p>
            <w:pPr>
              <w:spacing w:line="240" w:lineRule="auto"/>
              <w:ind w:firstLine="0" w:firstLineChars="0"/>
              <w:rPr>
                <w:rFonts w:cs="Times New Roman"/>
                <w:color w:val="auto"/>
                <w:sz w:val="21"/>
                <w:szCs w:val="21"/>
              </w:rPr>
            </w:pPr>
            <w:r>
              <w:rPr>
                <w:rFonts w:hint="eastAsia" w:cs="Times New Roman"/>
                <w:color w:val="auto"/>
                <w:sz w:val="21"/>
                <w:szCs w:val="21"/>
              </w:rPr>
              <w:t>3．对所有天然林实行保护，禁止毁林开垦、将天然林改造为人工林以及其他破坏天然林及其生态环境的行为。对纳入保护重点区域的天然林，除森林病虫害防治、森林防火等维护天然林生态系统健康的必要措施外，禁止其他一切生产经营活动。开展天然林抚育作业的，必须编制作业设计，经林业主管部门审查批准后实施。严格控制天然林地转为其他用途，除国防建设、国家重大工程项目建设特殊需要外，禁止占用保护重点区域的天然林地。在不破坏地表植被、不影响生物多样性保护前提下，可在天然林地适度发展生态旅游、休闲康养、特色种植养殖产业。</w:t>
            </w:r>
          </w:p>
          <w:p>
            <w:pPr>
              <w:spacing w:line="240" w:lineRule="auto"/>
              <w:ind w:firstLine="0" w:firstLineChars="0"/>
              <w:rPr>
                <w:rFonts w:cs="Times New Roman"/>
                <w:color w:val="auto"/>
                <w:sz w:val="21"/>
                <w:szCs w:val="21"/>
              </w:rPr>
            </w:pPr>
            <w:r>
              <w:rPr>
                <w:rFonts w:hint="eastAsia" w:cs="Times New Roman"/>
                <w:color w:val="auto"/>
                <w:sz w:val="21"/>
                <w:szCs w:val="21"/>
              </w:rPr>
              <w:t>4．国家保护林地，严格控制林地转为非林地，实行占用林地总量控制，确保林地保有量不减少。各类建设项目占用林地不得超过本行政区域的占用林地总量控制指标。矿藏勘查、开采以及其他各类工程建设，应当不占或者少占林地；确需占用林地的，应当经县级以上人民政府林业主管部门审核同意，依法办理建设用地审批手续。。</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符合。项目为架空输电工程，不在那板水库饮用水源保护区内新建塔基，导线采用无人机牵引施工，不对保护区内林木砍伐作业，不破坏保护区公益林地。</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3</w:t>
            </w:r>
          </w:p>
        </w:tc>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上思县其他优先保护单元</w:t>
            </w:r>
          </w:p>
        </w:tc>
        <w:tc>
          <w:tcPr>
            <w:tcW w:w="241" w:type="pct"/>
            <w:tcBorders>
              <w:top w:val="single" w:color="000000" w:sz="6" w:space="0"/>
              <w:left w:val="single" w:color="000000" w:sz="6" w:space="0"/>
              <w:bottom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优先保护单元</w:t>
            </w: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空间布局约束</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1．除符合国土空间规划建设和布局要求，以及市级以上矿产资源总体规划、能源开发利用规划、线性工程规划外，原则上按限制开发区域的要求进行管理。</w:t>
            </w:r>
          </w:p>
          <w:p>
            <w:pPr>
              <w:spacing w:line="240" w:lineRule="auto"/>
              <w:ind w:firstLine="0" w:firstLineChars="0"/>
              <w:rPr>
                <w:rFonts w:cs="Times New Roman"/>
                <w:color w:val="auto"/>
                <w:sz w:val="21"/>
                <w:szCs w:val="21"/>
              </w:rPr>
            </w:pPr>
            <w:r>
              <w:rPr>
                <w:rFonts w:hint="eastAsia" w:cs="Times New Roman"/>
                <w:color w:val="auto"/>
                <w:sz w:val="21"/>
                <w:szCs w:val="21"/>
              </w:rPr>
              <w:t>2．严格控制占用湿地。禁止占用国家重要湿地，国家重大项目、防灾减灾项目、重要水利及保护设施项目、湿地保护项目等除外。</w:t>
            </w:r>
          </w:p>
          <w:p>
            <w:pPr>
              <w:spacing w:line="240" w:lineRule="auto"/>
              <w:ind w:firstLine="0" w:firstLineChars="0"/>
              <w:rPr>
                <w:rFonts w:cs="Times New Roman"/>
                <w:color w:val="auto"/>
                <w:sz w:val="21"/>
                <w:szCs w:val="21"/>
              </w:rPr>
            </w:pPr>
            <w:r>
              <w:rPr>
                <w:rFonts w:hint="eastAsia" w:cs="Times New Roman"/>
                <w:color w:val="auto"/>
                <w:sz w:val="21"/>
                <w:szCs w:val="21"/>
              </w:rPr>
              <w:t>3．有限人为活动按照《中华人民共和国湿地保护法》《广西壮族自治区湿地保护条例》和自治区总体生态环境准入及管控要求进行管控。</w:t>
            </w:r>
          </w:p>
          <w:p>
            <w:pPr>
              <w:spacing w:line="240" w:lineRule="auto"/>
              <w:ind w:firstLine="0" w:firstLineChars="0"/>
              <w:rPr>
                <w:rFonts w:cs="Times New Roman"/>
                <w:color w:val="auto"/>
                <w:sz w:val="21"/>
                <w:szCs w:val="21"/>
              </w:rPr>
            </w:pPr>
            <w:r>
              <w:rPr>
                <w:rFonts w:hint="eastAsia" w:cs="Times New Roman"/>
                <w:color w:val="auto"/>
                <w:sz w:val="21"/>
                <w:szCs w:val="21"/>
              </w:rPr>
              <w:t>4．列入国家和自治区重要湿地名录的湿地，任何单位和个人不得擅自占用或者改变湿地用途。因基础设施建设等确需占用或者改变湿地用途的，县级以上人民政府有关主管部门在依法审查办理用地手续时，应当征得同级人民政府林业主管部门和该湿地主管部门的同意。在列入一般湿地名录的湿地进行矿产资源勘查、开发或者进行交通、水利、电力、天</w:t>
            </w:r>
            <w:r>
              <w:rPr>
                <w:rFonts w:hint="eastAsia" w:cs="Times New Roman"/>
                <w:color w:val="auto"/>
                <w:sz w:val="21"/>
                <w:szCs w:val="21"/>
                <w:lang w:eastAsia="zh-CN"/>
              </w:rPr>
              <w:t>然</w:t>
            </w:r>
            <w:r>
              <w:rPr>
                <w:rFonts w:hint="eastAsia" w:cs="Times New Roman"/>
                <w:color w:val="auto"/>
                <w:sz w:val="21"/>
                <w:szCs w:val="21"/>
              </w:rPr>
              <w:t>气、通讯等重点工程建设，应当不占用或者少占用湿地。确需占用湿地的，县级以上人民政府有关主管部门在依法审查办理建设项目用地手续时，应当征求同级人民政府林业主管部门和该湿地主管部门的意见。</w:t>
            </w:r>
          </w:p>
          <w:p>
            <w:pPr>
              <w:spacing w:line="240" w:lineRule="auto"/>
              <w:ind w:firstLine="0" w:firstLineChars="0"/>
              <w:rPr>
                <w:rFonts w:cs="Times New Roman"/>
                <w:color w:val="auto"/>
                <w:sz w:val="21"/>
                <w:szCs w:val="21"/>
              </w:rPr>
            </w:pPr>
            <w:r>
              <w:rPr>
                <w:rFonts w:hint="eastAsia" w:cs="Times New Roman"/>
                <w:color w:val="auto"/>
                <w:sz w:val="21"/>
                <w:szCs w:val="21"/>
              </w:rPr>
              <w:t>5．生物多样性维护功能（极）重要区、水源涵养功能（极）重要区按照自治区总体生态环境准入及管控要求进行管控，严格限制破坏生物多样性维护功能、水源涵养功能的活动。</w:t>
            </w:r>
          </w:p>
          <w:p>
            <w:pPr>
              <w:spacing w:line="240" w:lineRule="auto"/>
              <w:ind w:firstLine="0" w:firstLineChars="0"/>
              <w:rPr>
                <w:rFonts w:cs="Times New Roman"/>
                <w:color w:val="auto"/>
                <w:sz w:val="21"/>
                <w:szCs w:val="21"/>
              </w:rPr>
            </w:pPr>
            <w:r>
              <w:rPr>
                <w:rFonts w:hint="eastAsia" w:cs="Times New Roman"/>
                <w:color w:val="auto"/>
                <w:sz w:val="21"/>
                <w:szCs w:val="21"/>
              </w:rPr>
              <w:t>6．国家级公益林：依据《国家级公益林管理办法》（林资发〔2017〕34号）进行管理，严格控制勘查、开采矿藏和工程建设使用国家级公益林地。确需使用的，严格按照《建设项目使用林地审核审批管理办法》有关规定办理使用林地手续。涉及林木采伐的，按相关规定依法办理林木采伐手续。经审核审批同意使用的国家级公益林地，可按规定实行占补平衡。一级国家级公益林原则上不得开展生产经营活动，严禁打枝、采脂、割漆、剥树皮、掘根等行为。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w:t>
            </w:r>
          </w:p>
          <w:p>
            <w:pPr>
              <w:spacing w:line="240" w:lineRule="auto"/>
              <w:ind w:firstLine="0" w:firstLineChars="0"/>
              <w:rPr>
                <w:rFonts w:cs="Times New Roman"/>
                <w:color w:val="auto"/>
                <w:sz w:val="21"/>
                <w:szCs w:val="21"/>
              </w:rPr>
            </w:pPr>
            <w:r>
              <w:rPr>
                <w:rFonts w:hint="eastAsia" w:cs="Times New Roman"/>
                <w:color w:val="auto"/>
                <w:sz w:val="21"/>
                <w:szCs w:val="21"/>
              </w:rPr>
              <w:t>7．天然林：对所有天然林实行保护，禁止毁林开垦、将天然林改造为人工林以及其他破坏天然林及其生态环境的行为。对纳入保护重点区域的天然林，除森林病虫害防治、森林防火等维护天然林生态系统健康的必要措施外，禁止其他一切生产经营活动。开展天然林抚育作业的，必须编制作业设计，经林业主管部门审查批准后实施。严格控制天然林地转为其他用途，除国防建设、国家重大工程项目建设特殊需要外，禁止占用保护重点区域的天然林地。在不破坏地表植被、不影响生物多样性保护前提下，可在天然林地适度发展生态旅游、休闲康养、特色种植养殖产业。</w:t>
            </w:r>
          </w:p>
          <w:p>
            <w:pPr>
              <w:spacing w:line="240" w:lineRule="auto"/>
              <w:ind w:firstLine="0" w:firstLineChars="0"/>
              <w:rPr>
                <w:rFonts w:cs="Times New Roman"/>
                <w:color w:val="auto"/>
                <w:sz w:val="21"/>
                <w:szCs w:val="21"/>
              </w:rPr>
            </w:pPr>
            <w:r>
              <w:rPr>
                <w:rFonts w:hint="eastAsia" w:cs="Times New Roman"/>
                <w:color w:val="auto"/>
                <w:sz w:val="21"/>
                <w:szCs w:val="21"/>
              </w:rPr>
              <w:t>8．矿产资源开发活动、新能源建设项目以及线性工程项目等要符合法律法规以及国土空间规划、生态功能区划、环境规划、行业规划等要求，不得破坏生态、降低环境质量。乡村振兴项目建设的审批简化和豁免要符合有关规定，不得影响区域主导生态功能、降低区域生态环境质量。</w:t>
            </w:r>
          </w:p>
          <w:p>
            <w:pPr>
              <w:spacing w:line="240" w:lineRule="auto"/>
              <w:ind w:firstLine="0" w:firstLineChars="0"/>
              <w:rPr>
                <w:rFonts w:cs="Times New Roman"/>
                <w:color w:val="auto"/>
                <w:sz w:val="21"/>
                <w:szCs w:val="21"/>
              </w:rPr>
            </w:pPr>
            <w:r>
              <w:rPr>
                <w:rFonts w:hint="eastAsia" w:cs="Times New Roman"/>
                <w:color w:val="auto"/>
                <w:sz w:val="21"/>
                <w:szCs w:val="21"/>
              </w:rPr>
              <w:t>9．勘查矿产资源，必须依法取得探矿权。探矿权人应当按照勘查许可证规定的勘查区块范围和勘查项目进行勘查，并按照批准的勘查设计施工，不得越界勘查，不得擅自进行采矿活动。</w:t>
            </w:r>
          </w:p>
          <w:p>
            <w:pPr>
              <w:spacing w:line="240" w:lineRule="auto"/>
              <w:ind w:firstLine="0" w:firstLineChars="0"/>
              <w:rPr>
                <w:rFonts w:cs="Times New Roman"/>
                <w:color w:val="auto"/>
                <w:sz w:val="21"/>
                <w:szCs w:val="21"/>
              </w:rPr>
            </w:pPr>
            <w:r>
              <w:rPr>
                <w:rFonts w:hint="eastAsia" w:cs="Times New Roman"/>
                <w:color w:val="auto"/>
                <w:sz w:val="21"/>
                <w:szCs w:val="21"/>
              </w:rPr>
              <w:t>10．国家保护林地，严格控制林地转为非林地，实行占用林地总量控制，确保林地保有量不减少。各类建设项目占用林地不得超过本行政区域的占用林地总量控制指标。矿藏勘查、开采以及其他各类工程建设，应当不占或者少占林地；确需占用林地的，应当经县级以上人民政府林业主管部门审核同意，依法办理建设用地审批手续。</w:t>
            </w:r>
          </w:p>
          <w:p>
            <w:pPr>
              <w:spacing w:line="240" w:lineRule="auto"/>
              <w:ind w:firstLine="0" w:firstLineChars="0"/>
              <w:rPr>
                <w:rFonts w:cs="Times New Roman"/>
                <w:color w:val="auto"/>
                <w:sz w:val="21"/>
                <w:szCs w:val="21"/>
              </w:rPr>
            </w:pPr>
            <w:r>
              <w:rPr>
                <w:rFonts w:hint="eastAsia" w:cs="Times New Roman"/>
                <w:color w:val="auto"/>
                <w:sz w:val="21"/>
                <w:szCs w:val="21"/>
              </w:rPr>
              <w:t>11．江河源头区严控可能造成水土流失的生产建设活动；逐步实施林分改造，种植有利于涵养水源、保持水土、保护植被的林种。</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cs="Times New Roman"/>
                <w:color w:val="auto"/>
                <w:sz w:val="21"/>
                <w:szCs w:val="21"/>
              </w:rPr>
              <w:t>符合。项目塔基不涉及占用湿地、公家级公益林、天然林，占用其他林地依法</w:t>
            </w:r>
            <w:r>
              <w:rPr>
                <w:rFonts w:hint="eastAsia" w:cs="Times New Roman"/>
                <w:color w:val="auto"/>
                <w:sz w:val="21"/>
                <w:szCs w:val="21"/>
              </w:rPr>
              <w:t>办理使用林地</w:t>
            </w:r>
            <w:r>
              <w:rPr>
                <w:rFonts w:cs="Times New Roman"/>
                <w:color w:val="auto"/>
                <w:sz w:val="21"/>
                <w:szCs w:val="21"/>
              </w:rPr>
              <w:t>手续，项目建设符合国土空间规划建设和布局要求，项目建设施工建设过程实施水土保持防治措施，施工结束后恢复植被，减少水土流失。</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上思县城镇空间重点管控单元</w:t>
            </w:r>
          </w:p>
        </w:tc>
        <w:tc>
          <w:tcPr>
            <w:tcW w:w="241" w:type="pct"/>
            <w:tcBorders>
              <w:top w:val="single" w:color="000000" w:sz="6" w:space="0"/>
              <w:left w:val="single" w:color="000000" w:sz="6" w:space="0"/>
              <w:bottom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重点管控单元</w:t>
            </w: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空间布局约束</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1．城市建成区内禁止新建、扩建煤电、石化、化工、现代煤化工、钢铁、焦化、有色金属冶炼、建材等高耗能、高排放项目，已建成企业应当逐步进行搬迁、改造或者转型、退出。</w:t>
            </w:r>
          </w:p>
          <w:p>
            <w:pPr>
              <w:spacing w:line="240" w:lineRule="auto"/>
              <w:ind w:firstLine="0" w:firstLineChars="0"/>
              <w:rPr>
                <w:rFonts w:cs="Times New Roman"/>
                <w:color w:val="auto"/>
                <w:sz w:val="21"/>
                <w:szCs w:val="21"/>
              </w:rPr>
            </w:pPr>
            <w:r>
              <w:rPr>
                <w:rFonts w:hint="eastAsia" w:cs="Times New Roman"/>
                <w:color w:val="auto"/>
                <w:sz w:val="21"/>
                <w:szCs w:val="21"/>
              </w:rPr>
              <w:t>2．城区、镇和村庄居民区、文化教育科学研究区等人口集中区域禁止设置畜禽养殖场、养殖小区。</w:t>
            </w:r>
          </w:p>
          <w:p>
            <w:pPr>
              <w:spacing w:line="240" w:lineRule="auto"/>
              <w:ind w:firstLine="0" w:firstLineChars="0"/>
              <w:rPr>
                <w:rFonts w:cs="Times New Roman"/>
                <w:color w:val="auto"/>
                <w:sz w:val="21"/>
                <w:szCs w:val="21"/>
              </w:rPr>
            </w:pPr>
            <w:r>
              <w:rPr>
                <w:rFonts w:hint="eastAsia" w:cs="Times New Roman"/>
                <w:color w:val="auto"/>
                <w:sz w:val="21"/>
                <w:szCs w:val="21"/>
              </w:rPr>
              <w:t>3．禁止在居民区和学校、医院、疗养院、养老院等单位周边新建、改建、扩建可能造成土壤污染的建设项目。严格控制在人口聚居区域内新（改、扩）建涉重金属企业。</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cs="Times New Roman"/>
                <w:color w:val="auto"/>
                <w:sz w:val="21"/>
                <w:szCs w:val="21"/>
              </w:rPr>
              <w:t>符合。本项目为输电线路工程，不属于高耗能、高排放及畜禽养殖及涉重金属项目。</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5</w:t>
            </w:r>
          </w:p>
        </w:tc>
        <w:tc>
          <w:tcPr>
            <w:tcW w:w="243" w:type="pct"/>
            <w:tcBorders>
              <w:top w:val="single" w:color="000000" w:sz="6" w:space="0"/>
              <w:left w:val="single" w:color="000000" w:sz="6" w:space="0"/>
              <w:bottom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上思县城镇空间重点管控单元</w:t>
            </w:r>
          </w:p>
        </w:tc>
        <w:tc>
          <w:tcPr>
            <w:tcW w:w="241" w:type="pct"/>
            <w:tcBorders>
              <w:top w:val="single" w:color="000000" w:sz="6" w:space="0"/>
              <w:left w:val="single" w:color="000000" w:sz="6" w:space="0"/>
              <w:bottom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重点管控单元</w:t>
            </w: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污染物排放管控</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1．城区内基本消除生活污水直排口和收集处理设施空白区，有效杜绝污水直排水体。</w:t>
            </w:r>
          </w:p>
          <w:p>
            <w:pPr>
              <w:spacing w:line="240" w:lineRule="auto"/>
              <w:ind w:firstLine="0" w:firstLineChars="0"/>
              <w:rPr>
                <w:rFonts w:cs="Times New Roman"/>
                <w:color w:val="auto"/>
                <w:sz w:val="21"/>
                <w:szCs w:val="21"/>
              </w:rPr>
            </w:pPr>
            <w:r>
              <w:rPr>
                <w:rFonts w:hint="eastAsia" w:cs="Times New Roman"/>
                <w:color w:val="auto"/>
                <w:sz w:val="21"/>
                <w:szCs w:val="21"/>
              </w:rPr>
              <w:t>2．提高污水处理能力，完善既有污水处理厂和新建、扩建污水处理厂配套管网建设，基本实现城中村、老旧城区和城乡结合部生活污水收集处理。</w:t>
            </w:r>
          </w:p>
          <w:p>
            <w:pPr>
              <w:spacing w:line="240" w:lineRule="auto"/>
              <w:ind w:firstLine="0" w:firstLineChars="0"/>
              <w:rPr>
                <w:rFonts w:cs="Times New Roman"/>
                <w:color w:val="auto"/>
                <w:sz w:val="21"/>
                <w:szCs w:val="21"/>
              </w:rPr>
            </w:pPr>
            <w:r>
              <w:rPr>
                <w:rFonts w:hint="eastAsia" w:cs="Times New Roman"/>
                <w:color w:val="auto"/>
                <w:sz w:val="21"/>
                <w:szCs w:val="21"/>
              </w:rPr>
              <w:t>3．县级城市建成区污水处理率不低于85%，污水处理设施必须达到一级A排放标准。</w:t>
            </w:r>
          </w:p>
          <w:p>
            <w:pPr>
              <w:spacing w:line="240" w:lineRule="auto"/>
              <w:ind w:firstLine="0" w:firstLineChars="0"/>
              <w:rPr>
                <w:rFonts w:cs="Times New Roman"/>
                <w:color w:val="auto"/>
                <w:sz w:val="21"/>
                <w:szCs w:val="21"/>
              </w:rPr>
            </w:pPr>
            <w:r>
              <w:rPr>
                <w:rFonts w:hint="eastAsia" w:cs="Times New Roman"/>
                <w:color w:val="auto"/>
                <w:sz w:val="21"/>
                <w:szCs w:val="21"/>
              </w:rPr>
              <w:t>4．加大淘汰35蒸吨/小时以下燃煤锅炉力度。依法依规加快淘汰老旧柴油货车。严格控制施工和道路扬尘污染。禁止露天焚烧产生有毒有害烟尘和恶臭气体的物质。在房屋建筑和市政工程中，全面推广使用低VOCs 含量涂料和胶粘剂。</w:t>
            </w:r>
          </w:p>
          <w:p>
            <w:pPr>
              <w:spacing w:line="240" w:lineRule="auto"/>
              <w:ind w:firstLine="0" w:firstLineChars="0"/>
              <w:rPr>
                <w:rFonts w:cs="Times New Roman"/>
                <w:color w:val="auto"/>
                <w:sz w:val="21"/>
                <w:szCs w:val="21"/>
              </w:rPr>
            </w:pPr>
            <w:r>
              <w:rPr>
                <w:rFonts w:hint="eastAsia" w:cs="Times New Roman"/>
                <w:color w:val="auto"/>
                <w:sz w:val="21"/>
                <w:szCs w:val="21"/>
              </w:rPr>
              <w:t>5．矿产资源勘查以及采选过程中排土场、露天采场、尾矿库、矿区专用道路、矿山工业场地、沉陷区、矸石场、矿山污染场地等的生态环境保护与治理恢复工作须满足《矿山生态环境保护与治理恢复技术规范（试行）》（HJ651-2013）要求。落实边开采、边保护、边复垦的要求，使新建、在建矿山损毁土地得到全面复垦。</w:t>
            </w:r>
          </w:p>
          <w:p>
            <w:pPr>
              <w:spacing w:line="240" w:lineRule="auto"/>
              <w:ind w:firstLine="0" w:firstLineChars="0"/>
              <w:rPr>
                <w:rFonts w:cs="Times New Roman"/>
                <w:color w:val="auto"/>
                <w:sz w:val="21"/>
                <w:szCs w:val="21"/>
              </w:rPr>
            </w:pPr>
            <w:r>
              <w:rPr>
                <w:rFonts w:hint="eastAsia" w:cs="Times New Roman"/>
                <w:color w:val="auto"/>
                <w:sz w:val="21"/>
                <w:szCs w:val="21"/>
              </w:rPr>
              <w:t>6．到2025年，上思县实验小学大气省控站点PM2.5浓度达到自治区下达的指标要求。</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cs="Times New Roman"/>
                <w:color w:val="auto"/>
                <w:sz w:val="21"/>
                <w:szCs w:val="21"/>
              </w:rPr>
              <w:t>符合。项目不涉及。</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tcBorders>
              <w:top w:val="single" w:color="000000" w:sz="6" w:space="0"/>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6</w:t>
            </w:r>
          </w:p>
        </w:tc>
        <w:tc>
          <w:tcPr>
            <w:tcW w:w="243" w:type="pct"/>
            <w:vMerge w:val="restart"/>
            <w:tcBorders>
              <w:top w:val="single" w:color="000000" w:sz="6" w:space="0"/>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r>
              <w:rPr>
                <w:rFonts w:cs="Times New Roman"/>
                <w:color w:val="auto"/>
                <w:sz w:val="21"/>
                <w:szCs w:val="21"/>
              </w:rPr>
              <w:t>上思县其他重点管控单元</w:t>
            </w:r>
          </w:p>
        </w:tc>
        <w:tc>
          <w:tcPr>
            <w:tcW w:w="241" w:type="pct"/>
            <w:vMerge w:val="restart"/>
            <w:tcBorders>
              <w:top w:val="single" w:color="000000" w:sz="6" w:space="0"/>
              <w:left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重点管控单元</w:t>
            </w: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空间布局约束</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1．规划产业园区应当依法依规进行审批。</w:t>
            </w:r>
          </w:p>
          <w:p>
            <w:pPr>
              <w:spacing w:line="240" w:lineRule="auto"/>
              <w:ind w:firstLine="0" w:firstLineChars="0"/>
              <w:rPr>
                <w:rFonts w:cs="Times New Roman"/>
                <w:color w:val="auto"/>
                <w:sz w:val="21"/>
                <w:szCs w:val="21"/>
              </w:rPr>
            </w:pPr>
            <w:r>
              <w:rPr>
                <w:rFonts w:hint="eastAsia" w:cs="Times New Roman"/>
                <w:color w:val="auto"/>
                <w:sz w:val="21"/>
                <w:szCs w:val="21"/>
              </w:rPr>
              <w:t>2．禁止在居民区和学校、医院、疗养院、养老院等单位周边新建、改建、扩建可能造成土壤污染的建设项目。严格控制在人口聚居区域内新（改、扩）建涉重金属企业。</w:t>
            </w:r>
          </w:p>
          <w:p>
            <w:pPr>
              <w:spacing w:line="240" w:lineRule="auto"/>
              <w:ind w:firstLine="0" w:firstLineChars="0"/>
              <w:rPr>
                <w:rFonts w:cs="Times New Roman"/>
                <w:color w:val="auto"/>
                <w:sz w:val="21"/>
                <w:szCs w:val="21"/>
              </w:rPr>
            </w:pPr>
            <w:r>
              <w:rPr>
                <w:rFonts w:hint="eastAsia" w:cs="Times New Roman"/>
                <w:color w:val="auto"/>
                <w:sz w:val="21"/>
                <w:szCs w:val="21"/>
              </w:rPr>
              <w:t>3．严格生态环境准入，合理控制工业企业、矿产资源开发规模与强度，优先避让生态环境敏感区域。</w:t>
            </w:r>
          </w:p>
          <w:p>
            <w:pPr>
              <w:spacing w:line="240" w:lineRule="auto"/>
              <w:ind w:firstLine="0" w:firstLineChars="0"/>
              <w:rPr>
                <w:rFonts w:cs="Times New Roman"/>
                <w:color w:val="auto"/>
                <w:sz w:val="21"/>
                <w:szCs w:val="21"/>
              </w:rPr>
            </w:pPr>
            <w:r>
              <w:rPr>
                <w:rFonts w:hint="eastAsia" w:cs="Times New Roman"/>
                <w:color w:val="auto"/>
                <w:sz w:val="21"/>
                <w:szCs w:val="21"/>
              </w:rPr>
              <w:t>4．强化源头管控，新上项目能效需达到国家、自治区相关标准要求。</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cs="Times New Roman"/>
                <w:color w:val="auto"/>
                <w:sz w:val="21"/>
                <w:szCs w:val="21"/>
              </w:rPr>
              <w:t>符合。项目不涉及。</w:t>
            </w: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vMerge w:val="restart"/>
            <w:tcBorders>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p>
        </w:tc>
        <w:tc>
          <w:tcPr>
            <w:tcW w:w="243" w:type="pct"/>
            <w:vMerge w:val="continue"/>
            <w:tcBorders>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p>
        </w:tc>
        <w:tc>
          <w:tcPr>
            <w:tcW w:w="241" w:type="pct"/>
            <w:vMerge w:val="continue"/>
            <w:tcBorders>
              <w:left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p>
        </w:tc>
        <w:tc>
          <w:tcPr>
            <w:tcW w:w="24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污染物排放管控</w:t>
            </w:r>
          </w:p>
        </w:tc>
        <w:tc>
          <w:tcPr>
            <w:tcW w:w="3224"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1．规划产业园区建设应同步完善污水处理设施及管网建设；园区及园区企业主要污染物排放应控制在区域环境承载能力范围内，确保环境质量达标。</w:t>
            </w:r>
          </w:p>
          <w:p>
            <w:pPr>
              <w:spacing w:line="240" w:lineRule="auto"/>
              <w:ind w:firstLine="0" w:firstLineChars="0"/>
              <w:rPr>
                <w:rFonts w:cs="Times New Roman"/>
                <w:color w:val="auto"/>
                <w:sz w:val="21"/>
                <w:szCs w:val="21"/>
              </w:rPr>
            </w:pPr>
            <w:r>
              <w:rPr>
                <w:rFonts w:hint="eastAsia" w:cs="Times New Roman"/>
                <w:color w:val="auto"/>
                <w:sz w:val="21"/>
                <w:szCs w:val="21"/>
              </w:rPr>
              <w:t>2．工业企业应当落实大气污染防治要求，采取有效措施，强化企业大气污染物排放精细化管理、无组织废气排放控制以及高效治污设施建设。积极推广园区集中供热。强化园区堆场扬尘控制。推动重点行业VOCs的排放管控，加强VOCs排放企业源头控制。加快实施低VOCs 含量原辅材料替代。</w:t>
            </w:r>
          </w:p>
          <w:p>
            <w:pPr>
              <w:spacing w:line="240" w:lineRule="auto"/>
              <w:ind w:firstLine="0" w:firstLineChars="0"/>
              <w:rPr>
                <w:rFonts w:cs="Times New Roman"/>
                <w:color w:val="auto"/>
                <w:sz w:val="21"/>
                <w:szCs w:val="21"/>
              </w:rPr>
            </w:pPr>
            <w:r>
              <w:rPr>
                <w:rFonts w:hint="eastAsia" w:cs="Times New Roman"/>
                <w:color w:val="auto"/>
                <w:sz w:val="21"/>
                <w:szCs w:val="21"/>
              </w:rPr>
              <w:t>3．矿产资源勘查以及采选过程中排土场、露天采场、尾矿库、矿区专用道路、矿山工业场地、沉陷区、矸石场、矿山污染场地等的生态环境保护与治理恢复工作须满足《矿山生态环境保护与治理恢复技术规范（试行）》（HJ651-2013）要求。落实边开采、边保护、边复垦的要求，使新建、在建矿山损毁土地得到全面复垦。</w:t>
            </w:r>
          </w:p>
          <w:p>
            <w:pPr>
              <w:spacing w:line="240" w:lineRule="auto"/>
              <w:ind w:firstLine="0" w:firstLineChars="0"/>
              <w:rPr>
                <w:rFonts w:cs="Times New Roman"/>
                <w:color w:val="auto"/>
                <w:sz w:val="21"/>
                <w:szCs w:val="21"/>
              </w:rPr>
            </w:pPr>
            <w:r>
              <w:rPr>
                <w:rFonts w:hint="eastAsia" w:cs="Times New Roman"/>
                <w:color w:val="auto"/>
                <w:sz w:val="21"/>
                <w:szCs w:val="21"/>
              </w:rPr>
              <w:t>4．强化拟规划园区施工扬尘、堆场扬尘控制。</w:t>
            </w:r>
          </w:p>
        </w:tc>
        <w:tc>
          <w:tcPr>
            <w:tcW w:w="808"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p>
        </w:tc>
      </w:tr>
      <w:tr>
        <w:tblPrEx>
          <w:tblBorders>
            <w:top w:val="single" w:color="333333" w:sz="6" w:space="0"/>
            <w:left w:val="single" w:color="333333" w:sz="6" w:space="0"/>
            <w:bottom w:val="single" w:color="333333" w:sz="6" w:space="0"/>
            <w:right w:val="single" w:color="333333" w:sz="6" w:space="0"/>
            <w:insideH w:val="none" w:color="auto" w:sz="0" w:space="0"/>
            <w:insideV w:val="none" w:color="auto" w:sz="0" w:space="0"/>
          </w:tblBorders>
          <w:tblCellMar>
            <w:top w:w="0" w:type="dxa"/>
            <w:left w:w="0" w:type="dxa"/>
            <w:bottom w:w="0" w:type="dxa"/>
            <w:right w:w="0" w:type="dxa"/>
          </w:tblCellMar>
        </w:tblPrEx>
        <w:trPr>
          <w:trHeight w:val="1313" w:hRule="atLeast"/>
          <w:jc w:val="center"/>
        </w:trPr>
        <w:tc>
          <w:tcPr>
            <w:tcW w:w="243" w:type="pct"/>
            <w:vMerge w:val="continue"/>
            <w:tcBorders>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p>
        </w:tc>
        <w:tc>
          <w:tcPr>
            <w:tcW w:w="243" w:type="pct"/>
            <w:vMerge w:val="continue"/>
            <w:tcBorders>
              <w:left w:val="single" w:color="000000" w:sz="6" w:space="0"/>
            </w:tcBorders>
            <w:shd w:val="clear" w:color="auto" w:fill="FFFFFF"/>
            <w:vAlign w:val="center"/>
          </w:tcPr>
          <w:p>
            <w:pPr>
              <w:spacing w:line="240" w:lineRule="auto"/>
              <w:ind w:firstLine="0" w:firstLineChars="0"/>
              <w:jc w:val="center"/>
              <w:rPr>
                <w:rFonts w:cs="Times New Roman"/>
                <w:color w:val="auto"/>
                <w:sz w:val="21"/>
                <w:szCs w:val="21"/>
              </w:rPr>
            </w:pPr>
          </w:p>
        </w:tc>
        <w:tc>
          <w:tcPr>
            <w:tcW w:w="241" w:type="pct"/>
            <w:vMerge w:val="continue"/>
            <w:tcBorders>
              <w:left w:val="single" w:color="000000" w:sz="6" w:space="0"/>
            </w:tcBorders>
            <w:shd w:val="clear" w:color="auto" w:fill="FFFFFF"/>
            <w:tcMar>
              <w:top w:w="0" w:type="dxa"/>
              <w:left w:w="108" w:type="dxa"/>
              <w:bottom w:w="0" w:type="dxa"/>
              <w:right w:w="0" w:type="dxa"/>
            </w:tcMar>
            <w:vAlign w:val="center"/>
          </w:tcPr>
          <w:p>
            <w:pPr>
              <w:spacing w:line="240" w:lineRule="auto"/>
              <w:ind w:firstLine="0" w:firstLineChars="0"/>
              <w:jc w:val="center"/>
              <w:rPr>
                <w:rFonts w:cs="Times New Roman"/>
                <w:color w:val="auto"/>
                <w:sz w:val="21"/>
                <w:szCs w:val="21"/>
              </w:rPr>
            </w:pPr>
          </w:p>
        </w:tc>
        <w:tc>
          <w:tcPr>
            <w:tcW w:w="241" w:type="pct"/>
            <w:tcBorders>
              <w:top w:val="single" w:color="000000" w:sz="6" w:space="0"/>
              <w:left w:val="single" w:color="000000" w:sz="6" w:space="0"/>
              <w:right w:val="single" w:color="000000" w:sz="6" w:space="0"/>
            </w:tcBorders>
            <w:shd w:val="clear" w:color="auto" w:fill="FFFFFF"/>
            <w:tcMar>
              <w:top w:w="0" w:type="dxa"/>
              <w:left w:w="108" w:type="dxa"/>
              <w:bottom w:w="0" w:type="dxa"/>
              <w:right w:w="108" w:type="dxa"/>
            </w:tcMar>
            <w:vAlign w:val="center"/>
          </w:tcPr>
          <w:p>
            <w:pPr>
              <w:spacing w:line="240" w:lineRule="auto"/>
              <w:ind w:firstLine="0" w:firstLineChars="0"/>
              <w:rPr>
                <w:rFonts w:cs="Times New Roman"/>
                <w:color w:val="auto"/>
                <w:sz w:val="21"/>
                <w:szCs w:val="21"/>
              </w:rPr>
            </w:pPr>
            <w:r>
              <w:rPr>
                <w:rFonts w:cs="Times New Roman"/>
                <w:color w:val="auto"/>
                <w:sz w:val="21"/>
                <w:szCs w:val="21"/>
              </w:rPr>
              <w:t>环境风险防控</w:t>
            </w:r>
          </w:p>
        </w:tc>
        <w:tc>
          <w:tcPr>
            <w:tcW w:w="3224" w:type="pc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r>
              <w:rPr>
                <w:rFonts w:hint="eastAsia" w:cs="Times New Roman"/>
                <w:color w:val="auto"/>
                <w:sz w:val="21"/>
                <w:szCs w:val="21"/>
              </w:rPr>
              <w:t>1．开展环境风险评估，制定突发环境事件应急预案并备案，配备应急能力和物资，建设环境应急队伍，并定期演练。完善区域应急联动机制。</w:t>
            </w:r>
          </w:p>
          <w:p>
            <w:pPr>
              <w:spacing w:line="240" w:lineRule="auto"/>
              <w:ind w:firstLine="0" w:firstLineChars="0"/>
              <w:rPr>
                <w:rFonts w:cs="Times New Roman"/>
                <w:color w:val="auto"/>
                <w:sz w:val="21"/>
                <w:szCs w:val="21"/>
              </w:rPr>
            </w:pPr>
            <w:r>
              <w:rPr>
                <w:rFonts w:hint="eastAsia" w:cs="Times New Roman"/>
                <w:color w:val="auto"/>
                <w:sz w:val="21"/>
                <w:szCs w:val="21"/>
              </w:rPr>
              <w:t>2．加强生态环境监管，推进重点矿区建立生态、地表水、地下水、大气、土壤等环境要素的长期监测监控体系，在用尾矿库安装在线监测装置。</w:t>
            </w:r>
          </w:p>
        </w:tc>
        <w:tc>
          <w:tcPr>
            <w:tcW w:w="808" w:type="pc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rPr>
                <w:rFonts w:cs="Times New Roman"/>
                <w:color w:val="auto"/>
                <w:sz w:val="21"/>
                <w:szCs w:val="21"/>
              </w:rPr>
            </w:pPr>
          </w:p>
        </w:tc>
      </w:tr>
    </w:tbl>
    <w:p>
      <w:pPr>
        <w:ind w:firstLine="0" w:firstLineChars="0"/>
        <w:rPr>
          <w:color w:val="auto"/>
        </w:rPr>
      </w:pPr>
    </w:p>
    <w:p>
      <w:pPr>
        <w:ind w:firstLine="480"/>
        <w:rPr>
          <w:color w:val="auto"/>
        </w:rPr>
        <w:sectPr>
          <w:pgSz w:w="16838" w:h="11906" w:orient="landscape"/>
          <w:pgMar w:top="1440" w:right="1418" w:bottom="1440" w:left="1418" w:header="851" w:footer="850" w:gutter="0"/>
          <w:pgNumType w:start="1"/>
          <w:cols w:space="425" w:num="1"/>
          <w:docGrid w:type="lines" w:linePitch="326" w:charSpace="0"/>
        </w:sectPr>
      </w:pPr>
      <w:r>
        <w:rPr>
          <w:rFonts w:hint="eastAsia"/>
          <w:color w:val="auto"/>
        </w:rPr>
        <w:t>综上分析，项目建设符合防城港市生态环境准入及管控要求。</w:t>
      </w:r>
    </w:p>
    <w:p>
      <w:pPr>
        <w:pStyle w:val="2"/>
        <w:rPr>
          <w:color w:val="auto"/>
        </w:rPr>
      </w:pPr>
      <w:bookmarkStart w:id="4" w:name="_Toc147654117"/>
      <w:bookmarkStart w:id="5" w:name="_Toc147654216"/>
      <w:r>
        <w:rPr>
          <w:color w:val="auto"/>
        </w:rPr>
        <w:t>二、建设内容</w:t>
      </w:r>
      <w:bookmarkEnd w:id="4"/>
      <w:bookmarkEnd w:id="5"/>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pPr>
              <w:spacing w:line="240" w:lineRule="auto"/>
              <w:ind w:firstLine="0" w:firstLineChars="0"/>
              <w:jc w:val="center"/>
              <w:rPr>
                <w:rFonts w:cs="Times New Roman"/>
                <w:color w:val="auto"/>
                <w:szCs w:val="24"/>
              </w:rPr>
            </w:pPr>
            <w:r>
              <w:rPr>
                <w:rFonts w:cs="Times New Roman"/>
                <w:color w:val="auto"/>
                <w:szCs w:val="24"/>
              </w:rPr>
              <w:t>地理位置</w:t>
            </w:r>
          </w:p>
        </w:tc>
        <w:tc>
          <w:tcPr>
            <w:tcW w:w="4740" w:type="pct"/>
          </w:tcPr>
          <w:p>
            <w:pPr>
              <w:ind w:firstLine="480"/>
              <w:rPr>
                <w:rFonts w:cs="Times New Roman"/>
                <w:color w:val="auto"/>
                <w:szCs w:val="24"/>
              </w:rPr>
            </w:pPr>
            <w:r>
              <w:rPr>
                <w:rFonts w:cs="Times New Roman"/>
                <w:color w:val="auto"/>
                <w:szCs w:val="24"/>
              </w:rPr>
              <w:t>项目线路起自</w:t>
            </w:r>
            <w:r>
              <w:rPr>
                <w:rFonts w:hint="eastAsia" w:cs="Times New Roman"/>
                <w:color w:val="auto"/>
                <w:szCs w:val="24"/>
              </w:rPr>
              <w:t>华润上思叫安镇那坡升压站西北侧出线架构，向西北走线讫于茶花变电站，在茶花变电站内扩建1个220kV 出线间隔。线路路径约37.8km，线路全线位于防城港市上思县境内，跨越明江。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60" w:type="pct"/>
            <w:vAlign w:val="center"/>
          </w:tcPr>
          <w:p>
            <w:pPr>
              <w:ind w:firstLine="0" w:firstLineChars="0"/>
              <w:jc w:val="center"/>
              <w:rPr>
                <w:rFonts w:cs="Times New Roman"/>
                <w:color w:val="auto"/>
                <w:szCs w:val="24"/>
              </w:rPr>
            </w:pPr>
            <w:r>
              <w:rPr>
                <w:rFonts w:cs="Times New Roman"/>
                <w:color w:val="auto"/>
                <w:szCs w:val="24"/>
              </w:rPr>
              <w:t>项目组成及规模</w:t>
            </w:r>
          </w:p>
        </w:tc>
        <w:tc>
          <w:tcPr>
            <w:tcW w:w="4740" w:type="pct"/>
          </w:tcPr>
          <w:p>
            <w:pPr>
              <w:adjustRightInd w:val="0"/>
              <w:snapToGrid w:val="0"/>
              <w:ind w:firstLine="482"/>
              <w:rPr>
                <w:rFonts w:eastAsia="宋体" w:cs="Times New Roman"/>
                <w:b/>
                <w:color w:val="auto"/>
                <w:kern w:val="0"/>
                <w:szCs w:val="24"/>
              </w:rPr>
            </w:pPr>
            <w:r>
              <w:rPr>
                <w:rFonts w:hint="eastAsia" w:eastAsia="宋体" w:cs="Times New Roman"/>
                <w:b/>
                <w:color w:val="auto"/>
                <w:kern w:val="0"/>
                <w:szCs w:val="24"/>
              </w:rPr>
              <w:t>1、项目由来</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华润上思在妙100MW农光互补发电项目送出线路工程于2024年11月22日取得防城港市大数据和行政审批局批复（防审批市政交通环保</w:t>
            </w:r>
            <w:r>
              <w:rPr>
                <w:rFonts w:hint="eastAsia" w:ascii="宋体" w:hAnsi="宋体" w:eastAsia="宋体" w:cs="Times New Roman"/>
                <w:color w:val="auto"/>
                <w:kern w:val="0"/>
                <w:szCs w:val="24"/>
              </w:rPr>
              <w:t>〔</w:t>
            </w:r>
            <w:r>
              <w:rPr>
                <w:rFonts w:hint="eastAsia" w:eastAsia="宋体" w:cs="Times New Roman"/>
                <w:color w:val="auto"/>
                <w:kern w:val="0"/>
                <w:szCs w:val="24"/>
              </w:rPr>
              <w:t>2024</w:t>
            </w:r>
            <w:r>
              <w:rPr>
                <w:rFonts w:hint="eastAsia" w:ascii="宋体" w:hAnsi="宋体" w:eastAsia="宋体" w:cs="Times New Roman"/>
                <w:color w:val="auto"/>
                <w:kern w:val="0"/>
                <w:szCs w:val="24"/>
              </w:rPr>
              <w:t>〕</w:t>
            </w:r>
            <w:r>
              <w:rPr>
                <w:rFonts w:hint="eastAsia" w:eastAsia="宋体" w:cs="Times New Roman"/>
                <w:color w:val="auto"/>
                <w:kern w:val="0"/>
                <w:szCs w:val="24"/>
              </w:rPr>
              <w:t>177号），根据《华润电力上思在妙100MW农光互补发电项目送出线路工程环境影响报告表》及其环评批复，变更前工程建设内容为：新建220kV送出线路长度25.5km，起于220kV在妙光伏升压站，终至茶花变电站出线间隔；在茶花站外面向站内220kV配电装置从右到左第一个间隔扩建1回220出线间隔，现将间隔仅在前期预留位置建设；送出线路共规划使用10种塔型，杆塔总数67基，其中直线塔34基，耐张塔33基。</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目前华润电力上思在妙100MW农光互补发电项目送出线路工程还未开工建设。由于原定在妙升压站场址及部分场区范围在农垦集团范围，导致原规划场址范围无法满足光伏电场建设要求，原定在妙升压站转移至叫安镇地块，升压站位置同步发生了变化，从而送出线路的路径发生了改变。</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由于在妙升压站场址发生变更后导致送出线路发生改变，变更后项目送出线路起自华润上思叫安镇那坡升压站西北侧架构，采用单回路双分裂架空出线，电压等级为220kV，向东北方向走向终至茶花变电站，新建线路总长37.8km，茶花变电站扩建1个220</w:t>
            </w:r>
            <w:r>
              <w:t xml:space="preserve"> </w:t>
            </w:r>
            <w:r>
              <w:rPr>
                <w:rFonts w:eastAsia="宋体" w:cs="Times New Roman"/>
                <w:color w:val="auto"/>
                <w:kern w:val="0"/>
                <w:szCs w:val="24"/>
              </w:rPr>
              <w:t>kV</w:t>
            </w:r>
            <w:r>
              <w:rPr>
                <w:rFonts w:hint="eastAsia" w:eastAsia="宋体" w:cs="Times New Roman"/>
                <w:color w:val="auto"/>
                <w:kern w:val="0"/>
                <w:szCs w:val="24"/>
              </w:rPr>
              <w:t>出线间隔，杆塔总数93基。</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根据原环境保护部关于《输变电建设项目重大变动清单（试行）》的通知（环办辐射</w:t>
            </w:r>
            <w:r>
              <w:rPr>
                <w:rFonts w:hint="eastAsia" w:ascii="宋体" w:hAnsi="宋体" w:eastAsia="宋体" w:cs="Times New Roman"/>
                <w:color w:val="auto"/>
                <w:kern w:val="0"/>
                <w:szCs w:val="24"/>
              </w:rPr>
              <w:t>〔</w:t>
            </w:r>
            <w:r>
              <w:rPr>
                <w:rFonts w:hint="eastAsia" w:eastAsia="宋体" w:cs="Times New Roman"/>
                <w:color w:val="auto"/>
                <w:kern w:val="0"/>
                <w:szCs w:val="24"/>
              </w:rPr>
              <w:t>2016</w:t>
            </w:r>
            <w:r>
              <w:rPr>
                <w:rFonts w:hint="eastAsia" w:ascii="宋体" w:hAnsi="宋体" w:eastAsia="宋体" w:cs="Times New Roman"/>
                <w:color w:val="auto"/>
                <w:kern w:val="0"/>
                <w:szCs w:val="24"/>
              </w:rPr>
              <w:t>〕</w:t>
            </w:r>
            <w:r>
              <w:rPr>
                <w:rFonts w:hint="eastAsia" w:eastAsia="宋体" w:cs="Times New Roman"/>
                <w:color w:val="auto"/>
                <w:kern w:val="0"/>
                <w:szCs w:val="24"/>
              </w:rPr>
              <w:t>84号），输变电建设项目发生清单中一项或一项以上，且可能导致不利环境影响想住加重的，界定为重大变动，其他变更界定为一般变动。变更后项目建设内容对比原环评批复建设内容见下表2-1。</w:t>
            </w: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spacing w:line="240" w:lineRule="auto"/>
              <w:ind w:firstLine="422"/>
              <w:jc w:val="center"/>
              <w:rPr>
                <w:rFonts w:eastAsia="宋体" w:cs="Times New Roman"/>
                <w:b/>
                <w:color w:val="auto"/>
                <w:kern w:val="0"/>
                <w:sz w:val="21"/>
                <w:szCs w:val="21"/>
              </w:rPr>
            </w:pPr>
            <w:r>
              <w:rPr>
                <w:rFonts w:eastAsia="宋体" w:cs="Times New Roman"/>
                <w:b/>
                <w:color w:val="auto"/>
                <w:kern w:val="0"/>
                <w:sz w:val="21"/>
                <w:szCs w:val="21"/>
              </w:rPr>
              <w:t xml:space="preserve">表2-1 </w:t>
            </w:r>
            <w:r>
              <w:rPr>
                <w:rFonts w:hint="eastAsia" w:eastAsia="宋体" w:cs="Times New Roman"/>
                <w:b/>
                <w:color w:val="auto"/>
                <w:kern w:val="0"/>
                <w:sz w:val="21"/>
                <w:szCs w:val="21"/>
              </w:rPr>
              <w:t>本项目</w:t>
            </w:r>
            <w:r>
              <w:rPr>
                <w:rFonts w:eastAsia="宋体" w:cs="Times New Roman"/>
                <w:b/>
                <w:color w:val="auto"/>
                <w:kern w:val="0"/>
                <w:sz w:val="21"/>
                <w:szCs w:val="21"/>
              </w:rPr>
              <w:t>变动情况对比一览表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510"/>
              <w:gridCol w:w="852"/>
              <w:gridCol w:w="226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序号</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重大变动清单内容</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原环评建设内容</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变更后建设内容</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是否涉及重大变动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1</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电压等级升高。</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220kV</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220kV</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主变压器、换流变压器、高压电抗器等主要设备总数量增加超过原数量的30%。</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输电线路路径长度增加超过原路径长度的30%。</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25.5km</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37.8km，路径长度增加48%。</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变电站、换流站、开关站、串补站站址位移超过500米。</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5</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输电线路横向位移超出500米的累计长度超过原路径长度的30%。</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在妙升压站出线~茶花变电站</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叫安镇那坡升压站出线~茶花变电站，仅临近茶花变电站约760m路径与原路径重叠，位移路径超过原路径97%。</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6</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因输变电工程路径、站址等发生变化，导致进入新的自然保护区、风景名胜区、饮用水水源保护区等生态敏感区。</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7</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因输变电工程路径、站址等发生变化，导致新增的电磁和声环境敏感目标超过原数量的30%。</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2处</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5处</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8</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变电站由户内布置变为户外布置。</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不涉及</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9</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输电线路由地下电缆改为架空线路。</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架空</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架空</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10</w:t>
                  </w:r>
                </w:p>
              </w:tc>
              <w:tc>
                <w:tcPr>
                  <w:tcW w:w="3514"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输电线路同塔多回架设改为多条线路架设累计长度超过原路径长度的30%。</w:t>
                  </w:r>
                </w:p>
              </w:tc>
              <w:tc>
                <w:tcPr>
                  <w:tcW w:w="852"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单回路</w:t>
                  </w:r>
                </w:p>
              </w:tc>
              <w:tc>
                <w:tcPr>
                  <w:tcW w:w="2268"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单回路</w:t>
                  </w:r>
                </w:p>
              </w:tc>
              <w:tc>
                <w:tcPr>
                  <w:tcW w:w="986" w:type="dxa"/>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否</w:t>
                  </w:r>
                </w:p>
              </w:tc>
            </w:tr>
          </w:tbl>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根据本项目由于在妙变升压站场址发生变化导致送出线路位移路径超过约路径97%，路径长度增加48%以上，新增电磁和声环境敏感目标超过原数量150%，因此，项目构成重大变动，故对华润电力上思在妙100MW农光互补发电项目送出线路工程重新进行环境影响评价并重新报批项目环境影响评价文件。</w:t>
            </w:r>
          </w:p>
          <w:p>
            <w:pPr>
              <w:adjustRightInd w:val="0"/>
              <w:snapToGrid w:val="0"/>
              <w:ind w:firstLine="482"/>
              <w:rPr>
                <w:rFonts w:eastAsia="宋体" w:cs="Times New Roman"/>
                <w:b/>
                <w:color w:val="auto"/>
                <w:kern w:val="0"/>
                <w:szCs w:val="24"/>
              </w:rPr>
            </w:pPr>
            <w:r>
              <w:rPr>
                <w:rFonts w:hint="eastAsia" w:eastAsia="宋体" w:cs="Times New Roman"/>
                <w:b/>
                <w:color w:val="auto"/>
                <w:kern w:val="0"/>
                <w:szCs w:val="24"/>
              </w:rPr>
              <w:t>2</w:t>
            </w:r>
            <w:r>
              <w:rPr>
                <w:rFonts w:eastAsia="宋体" w:cs="Times New Roman"/>
                <w:b/>
                <w:color w:val="auto"/>
                <w:kern w:val="0"/>
                <w:szCs w:val="24"/>
              </w:rPr>
              <w:t>、项目组成及建设内容</w:t>
            </w:r>
          </w:p>
          <w:p>
            <w:pPr>
              <w:adjustRightInd w:val="0"/>
              <w:snapToGrid w:val="0"/>
              <w:ind w:firstLine="480"/>
              <w:rPr>
                <w:rFonts w:eastAsia="宋体" w:cs="Times New Roman"/>
                <w:color w:val="auto"/>
                <w:kern w:val="0"/>
                <w:szCs w:val="24"/>
              </w:rPr>
            </w:pPr>
            <w:r>
              <w:rPr>
                <w:rFonts w:eastAsia="宋体" w:cs="Times New Roman"/>
                <w:color w:val="auto"/>
                <w:kern w:val="0"/>
                <w:szCs w:val="24"/>
              </w:rPr>
              <w:t>项目新建</w:t>
            </w:r>
            <w:r>
              <w:rPr>
                <w:rFonts w:hint="eastAsia" w:cs="Times New Roman"/>
                <w:color w:val="auto"/>
                <w:szCs w:val="24"/>
              </w:rPr>
              <w:t>华润上思叫安镇那坡升压站~茶花变电站</w:t>
            </w:r>
            <w:r>
              <w:rPr>
                <w:rFonts w:hint="eastAsia" w:eastAsia="宋体" w:cs="Times New Roman"/>
                <w:color w:val="auto"/>
                <w:kern w:val="0"/>
                <w:szCs w:val="24"/>
              </w:rPr>
              <w:t>220</w:t>
            </w:r>
            <w:r>
              <w:rPr>
                <w:rFonts w:eastAsia="宋体" w:cs="Times New Roman"/>
                <w:color w:val="auto"/>
                <w:kern w:val="0"/>
                <w:szCs w:val="24"/>
              </w:rPr>
              <w:t>kV输电线路，线路路径总长</w:t>
            </w:r>
            <w:r>
              <w:rPr>
                <w:rFonts w:hint="eastAsia" w:eastAsia="宋体" w:cs="Times New Roman"/>
                <w:color w:val="auto"/>
                <w:kern w:val="0"/>
                <w:szCs w:val="24"/>
              </w:rPr>
              <w:t>37.8</w:t>
            </w:r>
            <w:r>
              <w:rPr>
                <w:rFonts w:eastAsia="宋体" w:cs="Times New Roman"/>
                <w:color w:val="auto"/>
                <w:kern w:val="0"/>
                <w:szCs w:val="24"/>
              </w:rPr>
              <w:t>km，单回路，新建</w:t>
            </w:r>
            <w:r>
              <w:rPr>
                <w:rFonts w:hint="eastAsia" w:eastAsia="宋体" w:cs="Times New Roman"/>
                <w:color w:val="auto"/>
                <w:kern w:val="0"/>
                <w:szCs w:val="24"/>
              </w:rPr>
              <w:t>杆塔93基，</w:t>
            </w:r>
            <w:r>
              <w:rPr>
                <w:rFonts w:eastAsia="宋体" w:cs="Times New Roman"/>
                <w:color w:val="auto"/>
                <w:kern w:val="0"/>
                <w:szCs w:val="24"/>
              </w:rPr>
              <w:t>沿线架设2根0PGW光缆，并扩建</w:t>
            </w:r>
            <w:r>
              <w:rPr>
                <w:rFonts w:hint="eastAsia" w:eastAsia="宋体" w:cs="Times New Roman"/>
                <w:color w:val="auto"/>
                <w:kern w:val="0"/>
                <w:szCs w:val="24"/>
              </w:rPr>
              <w:t>茶花电站</w:t>
            </w:r>
            <w:r>
              <w:rPr>
                <w:rFonts w:eastAsia="宋体" w:cs="Times New Roman"/>
                <w:color w:val="auto"/>
                <w:kern w:val="0"/>
                <w:szCs w:val="24"/>
              </w:rPr>
              <w:t>1个出线间隔，项目组成及建设内容详见表 2-</w:t>
            </w:r>
            <w:r>
              <w:rPr>
                <w:rFonts w:hint="eastAsia" w:eastAsia="宋体" w:cs="Times New Roman"/>
                <w:color w:val="auto"/>
                <w:kern w:val="0"/>
                <w:szCs w:val="24"/>
              </w:rPr>
              <w:t>2</w:t>
            </w:r>
            <w:r>
              <w:rPr>
                <w:rFonts w:eastAsia="宋体" w:cs="Times New Roman"/>
                <w:color w:val="auto"/>
                <w:kern w:val="0"/>
                <w:szCs w:val="24"/>
              </w:rPr>
              <w:t>。</w:t>
            </w: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spacing w:line="240" w:lineRule="auto"/>
              <w:ind w:firstLine="422"/>
              <w:jc w:val="center"/>
              <w:rPr>
                <w:rFonts w:eastAsia="宋体" w:cs="Times New Roman"/>
                <w:b/>
                <w:color w:val="auto"/>
                <w:kern w:val="0"/>
                <w:sz w:val="21"/>
                <w:szCs w:val="21"/>
              </w:rPr>
            </w:pPr>
            <w:r>
              <w:rPr>
                <w:rFonts w:eastAsia="宋体" w:cs="Times New Roman"/>
                <w:b/>
                <w:color w:val="auto"/>
                <w:kern w:val="0"/>
                <w:sz w:val="21"/>
                <w:szCs w:val="21"/>
              </w:rPr>
              <w:t>表2-</w:t>
            </w:r>
            <w:r>
              <w:rPr>
                <w:rFonts w:hint="eastAsia" w:eastAsia="宋体" w:cs="Times New Roman"/>
                <w:b/>
                <w:color w:val="auto"/>
                <w:kern w:val="0"/>
                <w:sz w:val="21"/>
                <w:szCs w:val="21"/>
              </w:rPr>
              <w:t>2</w:t>
            </w:r>
            <w:r>
              <w:rPr>
                <w:rFonts w:eastAsia="宋体" w:cs="Times New Roman"/>
                <w:b/>
                <w:color w:val="auto"/>
                <w:kern w:val="0"/>
                <w:sz w:val="21"/>
                <w:szCs w:val="21"/>
              </w:rPr>
              <w:t xml:space="preserve"> 项目组成及建设内容一览表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834"/>
              <w:gridCol w:w="6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工程组成</w:t>
                  </w:r>
                </w:p>
              </w:tc>
              <w:tc>
                <w:tcPr>
                  <w:tcW w:w="519" w:type="pct"/>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建设内容</w:t>
                  </w:r>
                </w:p>
              </w:tc>
              <w:tc>
                <w:tcPr>
                  <w:tcW w:w="4051" w:type="pct"/>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主体工程</w:t>
                  </w:r>
                </w:p>
              </w:tc>
              <w:tc>
                <w:tcPr>
                  <w:tcW w:w="519"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线路工程</w:t>
                  </w:r>
                </w:p>
              </w:tc>
              <w:tc>
                <w:tcPr>
                  <w:tcW w:w="4051" w:type="pct"/>
                  <w:vAlign w:val="center"/>
                </w:tcPr>
                <w:p>
                  <w:pPr>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架空线路路径总长</w:t>
                  </w:r>
                  <w:r>
                    <w:rPr>
                      <w:rFonts w:hint="eastAsia" w:eastAsia="宋体" w:cs="Times New Roman"/>
                      <w:color w:val="auto"/>
                      <w:kern w:val="0"/>
                      <w:sz w:val="21"/>
                      <w:szCs w:val="21"/>
                    </w:rPr>
                    <w:t>37.8</w:t>
                  </w:r>
                  <w:r>
                    <w:rPr>
                      <w:rFonts w:eastAsia="宋体" w:cs="Times New Roman"/>
                      <w:color w:val="auto"/>
                      <w:kern w:val="0"/>
                      <w:sz w:val="21"/>
                      <w:szCs w:val="21"/>
                    </w:rPr>
                    <w:t>km，单回路，共使用铁塔</w:t>
                  </w:r>
                  <w:r>
                    <w:rPr>
                      <w:rFonts w:hint="eastAsia" w:eastAsia="宋体" w:cs="Times New Roman"/>
                      <w:color w:val="auto"/>
                      <w:kern w:val="0"/>
                      <w:sz w:val="21"/>
                      <w:szCs w:val="21"/>
                    </w:rPr>
                    <w:t>93</w:t>
                  </w:r>
                  <w:r>
                    <w:rPr>
                      <w:rFonts w:eastAsia="宋体" w:cs="Times New Roman"/>
                      <w:color w:val="auto"/>
                      <w:kern w:val="0"/>
                      <w:sz w:val="21"/>
                      <w:szCs w:val="21"/>
                    </w:rPr>
                    <w:t>基，</w:t>
                  </w:r>
                  <w:r>
                    <w:rPr>
                      <w:rFonts w:hint="eastAsia" w:eastAsia="宋体" w:cs="Times New Roman"/>
                      <w:kern w:val="0"/>
                      <w:sz w:val="21"/>
                      <w:szCs w:val="21"/>
                    </w:rPr>
                    <w:t>其中单回路直线塔50基，单回路耐张塔25基，双回路耐张塔16基</w:t>
                  </w:r>
                  <w:r>
                    <w:rPr>
                      <w:rFonts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519"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4051"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沿新建输电线路架设2根0PGW光缆，纤芯数量及类型为</w:t>
                  </w:r>
                  <w:r>
                    <w:rPr>
                      <w:rFonts w:hint="eastAsia" w:eastAsia="宋体" w:cs="Times New Roman"/>
                      <w:color w:val="auto"/>
                      <w:kern w:val="0"/>
                      <w:sz w:val="21"/>
                      <w:szCs w:val="21"/>
                    </w:rPr>
                    <w:t>24</w:t>
                  </w:r>
                  <w:r>
                    <w:rPr>
                      <w:rFonts w:eastAsia="宋体" w:cs="Times New Roman"/>
                      <w:color w:val="auto"/>
                      <w:kern w:val="0"/>
                      <w:sz w:val="21"/>
                      <w:szCs w:val="21"/>
                    </w:rPr>
                    <w:t>芯G.652D。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0"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间隔扩建</w:t>
                  </w:r>
                </w:p>
              </w:tc>
              <w:tc>
                <w:tcPr>
                  <w:tcW w:w="4051"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在</w:t>
                  </w:r>
                  <w:r>
                    <w:rPr>
                      <w:rFonts w:hint="eastAsia" w:eastAsia="宋体" w:cs="Times New Roman"/>
                      <w:color w:val="auto"/>
                      <w:kern w:val="0"/>
                      <w:sz w:val="21"/>
                      <w:szCs w:val="21"/>
                    </w:rPr>
                    <w:t>茶花电站</w:t>
                  </w:r>
                  <w:r>
                    <w:rPr>
                      <w:rFonts w:eastAsia="宋体" w:cs="Times New Roman"/>
                      <w:color w:val="auto"/>
                      <w:kern w:val="0"/>
                      <w:sz w:val="21"/>
                      <w:szCs w:val="21"/>
                    </w:rPr>
                    <w:t>扩建1个</w:t>
                  </w:r>
                  <w:r>
                    <w:rPr>
                      <w:rFonts w:hint="eastAsia" w:eastAsia="宋体" w:cs="Times New Roman"/>
                      <w:color w:val="auto"/>
                      <w:kern w:val="0"/>
                      <w:sz w:val="21"/>
                      <w:szCs w:val="21"/>
                    </w:rPr>
                    <w:t>220</w:t>
                  </w:r>
                  <w:r>
                    <w:rPr>
                      <w:rFonts w:eastAsia="宋体" w:cs="Times New Roman"/>
                      <w:color w:val="auto"/>
                      <w:kern w:val="0"/>
                      <w:sz w:val="21"/>
                      <w:szCs w:val="21"/>
                    </w:rPr>
                    <w:t>kV出线间隔。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临时工程</w:t>
                  </w: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临时道路</w:t>
                  </w:r>
                </w:p>
              </w:tc>
              <w:tc>
                <w:tcPr>
                  <w:tcW w:w="4051" w:type="pct"/>
                  <w:vAlign w:val="center"/>
                </w:tcPr>
                <w:p>
                  <w:pPr>
                    <w:adjustRightInd w:val="0"/>
                    <w:snapToGrid w:val="0"/>
                    <w:spacing w:line="240" w:lineRule="auto"/>
                    <w:ind w:firstLine="0" w:firstLineChars="0"/>
                    <w:rPr>
                      <w:rFonts w:eastAsia="宋体" w:cs="Times New Roman"/>
                      <w:kern w:val="0"/>
                      <w:sz w:val="21"/>
                      <w:szCs w:val="21"/>
                    </w:rPr>
                  </w:pPr>
                  <w:r>
                    <w:rPr>
                      <w:rFonts w:eastAsia="宋体" w:cs="Times New Roman"/>
                      <w:kern w:val="0"/>
                      <w:sz w:val="21"/>
                      <w:szCs w:val="21"/>
                    </w:rPr>
                    <w:t>项目线路沿线可利用农村道路、机耕路等作为施工道路。部分杆塔位于山上需要</w:t>
                  </w:r>
                  <w:r>
                    <w:rPr>
                      <w:rFonts w:hint="eastAsia" w:eastAsia="宋体" w:cs="Times New Roman"/>
                      <w:kern w:val="0"/>
                      <w:sz w:val="21"/>
                      <w:szCs w:val="21"/>
                    </w:rPr>
                    <w:t>修建人</w:t>
                  </w:r>
                  <w:r>
                    <w:rPr>
                      <w:rFonts w:eastAsia="宋体" w:cs="Times New Roman"/>
                      <w:kern w:val="0"/>
                      <w:sz w:val="21"/>
                      <w:szCs w:val="21"/>
                    </w:rPr>
                    <w:t>抬道路，总长约</w:t>
                  </w:r>
                  <w:r>
                    <w:rPr>
                      <w:rFonts w:hint="eastAsia" w:eastAsia="宋体" w:cs="Times New Roman"/>
                      <w:kern w:val="0"/>
                      <w:sz w:val="21"/>
                      <w:szCs w:val="21"/>
                    </w:rPr>
                    <w:t>7.1km，宽为1m，依地形布设，大部分仅简单修整（清理植被），占地面积约7100m</w:t>
                  </w:r>
                  <w:r>
                    <w:rPr>
                      <w:rFonts w:hint="eastAsia" w:eastAsia="宋体" w:cs="Times New Roman"/>
                      <w:kern w:val="0"/>
                      <w:sz w:val="21"/>
                      <w:szCs w:val="21"/>
                      <w:vertAlign w:val="superscript"/>
                    </w:rPr>
                    <w:t>2</w:t>
                  </w:r>
                  <w:r>
                    <w:rPr>
                      <w:rFonts w:hint="eastAsia" w:eastAsia="宋体" w:cs="Times New Roman"/>
                      <w:kern w:val="0"/>
                      <w:sz w:val="21"/>
                      <w:szCs w:val="21"/>
                    </w:rPr>
                    <w:t>，属于临时占地。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30"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牵张场</w:t>
                  </w:r>
                </w:p>
              </w:tc>
              <w:tc>
                <w:tcPr>
                  <w:tcW w:w="4051" w:type="pct"/>
                  <w:vAlign w:val="center"/>
                </w:tcPr>
                <w:p>
                  <w:pPr>
                    <w:adjustRightInd w:val="0"/>
                    <w:snapToGrid w:val="0"/>
                    <w:spacing w:line="240" w:lineRule="auto"/>
                    <w:ind w:firstLine="0" w:firstLineChars="0"/>
                    <w:rPr>
                      <w:rFonts w:eastAsia="宋体" w:cs="Times New Roman"/>
                      <w:kern w:val="0"/>
                      <w:sz w:val="21"/>
                      <w:szCs w:val="21"/>
                    </w:rPr>
                  </w:pPr>
                  <w:r>
                    <w:rPr>
                      <w:rFonts w:hint="eastAsia" w:eastAsia="宋体" w:cs="Times New Roman"/>
                      <w:kern w:val="0"/>
                      <w:sz w:val="21"/>
                      <w:szCs w:val="21"/>
                    </w:rPr>
                    <w:t>每隔5公里设置1处牵张场，共设置7处</w:t>
                  </w:r>
                  <w:r>
                    <w:rPr>
                      <w:rFonts w:eastAsia="宋体" w:cs="Times New Roman"/>
                      <w:kern w:val="0"/>
                      <w:sz w:val="21"/>
                      <w:szCs w:val="21"/>
                    </w:rPr>
                    <w:t>。</w:t>
                  </w:r>
                  <w:r>
                    <w:rPr>
                      <w:rFonts w:hint="eastAsia" w:eastAsia="宋体" w:cs="Times New Roman"/>
                      <w:kern w:val="0"/>
                      <w:sz w:val="21"/>
                      <w:szCs w:val="21"/>
                    </w:rPr>
                    <w:t>占地面积1400m</w:t>
                  </w:r>
                  <w:r>
                    <w:rPr>
                      <w:rFonts w:hint="eastAsia" w:eastAsia="宋体" w:cs="Times New Roman"/>
                      <w:kern w:val="0"/>
                      <w:sz w:val="21"/>
                      <w:szCs w:val="21"/>
                      <w:vertAlign w:val="superscript"/>
                    </w:rPr>
                    <w:t>2</w:t>
                  </w:r>
                  <w:r>
                    <w:rPr>
                      <w:rFonts w:hint="eastAsia" w:eastAsia="宋体" w:cs="Times New Roman"/>
                      <w:kern w:val="0"/>
                      <w:sz w:val="21"/>
                      <w:szCs w:val="21"/>
                    </w:rPr>
                    <w:t>，属于临时占地。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30"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环保工程</w:t>
                  </w: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噪声</w:t>
                  </w:r>
                </w:p>
              </w:tc>
              <w:tc>
                <w:tcPr>
                  <w:tcW w:w="4051" w:type="pct"/>
                  <w:vAlign w:val="center"/>
                </w:tcPr>
                <w:p>
                  <w:pPr>
                    <w:adjustRightInd w:val="0"/>
                    <w:snapToGrid w:val="0"/>
                    <w:spacing w:line="240" w:lineRule="auto"/>
                    <w:ind w:firstLine="420"/>
                    <w:jc w:val="center"/>
                    <w:rPr>
                      <w:rFonts w:eastAsia="宋体" w:cs="Times New Roman"/>
                      <w:color w:val="auto"/>
                      <w:kern w:val="0"/>
                      <w:sz w:val="21"/>
                      <w:szCs w:val="21"/>
                    </w:rPr>
                  </w:pPr>
                  <w:r>
                    <w:rPr>
                      <w:rFonts w:eastAsia="宋体" w:cs="Times New Roman"/>
                      <w:color w:val="auto"/>
                      <w:kern w:val="0"/>
                      <w:sz w:val="21"/>
                      <w:szCs w:val="21"/>
                    </w:rPr>
                    <w:t>选用合适的导线面积、分裂间距，尽量抬高导线高度。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电磁辐射</w:t>
                  </w:r>
                </w:p>
              </w:tc>
              <w:tc>
                <w:tcPr>
                  <w:tcW w:w="4051" w:type="pct"/>
                  <w:vAlign w:val="center"/>
                </w:tcPr>
                <w:p>
                  <w:pPr>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合理选线，尽量避开环境敏感目标，合理设计塔型，选用合适的导线面积、分裂间距及金具附件等，尽量提高导线高度，设置安全警示标志。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51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生态环境</w:t>
                  </w:r>
                </w:p>
              </w:tc>
              <w:tc>
                <w:tcPr>
                  <w:tcW w:w="4051" w:type="pct"/>
                  <w:vAlign w:val="center"/>
                </w:tcPr>
                <w:p>
                  <w:pPr>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t>剥离表土临时堆放，并采取密目网临时覆盖，施工结束后回覆表土并</w:t>
                  </w:r>
                  <w:r>
                    <w:rPr>
                      <w:rFonts w:hint="eastAsia" w:eastAsia="宋体" w:cs="Times New Roman"/>
                      <w:color w:val="auto"/>
                      <w:kern w:val="0"/>
                      <w:sz w:val="21"/>
                      <w:szCs w:val="21"/>
                    </w:rPr>
                    <w:t>复种</w:t>
                  </w:r>
                  <w:r>
                    <w:rPr>
                      <w:rFonts w:eastAsia="宋体" w:cs="Times New Roman"/>
                      <w:color w:val="auto"/>
                      <w:kern w:val="0"/>
                      <w:sz w:val="21"/>
                      <w:szCs w:val="21"/>
                    </w:rPr>
                    <w:t>绿植。合理布置施工现场尽量减少施工占地，雨天停止施工。</w:t>
                  </w:r>
                </w:p>
              </w:tc>
            </w:tr>
          </w:tbl>
          <w:p>
            <w:pPr>
              <w:adjustRightInd w:val="0"/>
              <w:snapToGrid w:val="0"/>
              <w:ind w:firstLine="482"/>
              <w:rPr>
                <w:rFonts w:eastAsia="宋体" w:cs="Times New Roman"/>
                <w:b/>
                <w:color w:val="auto"/>
                <w:kern w:val="0"/>
                <w:szCs w:val="24"/>
              </w:rPr>
            </w:pPr>
            <w:r>
              <w:rPr>
                <w:rFonts w:eastAsia="宋体" w:cs="Times New Roman"/>
                <w:b/>
                <w:color w:val="auto"/>
                <w:kern w:val="0"/>
                <w:szCs w:val="24"/>
              </w:rPr>
              <w:t>2、建设规模及主要工程参数</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（1）线路工程</w:t>
            </w:r>
          </w:p>
          <w:p>
            <w:pPr>
              <w:adjustRightInd w:val="0"/>
              <w:snapToGrid w:val="0"/>
              <w:ind w:firstLine="480"/>
              <w:rPr>
                <w:rFonts w:eastAsia="宋体" w:cs="Times New Roman"/>
                <w:color w:val="auto"/>
                <w:kern w:val="0"/>
                <w:szCs w:val="24"/>
              </w:rPr>
            </w:pPr>
            <w:r>
              <w:rPr>
                <w:rFonts w:eastAsia="宋体" w:cs="Times New Roman"/>
                <w:color w:val="auto"/>
                <w:kern w:val="0"/>
                <w:szCs w:val="24"/>
              </w:rPr>
              <w:t>电压等级：</w:t>
            </w:r>
            <w:r>
              <w:rPr>
                <w:rFonts w:hint="eastAsia" w:eastAsia="宋体" w:cs="Times New Roman"/>
                <w:color w:val="auto"/>
                <w:kern w:val="0"/>
                <w:szCs w:val="24"/>
              </w:rPr>
              <w:t>220</w:t>
            </w:r>
            <w:r>
              <w:rPr>
                <w:rFonts w:eastAsia="宋体" w:cs="Times New Roman"/>
                <w:color w:val="auto"/>
                <w:kern w:val="0"/>
                <w:szCs w:val="24"/>
              </w:rPr>
              <w:t>kV</w:t>
            </w:r>
          </w:p>
          <w:p>
            <w:pPr>
              <w:adjustRightInd w:val="0"/>
              <w:snapToGrid w:val="0"/>
              <w:ind w:firstLine="480"/>
              <w:rPr>
                <w:rFonts w:eastAsia="宋体" w:cs="Times New Roman"/>
                <w:color w:val="auto"/>
                <w:kern w:val="0"/>
                <w:szCs w:val="24"/>
              </w:rPr>
            </w:pPr>
            <w:r>
              <w:rPr>
                <w:rFonts w:eastAsia="宋体" w:cs="Times New Roman"/>
                <w:color w:val="auto"/>
                <w:kern w:val="0"/>
                <w:szCs w:val="24"/>
              </w:rPr>
              <w:t>线路起讫点：线路起点</w:t>
            </w:r>
            <w:r>
              <w:rPr>
                <w:rFonts w:hint="eastAsia" w:eastAsia="宋体" w:cs="Times New Roman"/>
                <w:color w:val="auto"/>
                <w:kern w:val="0"/>
                <w:szCs w:val="24"/>
              </w:rPr>
              <w:t>叫安镇那坡升压站</w:t>
            </w:r>
            <w:r>
              <w:rPr>
                <w:rFonts w:eastAsia="宋体" w:cs="Times New Roman"/>
                <w:color w:val="auto"/>
                <w:kern w:val="0"/>
                <w:szCs w:val="24"/>
              </w:rPr>
              <w:t>，终</w:t>
            </w:r>
            <w:r>
              <w:rPr>
                <w:rFonts w:hint="eastAsia" w:eastAsia="宋体" w:cs="Times New Roman"/>
                <w:color w:val="auto"/>
                <w:kern w:val="0"/>
                <w:szCs w:val="24"/>
              </w:rPr>
              <w:t>至茶花变电站</w:t>
            </w:r>
            <w:r>
              <w:rPr>
                <w:rFonts w:eastAsia="宋体" w:cs="Times New Roman"/>
                <w:color w:val="auto"/>
                <w:kern w:val="0"/>
                <w:szCs w:val="24"/>
              </w:rPr>
              <w:t>。</w:t>
            </w:r>
          </w:p>
          <w:p>
            <w:pPr>
              <w:adjustRightInd w:val="0"/>
              <w:snapToGrid w:val="0"/>
              <w:ind w:firstLine="480"/>
              <w:rPr>
                <w:rFonts w:eastAsia="宋体" w:cs="Times New Roman"/>
                <w:color w:val="auto"/>
                <w:kern w:val="0"/>
                <w:szCs w:val="24"/>
              </w:rPr>
            </w:pPr>
            <w:r>
              <w:rPr>
                <w:rFonts w:eastAsia="宋体" w:cs="Times New Roman"/>
                <w:color w:val="auto"/>
                <w:kern w:val="0"/>
                <w:szCs w:val="24"/>
              </w:rPr>
              <w:t>回路数及线路长度：单回路。线路路径总长度约</w:t>
            </w:r>
            <w:r>
              <w:rPr>
                <w:rFonts w:hint="eastAsia" w:eastAsia="宋体" w:cs="Times New Roman"/>
                <w:color w:val="auto"/>
                <w:kern w:val="0"/>
                <w:szCs w:val="24"/>
              </w:rPr>
              <w:t>37.8</w:t>
            </w:r>
            <w:r>
              <w:rPr>
                <w:rFonts w:eastAsia="宋体" w:cs="Times New Roman"/>
                <w:color w:val="auto"/>
                <w:kern w:val="0"/>
                <w:szCs w:val="24"/>
              </w:rPr>
              <w:t>km，架空线路</w:t>
            </w:r>
            <w:r>
              <w:rPr>
                <w:rFonts w:hint="eastAsia" w:eastAsia="宋体" w:cs="Times New Roman"/>
                <w:color w:val="auto"/>
                <w:kern w:val="0"/>
                <w:szCs w:val="24"/>
              </w:rPr>
              <w:t>。</w:t>
            </w:r>
          </w:p>
          <w:p>
            <w:pPr>
              <w:adjustRightInd w:val="0"/>
              <w:snapToGrid w:val="0"/>
              <w:ind w:firstLine="480"/>
              <w:rPr>
                <w:rFonts w:eastAsia="宋体" w:cs="Times New Roman"/>
                <w:color w:val="auto"/>
                <w:kern w:val="0"/>
                <w:szCs w:val="24"/>
              </w:rPr>
            </w:pPr>
            <w:r>
              <w:rPr>
                <w:rFonts w:eastAsia="宋体" w:cs="Times New Roman"/>
                <w:color w:val="auto"/>
                <w:kern w:val="0"/>
                <w:szCs w:val="24"/>
              </w:rPr>
              <w:t>架空导线型号：</w:t>
            </w:r>
            <w:r>
              <w:rPr>
                <w:rFonts w:hint="eastAsia" w:eastAsia="宋体" w:cs="Times New Roman"/>
                <w:color w:val="auto"/>
                <w:kern w:val="0"/>
                <w:szCs w:val="24"/>
              </w:rPr>
              <w:t>2×</w:t>
            </w:r>
            <w:r>
              <w:rPr>
                <w:rFonts w:eastAsia="宋体" w:cs="Times New Roman"/>
                <w:color w:val="auto"/>
                <w:kern w:val="0"/>
                <w:szCs w:val="24"/>
              </w:rPr>
              <w:t>JL/LB</w:t>
            </w:r>
            <w:r>
              <w:rPr>
                <w:rFonts w:hint="eastAsia" w:eastAsia="宋体" w:cs="Times New Roman"/>
                <w:color w:val="auto"/>
                <w:kern w:val="0"/>
                <w:szCs w:val="24"/>
              </w:rPr>
              <w:t>20</w:t>
            </w:r>
            <w:r>
              <w:rPr>
                <w:rFonts w:eastAsia="宋体" w:cs="Times New Roman"/>
                <w:color w:val="auto"/>
                <w:kern w:val="0"/>
                <w:szCs w:val="24"/>
              </w:rPr>
              <w:t>A-300/40铝包钢芯铝绞线。</w:t>
            </w:r>
          </w:p>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表</w:t>
            </w:r>
            <w:r>
              <w:rPr>
                <w:rFonts w:hint="eastAsia" w:eastAsia="宋体" w:cs="Times New Roman"/>
                <w:b/>
                <w:color w:val="auto"/>
                <w:kern w:val="0"/>
                <w:sz w:val="21"/>
                <w:szCs w:val="21"/>
              </w:rPr>
              <w:t>2</w:t>
            </w:r>
            <w:r>
              <w:rPr>
                <w:rFonts w:eastAsia="宋体" w:cs="Times New Roman"/>
                <w:b/>
                <w:color w:val="auto"/>
                <w:kern w:val="0"/>
                <w:sz w:val="21"/>
                <w:szCs w:val="21"/>
              </w:rPr>
              <w:t>-</w:t>
            </w:r>
            <w:r>
              <w:rPr>
                <w:rFonts w:hint="eastAsia" w:eastAsia="宋体" w:cs="Times New Roman"/>
                <w:b/>
                <w:color w:val="auto"/>
                <w:kern w:val="0"/>
                <w:sz w:val="21"/>
                <w:szCs w:val="21"/>
              </w:rPr>
              <w:t>3</w:t>
            </w:r>
            <w:r>
              <w:rPr>
                <w:rFonts w:eastAsia="宋体" w:cs="Times New Roman"/>
                <w:b/>
                <w:color w:val="auto"/>
                <w:kern w:val="0"/>
                <w:sz w:val="21"/>
                <w:szCs w:val="21"/>
              </w:rPr>
              <w:t xml:space="preserve">   JL/LB</w:t>
            </w:r>
            <w:r>
              <w:rPr>
                <w:rFonts w:hint="eastAsia" w:eastAsia="宋体" w:cs="Times New Roman"/>
                <w:b/>
                <w:color w:val="auto"/>
                <w:kern w:val="0"/>
                <w:sz w:val="21"/>
                <w:szCs w:val="21"/>
              </w:rPr>
              <w:t>20</w:t>
            </w:r>
            <w:r>
              <w:rPr>
                <w:rFonts w:eastAsia="宋体" w:cs="Times New Roman"/>
                <w:b/>
                <w:color w:val="auto"/>
                <w:kern w:val="0"/>
                <w:sz w:val="21"/>
                <w:szCs w:val="21"/>
              </w:rPr>
              <w:t>A-300/40导线机械物理特性参数表</w:t>
            </w:r>
          </w:p>
          <w:tbl>
            <w:tblPr>
              <w:tblStyle w:val="15"/>
              <w:tblW w:w="5000" w:type="pct"/>
              <w:jc w:val="center"/>
              <w:tblLayout w:type="autofit"/>
              <w:tblCellMar>
                <w:top w:w="0" w:type="dxa"/>
                <w:left w:w="0" w:type="dxa"/>
                <w:bottom w:w="0" w:type="dxa"/>
                <w:right w:w="0" w:type="dxa"/>
              </w:tblCellMar>
            </w:tblPr>
            <w:tblGrid>
              <w:gridCol w:w="3094"/>
              <w:gridCol w:w="1813"/>
              <w:gridCol w:w="3142"/>
            </w:tblGrid>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b/>
                      <w:color w:val="auto"/>
                      <w:kern w:val="0"/>
                      <w:sz w:val="21"/>
                      <w:szCs w:val="21"/>
                      <w:lang w:bidi="ar"/>
                    </w:rPr>
                  </w:pPr>
                  <w:r>
                    <w:rPr>
                      <w:rFonts w:hint="eastAsia" w:eastAsia="宋体" w:cs="Times New Roman"/>
                      <w:b/>
                      <w:color w:val="auto"/>
                      <w:kern w:val="0"/>
                      <w:sz w:val="21"/>
                      <w:szCs w:val="21"/>
                      <w:lang w:bidi="ar"/>
                    </w:rPr>
                    <w:t>参数名称</w:t>
                  </w:r>
                </w:p>
              </w:tc>
              <w:tc>
                <w:tcPr>
                  <w:tcW w:w="1126" w:type="pct"/>
                  <w:tcBorders>
                    <w:top w:val="single" w:color="000000" w:sz="4" w:space="0"/>
                    <w:left w:val="single" w:color="000000" w:sz="4" w:space="0"/>
                    <w:bottom w:val="single" w:color="000000" w:sz="4" w:space="0"/>
                    <w:right w:val="single" w:color="000000" w:sz="4" w:space="0"/>
                    <w:tl2br w:val="single" w:color="000000" w:sz="4" w:space="0"/>
                  </w:tcBorders>
                  <w:tcMar>
                    <w:top w:w="15" w:type="dxa"/>
                    <w:left w:w="15" w:type="dxa"/>
                    <w:right w:w="15" w:type="dxa"/>
                  </w:tcMar>
                  <w:vAlign w:val="center"/>
                </w:tcPr>
                <w:p>
                  <w:pPr>
                    <w:widowControl/>
                    <w:spacing w:line="320" w:lineRule="exact"/>
                    <w:ind w:firstLine="0" w:firstLineChars="0"/>
                    <w:jc w:val="right"/>
                    <w:textAlignment w:val="center"/>
                    <w:rPr>
                      <w:rFonts w:eastAsia="宋体" w:cs="Times New Roman"/>
                      <w:b/>
                      <w:color w:val="auto"/>
                      <w:kern w:val="0"/>
                      <w:sz w:val="21"/>
                      <w:szCs w:val="21"/>
                      <w:lang w:bidi="ar"/>
                    </w:rPr>
                  </w:pPr>
                  <w:r>
                    <w:rPr>
                      <w:rFonts w:eastAsia="宋体" w:cs="Times New Roman"/>
                      <w:b/>
                      <w:color w:val="auto"/>
                      <w:kern w:val="0"/>
                      <w:sz w:val="21"/>
                      <w:szCs w:val="21"/>
                      <w:lang w:bidi="ar"/>
                    </w:rPr>
                    <w:t>型号</w:t>
                  </w:r>
                </w:p>
                <w:p>
                  <w:pPr>
                    <w:widowControl/>
                    <w:spacing w:line="320" w:lineRule="exact"/>
                    <w:ind w:firstLine="0" w:firstLineChars="0"/>
                    <w:textAlignment w:val="center"/>
                    <w:rPr>
                      <w:rFonts w:eastAsia="宋体" w:cs="Times New Roman"/>
                      <w:b/>
                      <w:color w:val="auto"/>
                      <w:kern w:val="0"/>
                      <w:sz w:val="21"/>
                      <w:szCs w:val="21"/>
                      <w:lang w:bidi="ar"/>
                    </w:rPr>
                  </w:pPr>
                  <w:r>
                    <w:rPr>
                      <w:rFonts w:hint="eastAsia" w:eastAsia="宋体" w:cs="Times New Roman"/>
                      <w:b/>
                      <w:color w:val="auto"/>
                      <w:kern w:val="0"/>
                      <w:sz w:val="21"/>
                      <w:szCs w:val="21"/>
                      <w:lang w:bidi="ar"/>
                    </w:rPr>
                    <w:t>单位</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b/>
                      <w:color w:val="auto"/>
                      <w:kern w:val="0"/>
                      <w:sz w:val="21"/>
                      <w:szCs w:val="21"/>
                      <w:lang w:bidi="ar"/>
                    </w:rPr>
                  </w:pPr>
                  <w:r>
                    <w:rPr>
                      <w:rFonts w:eastAsia="宋体" w:cs="Times New Roman"/>
                      <w:b/>
                      <w:color w:val="auto"/>
                      <w:kern w:val="0"/>
                      <w:sz w:val="21"/>
                      <w:szCs w:val="21"/>
                      <w:lang w:bidi="ar"/>
                    </w:rPr>
                    <w:t>JL/LB</w:t>
                  </w:r>
                  <w:r>
                    <w:rPr>
                      <w:rFonts w:hint="eastAsia" w:eastAsia="宋体" w:cs="Times New Roman"/>
                      <w:b/>
                      <w:color w:val="auto"/>
                      <w:kern w:val="0"/>
                      <w:sz w:val="21"/>
                      <w:szCs w:val="21"/>
                      <w:lang w:bidi="ar"/>
                    </w:rPr>
                    <w:t>20</w:t>
                  </w:r>
                  <w:r>
                    <w:rPr>
                      <w:rFonts w:eastAsia="宋体" w:cs="Times New Roman"/>
                      <w:b/>
                      <w:color w:val="auto"/>
                      <w:kern w:val="0"/>
                      <w:sz w:val="21"/>
                      <w:szCs w:val="21"/>
                      <w:lang w:bidi="ar"/>
                    </w:rPr>
                    <w:t>A-300/40</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铝股/直径</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根数/mm</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24/3.99</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钢股/直径</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根数/mm</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7/2.66</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铝部截面积</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mm</w:t>
                  </w:r>
                  <w:r>
                    <w:rPr>
                      <w:rFonts w:eastAsia="宋体" w:cs="Times New Roman"/>
                      <w:color w:val="auto"/>
                      <w:kern w:val="0"/>
                      <w:sz w:val="21"/>
                      <w:szCs w:val="21"/>
                      <w:vertAlign w:val="superscript"/>
                    </w:rPr>
                    <w:t>2</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300.09</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钢部截面积</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mm</w:t>
                  </w:r>
                  <w:r>
                    <w:rPr>
                      <w:rFonts w:eastAsia="宋体" w:cs="Times New Roman"/>
                      <w:color w:val="auto"/>
                      <w:kern w:val="0"/>
                      <w:sz w:val="21"/>
                      <w:szCs w:val="21"/>
                      <w:vertAlign w:val="superscript"/>
                    </w:rPr>
                    <w:t>2</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3</w:t>
                  </w:r>
                  <w:r>
                    <w:rPr>
                      <w:rFonts w:hint="eastAsia" w:eastAsia="宋体" w:cs="Times New Roman"/>
                      <w:color w:val="auto"/>
                      <w:kern w:val="0"/>
                      <w:sz w:val="21"/>
                      <w:szCs w:val="21"/>
                      <w:lang w:bidi="ar"/>
                    </w:rPr>
                    <w:t>8</w:t>
                  </w:r>
                  <w:r>
                    <w:rPr>
                      <w:rFonts w:eastAsia="宋体" w:cs="Times New Roman"/>
                      <w:color w:val="auto"/>
                      <w:kern w:val="0"/>
                      <w:sz w:val="21"/>
                      <w:szCs w:val="21"/>
                      <w:lang w:bidi="ar"/>
                    </w:rPr>
                    <w:t>.9</w:t>
                  </w:r>
                  <w:r>
                    <w:rPr>
                      <w:rFonts w:hint="eastAsia" w:eastAsia="宋体" w:cs="Times New Roman"/>
                      <w:color w:val="auto"/>
                      <w:kern w:val="0"/>
                      <w:sz w:val="21"/>
                      <w:szCs w:val="21"/>
                      <w:lang w:bidi="ar"/>
                    </w:rPr>
                    <w:t>0</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综合截面积</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mm</w:t>
                  </w:r>
                  <w:r>
                    <w:rPr>
                      <w:rFonts w:eastAsia="宋体" w:cs="Times New Roman"/>
                      <w:color w:val="auto"/>
                      <w:kern w:val="0"/>
                      <w:sz w:val="21"/>
                      <w:szCs w:val="21"/>
                      <w:vertAlign w:val="superscript"/>
                    </w:rPr>
                    <w:t>2</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338.99</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计算直</w:t>
                  </w:r>
                  <w:r>
                    <w:rPr>
                      <w:rFonts w:hint="eastAsia" w:eastAsia="宋体" w:cs="Times New Roman"/>
                      <w:color w:val="auto"/>
                      <w:kern w:val="0"/>
                      <w:sz w:val="21"/>
                      <w:szCs w:val="21"/>
                      <w:lang w:bidi="ar"/>
                    </w:rPr>
                    <w:t>径</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mm</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2</w:t>
                  </w:r>
                  <w:r>
                    <w:rPr>
                      <w:rFonts w:hint="eastAsia" w:eastAsia="宋体" w:cs="Times New Roman"/>
                      <w:color w:val="auto"/>
                      <w:kern w:val="0"/>
                      <w:sz w:val="21"/>
                      <w:szCs w:val="21"/>
                      <w:lang w:bidi="ar"/>
                    </w:rPr>
                    <w:t>3</w:t>
                  </w:r>
                  <w:r>
                    <w:rPr>
                      <w:rFonts w:eastAsia="宋体" w:cs="Times New Roman"/>
                      <w:color w:val="auto"/>
                      <w:kern w:val="0"/>
                      <w:sz w:val="21"/>
                      <w:szCs w:val="21"/>
                      <w:lang w:bidi="ar"/>
                    </w:rPr>
                    <w:t>.94</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额定抗拉力</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K</w:t>
                  </w:r>
                  <w:r>
                    <w:rPr>
                      <w:rFonts w:eastAsia="宋体" w:cs="Times New Roman"/>
                      <w:color w:val="auto"/>
                      <w:kern w:val="0"/>
                      <w:sz w:val="21"/>
                      <w:szCs w:val="21"/>
                      <w:lang w:bidi="ar"/>
                    </w:rPr>
                    <w:t>N</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≥94</w:t>
                  </w:r>
                  <w:r>
                    <w:rPr>
                      <w:rFonts w:hint="eastAsia" w:eastAsia="宋体" w:cs="Times New Roman"/>
                      <w:color w:val="auto"/>
                      <w:kern w:val="0"/>
                      <w:sz w:val="21"/>
                      <w:szCs w:val="21"/>
                      <w:lang w:bidi="ar"/>
                    </w:rPr>
                    <w:t>.</w:t>
                  </w:r>
                  <w:r>
                    <w:rPr>
                      <w:rFonts w:eastAsia="宋体" w:cs="Times New Roman"/>
                      <w:color w:val="auto"/>
                      <w:kern w:val="0"/>
                      <w:sz w:val="21"/>
                      <w:szCs w:val="21"/>
                      <w:lang w:bidi="ar"/>
                    </w:rPr>
                    <w:t>69</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弹性系数</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N/mm</w:t>
                  </w:r>
                  <w:r>
                    <w:rPr>
                      <w:rFonts w:eastAsia="宋体" w:cs="Times New Roman"/>
                      <w:color w:val="auto"/>
                      <w:kern w:val="0"/>
                      <w:sz w:val="21"/>
                      <w:szCs w:val="21"/>
                      <w:vertAlign w:val="superscript"/>
                    </w:rPr>
                    <w:t>2</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6</w:t>
                  </w:r>
                  <w:r>
                    <w:rPr>
                      <w:rFonts w:hint="eastAsia" w:eastAsia="宋体" w:cs="Times New Roman"/>
                      <w:color w:val="auto"/>
                      <w:kern w:val="0"/>
                      <w:sz w:val="21"/>
                      <w:szCs w:val="21"/>
                      <w:lang w:bidi="ar"/>
                    </w:rPr>
                    <w:t>90</w:t>
                  </w:r>
                  <w:r>
                    <w:rPr>
                      <w:rFonts w:eastAsia="宋体" w:cs="Times New Roman"/>
                      <w:color w:val="auto"/>
                      <w:kern w:val="0"/>
                      <w:sz w:val="21"/>
                      <w:szCs w:val="21"/>
                      <w:lang w:bidi="ar"/>
                    </w:rPr>
                    <w:t>00</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线膨胀系数</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l/℃</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2</w:t>
                  </w:r>
                  <w:r>
                    <w:rPr>
                      <w:rFonts w:hint="eastAsia" w:eastAsia="宋体" w:cs="Times New Roman"/>
                      <w:color w:val="auto"/>
                      <w:kern w:val="0"/>
                      <w:sz w:val="21"/>
                      <w:szCs w:val="21"/>
                      <w:lang w:bidi="ar"/>
                    </w:rPr>
                    <w:t>0.6</w:t>
                  </w:r>
                  <w:r>
                    <w:rPr>
                      <w:rFonts w:eastAsia="宋体" w:cs="Times New Roman"/>
                      <w:color w:val="auto"/>
                      <w:kern w:val="0"/>
                      <w:sz w:val="21"/>
                      <w:szCs w:val="21"/>
                      <w:lang w:bidi="ar"/>
                    </w:rPr>
                    <w:t>×10</w:t>
                  </w:r>
                  <w:r>
                    <w:rPr>
                      <w:rFonts w:eastAsia="宋体" w:cs="Times New Roman"/>
                      <w:color w:val="auto"/>
                      <w:kern w:val="0"/>
                      <w:sz w:val="21"/>
                      <w:szCs w:val="21"/>
                      <w:vertAlign w:val="superscript"/>
                      <w:lang w:bidi="ar"/>
                    </w:rPr>
                    <w:t>-6</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直流电阻不大于(20℃)</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Ω/km</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≤0.09211</w:t>
                  </w:r>
                </w:p>
              </w:tc>
            </w:tr>
            <w:tr>
              <w:tblPrEx>
                <w:tblCellMar>
                  <w:top w:w="0" w:type="dxa"/>
                  <w:left w:w="0" w:type="dxa"/>
                  <w:bottom w:w="0" w:type="dxa"/>
                  <w:right w:w="0" w:type="dxa"/>
                </w:tblCellMar>
              </w:tblPrEx>
              <w:trPr>
                <w:trHeight w:val="340" w:hRule="atLeast"/>
                <w:jc w:val="center"/>
              </w:trPr>
              <w:tc>
                <w:tcPr>
                  <w:tcW w:w="19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参考重量</w:t>
                  </w:r>
                </w:p>
              </w:tc>
              <w:tc>
                <w:tcPr>
                  <w:tcW w:w="11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kg/km</w:t>
                  </w:r>
                </w:p>
              </w:tc>
              <w:tc>
                <w:tcPr>
                  <w:tcW w:w="195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1085.5</w:t>
                  </w:r>
                </w:p>
              </w:tc>
            </w:tr>
          </w:tbl>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地线</w:t>
            </w:r>
            <w:r>
              <w:rPr>
                <w:rFonts w:eastAsia="宋体" w:cs="Times New Roman"/>
                <w:color w:val="auto"/>
                <w:kern w:val="0"/>
                <w:szCs w:val="24"/>
              </w:rPr>
              <w:t>型号：全线架设 2 根</w:t>
            </w:r>
            <w:r>
              <w:rPr>
                <w:rFonts w:hint="eastAsia" w:eastAsia="宋体" w:cs="Times New Roman"/>
                <w:color w:val="auto"/>
                <w:kern w:val="0"/>
                <w:szCs w:val="24"/>
              </w:rPr>
              <w:t>24</w:t>
            </w:r>
            <w:r>
              <w:rPr>
                <w:rFonts w:eastAsia="宋体" w:cs="Times New Roman"/>
                <w:color w:val="auto"/>
                <w:kern w:val="0"/>
                <w:szCs w:val="24"/>
              </w:rPr>
              <w:t>芯 OPGW-</w:t>
            </w:r>
            <w:r>
              <w:rPr>
                <w:rFonts w:hint="eastAsia" w:eastAsia="宋体" w:cs="Times New Roman"/>
                <w:color w:val="auto"/>
                <w:kern w:val="0"/>
                <w:szCs w:val="24"/>
              </w:rPr>
              <w:t>24B1-80</w:t>
            </w:r>
            <w:r>
              <w:rPr>
                <w:rFonts w:eastAsia="宋体" w:cs="Times New Roman"/>
                <w:color w:val="auto"/>
                <w:kern w:val="0"/>
                <w:szCs w:val="24"/>
              </w:rPr>
              <w:t>光缆，光缆机械物理特性参数分别见表</w:t>
            </w:r>
            <w:r>
              <w:rPr>
                <w:rFonts w:hint="eastAsia" w:eastAsia="宋体" w:cs="Times New Roman"/>
                <w:color w:val="auto"/>
                <w:kern w:val="0"/>
                <w:szCs w:val="24"/>
              </w:rPr>
              <w:t>2</w:t>
            </w:r>
            <w:r>
              <w:rPr>
                <w:rFonts w:eastAsia="宋体" w:cs="Times New Roman"/>
                <w:color w:val="auto"/>
                <w:kern w:val="0"/>
                <w:szCs w:val="24"/>
              </w:rPr>
              <w:t>-</w:t>
            </w:r>
            <w:r>
              <w:rPr>
                <w:rFonts w:hint="eastAsia" w:eastAsia="宋体" w:cs="Times New Roman"/>
                <w:color w:val="auto"/>
                <w:kern w:val="0"/>
                <w:szCs w:val="24"/>
              </w:rPr>
              <w:t>4</w:t>
            </w:r>
            <w:r>
              <w:rPr>
                <w:rFonts w:eastAsia="宋体" w:cs="Times New Roman"/>
                <w:color w:val="auto"/>
                <w:kern w:val="0"/>
                <w:szCs w:val="24"/>
              </w:rPr>
              <w:t>。</w:t>
            </w:r>
          </w:p>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表</w:t>
            </w:r>
            <w:r>
              <w:rPr>
                <w:rFonts w:hint="eastAsia" w:eastAsia="宋体" w:cs="Times New Roman"/>
                <w:b/>
                <w:color w:val="auto"/>
                <w:kern w:val="0"/>
                <w:sz w:val="21"/>
                <w:szCs w:val="21"/>
              </w:rPr>
              <w:t>2</w:t>
            </w:r>
            <w:r>
              <w:rPr>
                <w:rFonts w:eastAsia="宋体" w:cs="Times New Roman"/>
                <w:b/>
                <w:color w:val="auto"/>
                <w:kern w:val="0"/>
                <w:sz w:val="21"/>
                <w:szCs w:val="21"/>
              </w:rPr>
              <w:t>-</w:t>
            </w:r>
            <w:r>
              <w:rPr>
                <w:rFonts w:hint="eastAsia" w:eastAsia="宋体" w:cs="Times New Roman"/>
                <w:b/>
                <w:color w:val="auto"/>
                <w:kern w:val="0"/>
                <w:sz w:val="21"/>
                <w:szCs w:val="21"/>
              </w:rPr>
              <w:t>4</w:t>
            </w:r>
            <w:r>
              <w:rPr>
                <w:rFonts w:eastAsia="宋体" w:cs="Times New Roman"/>
                <w:b/>
                <w:color w:val="auto"/>
                <w:kern w:val="0"/>
                <w:sz w:val="21"/>
                <w:szCs w:val="21"/>
              </w:rPr>
              <w:t xml:space="preserve"> </w:t>
            </w:r>
            <w:r>
              <w:rPr>
                <w:rFonts w:hint="eastAsia" w:eastAsia="宋体" w:cs="Times New Roman"/>
                <w:b/>
                <w:color w:val="auto"/>
                <w:kern w:val="0"/>
                <w:sz w:val="21"/>
                <w:szCs w:val="21"/>
              </w:rPr>
              <w:t>O</w:t>
            </w:r>
            <w:r>
              <w:rPr>
                <w:rFonts w:eastAsia="宋体" w:cs="Times New Roman"/>
                <w:b/>
                <w:color w:val="auto"/>
                <w:kern w:val="0"/>
                <w:sz w:val="21"/>
                <w:szCs w:val="21"/>
              </w:rPr>
              <w:t>PGW机械物理特性参数表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1597"/>
              <w:gridCol w:w="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831" w:type="pct"/>
                  <w:tcBorders>
                    <w:bottom w:val="single" w:color="auto" w:sz="4" w:space="0"/>
                  </w:tcBorders>
                  <w:vAlign w:val="center"/>
                </w:tcPr>
                <w:p>
                  <w:pPr>
                    <w:widowControl/>
                    <w:spacing w:line="320" w:lineRule="exact"/>
                    <w:ind w:firstLine="0" w:firstLineChars="0"/>
                    <w:jc w:val="center"/>
                    <w:textAlignment w:val="center"/>
                    <w:rPr>
                      <w:rFonts w:eastAsia="宋体" w:cs="Times New Roman"/>
                      <w:b/>
                      <w:color w:val="auto"/>
                      <w:kern w:val="0"/>
                      <w:sz w:val="21"/>
                      <w:szCs w:val="21"/>
                      <w:lang w:bidi="ar"/>
                    </w:rPr>
                  </w:pPr>
                  <w:r>
                    <w:rPr>
                      <w:rFonts w:eastAsia="宋体" w:cs="Times New Roman"/>
                      <w:b/>
                      <w:color w:val="auto"/>
                      <w:kern w:val="0"/>
                      <w:sz w:val="21"/>
                      <w:szCs w:val="21"/>
                      <w:lang w:bidi="ar"/>
                    </w:rPr>
                    <w:t>参数</w:t>
                  </w:r>
                </w:p>
              </w:tc>
              <w:tc>
                <w:tcPr>
                  <w:tcW w:w="993" w:type="pct"/>
                  <w:tcBorders>
                    <w:bottom w:val="single" w:color="auto" w:sz="4" w:space="0"/>
                    <w:tl2br w:val="single" w:color="auto" w:sz="4" w:space="0"/>
                  </w:tcBorders>
                  <w:vAlign w:val="center"/>
                </w:tcPr>
                <w:p>
                  <w:pPr>
                    <w:widowControl/>
                    <w:spacing w:line="320" w:lineRule="exact"/>
                    <w:ind w:firstLine="0" w:firstLineChars="0"/>
                    <w:jc w:val="right"/>
                    <w:textAlignment w:val="center"/>
                    <w:rPr>
                      <w:rFonts w:eastAsia="宋体" w:cs="Times New Roman"/>
                      <w:b/>
                      <w:color w:val="auto"/>
                      <w:kern w:val="0"/>
                      <w:sz w:val="21"/>
                      <w:szCs w:val="21"/>
                      <w:lang w:bidi="ar"/>
                    </w:rPr>
                  </w:pPr>
                  <w:r>
                    <w:rPr>
                      <w:rFonts w:hint="eastAsia" w:eastAsia="宋体" w:cs="Times New Roman"/>
                      <w:b/>
                      <w:color w:val="auto"/>
                      <w:kern w:val="0"/>
                      <w:sz w:val="21"/>
                      <w:szCs w:val="21"/>
                      <w:lang w:bidi="ar"/>
                    </w:rPr>
                    <w:t>型号</w:t>
                  </w:r>
                </w:p>
                <w:p>
                  <w:pPr>
                    <w:widowControl/>
                    <w:spacing w:line="320" w:lineRule="exact"/>
                    <w:ind w:firstLine="0" w:firstLineChars="0"/>
                    <w:jc w:val="left"/>
                    <w:textAlignment w:val="center"/>
                    <w:rPr>
                      <w:rFonts w:eastAsia="宋体" w:cs="Times New Roman"/>
                      <w:b/>
                      <w:color w:val="auto"/>
                      <w:kern w:val="0"/>
                      <w:sz w:val="21"/>
                      <w:szCs w:val="21"/>
                      <w:lang w:bidi="ar"/>
                    </w:rPr>
                  </w:pPr>
                  <w:r>
                    <w:rPr>
                      <w:rFonts w:eastAsia="宋体" w:cs="Times New Roman"/>
                      <w:b/>
                      <w:color w:val="auto"/>
                      <w:kern w:val="0"/>
                      <w:sz w:val="21"/>
                      <w:szCs w:val="21"/>
                      <w:lang w:bidi="ar"/>
                    </w:rPr>
                    <w:t>单位</w:t>
                  </w:r>
                </w:p>
              </w:tc>
              <w:tc>
                <w:tcPr>
                  <w:tcW w:w="2175" w:type="pct"/>
                  <w:tcBorders>
                    <w:bottom w:val="single" w:color="auto" w:sz="4" w:space="0"/>
                  </w:tcBorders>
                  <w:vAlign w:val="center"/>
                </w:tcPr>
                <w:p>
                  <w:pPr>
                    <w:widowControl/>
                    <w:spacing w:line="320" w:lineRule="exact"/>
                    <w:ind w:firstLine="0" w:firstLineChars="0"/>
                    <w:jc w:val="center"/>
                    <w:textAlignment w:val="center"/>
                    <w:rPr>
                      <w:rFonts w:eastAsia="宋体" w:cs="Times New Roman"/>
                      <w:b/>
                      <w:color w:val="auto"/>
                      <w:kern w:val="0"/>
                      <w:sz w:val="21"/>
                      <w:szCs w:val="21"/>
                      <w:lang w:bidi="ar"/>
                    </w:rPr>
                  </w:pPr>
                  <w:r>
                    <w:rPr>
                      <w:rFonts w:eastAsia="宋体" w:cs="Times New Roman"/>
                      <w:b/>
                      <w:color w:val="auto"/>
                      <w:kern w:val="0"/>
                      <w:sz w:val="21"/>
                      <w:szCs w:val="21"/>
                      <w:lang w:bidi="ar"/>
                    </w:rPr>
                    <w:t>OPGW-</w:t>
                  </w:r>
                  <w:r>
                    <w:rPr>
                      <w:rFonts w:hint="eastAsia" w:eastAsia="宋体" w:cs="Times New Roman"/>
                      <w:b/>
                      <w:color w:val="auto"/>
                      <w:kern w:val="0"/>
                      <w:sz w:val="21"/>
                      <w:szCs w:val="21"/>
                      <w:lang w:bidi="ar"/>
                    </w:rPr>
                    <w:t>24B1</w:t>
                  </w:r>
                  <w:r>
                    <w:rPr>
                      <w:rFonts w:eastAsia="宋体" w:cs="Times New Roman"/>
                      <w:b/>
                      <w:color w:val="auto"/>
                      <w:kern w:val="0"/>
                      <w:sz w:val="21"/>
                      <w:szCs w:val="21"/>
                      <w:lang w:bidi="ar"/>
                    </w:rPr>
                    <w:t>-</w:t>
                  </w:r>
                  <w:r>
                    <w:rPr>
                      <w:rFonts w:hint="eastAsia" w:eastAsia="宋体" w:cs="Times New Roman"/>
                      <w:b/>
                      <w:color w:val="auto"/>
                      <w:kern w:val="0"/>
                      <w:sz w:val="21"/>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tcBorders>
                    <w:bottom w:val="single" w:color="auto" w:sz="4" w:space="0"/>
                  </w:tcBorders>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光缆结构型式</w:t>
                  </w:r>
                </w:p>
              </w:tc>
              <w:tc>
                <w:tcPr>
                  <w:tcW w:w="993" w:type="pct"/>
                  <w:tcBorders>
                    <w:bottom w:val="single" w:color="auto" w:sz="4" w:space="0"/>
                  </w:tcBorders>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w:t>
                  </w:r>
                </w:p>
              </w:tc>
              <w:tc>
                <w:tcPr>
                  <w:tcW w:w="2175" w:type="pct"/>
                  <w:tcBorders>
                    <w:bottom w:val="single" w:color="auto" w:sz="4" w:space="0"/>
                  </w:tcBorders>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6/4.1/20AS</w:t>
                  </w:r>
                  <w:r>
                    <w:rPr>
                      <w:rFonts w:hint="eastAsia" w:eastAsia="宋体" w:cs="Times New Roman"/>
                      <w:color w:val="auto"/>
                      <w:kern w:val="0"/>
                      <w:sz w:val="21"/>
                      <w:szCs w:val="21"/>
                      <w:lang w:bidi="ar"/>
                    </w:rPr>
                    <w:t>，</w:t>
                  </w:r>
                  <w:r>
                    <w:rPr>
                      <w:rFonts w:eastAsia="宋体" w:cs="Times New Roman"/>
                      <w:color w:val="auto"/>
                      <w:kern w:val="0"/>
                      <w:sz w:val="21"/>
                      <w:szCs w:val="21"/>
                      <w:lang w:bidi="ar"/>
                    </w:rPr>
                    <w:t>SUS</w:t>
                  </w:r>
                  <w:r>
                    <w:rPr>
                      <w:rFonts w:hint="eastAsia" w:eastAsia="宋体" w:cs="Times New Roman"/>
                      <w:color w:val="auto"/>
                      <w:kern w:val="0"/>
                      <w:sz w:val="21"/>
                      <w:szCs w:val="21"/>
                      <w:lang w:bidi="ar"/>
                    </w:rPr>
                    <w:t>1</w:t>
                  </w:r>
                  <w:r>
                    <w:rPr>
                      <w:rFonts w:eastAsia="宋体" w:cs="Times New Roman"/>
                      <w:color w:val="auto"/>
                      <w:kern w:val="0"/>
                      <w:sz w:val="21"/>
                      <w:szCs w:val="21"/>
                      <w:lang w:bidi="ar"/>
                    </w:rPr>
                    <w:t>/</w:t>
                  </w:r>
                  <w:r>
                    <w:rPr>
                      <w:rFonts w:hint="eastAsia" w:eastAsia="宋体" w:cs="Times New Roman"/>
                      <w:color w:val="auto"/>
                      <w:kern w:val="0"/>
                      <w:sz w:val="21"/>
                      <w:szCs w:val="21"/>
                      <w:lang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tcBorders>
                    <w:bottom w:val="single" w:color="auto" w:sz="4" w:space="0"/>
                  </w:tcBorders>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综合截面积</w:t>
                  </w:r>
                </w:p>
              </w:tc>
              <w:tc>
                <w:tcPr>
                  <w:tcW w:w="993" w:type="pct"/>
                  <w:tcBorders>
                    <w:bottom w:val="single" w:color="auto" w:sz="4" w:space="0"/>
                  </w:tcBorders>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mm</w:t>
                  </w:r>
                  <w:r>
                    <w:rPr>
                      <w:rFonts w:hint="eastAsia" w:eastAsia="宋体" w:cs="Times New Roman"/>
                      <w:color w:val="auto"/>
                      <w:kern w:val="0"/>
                      <w:sz w:val="21"/>
                      <w:szCs w:val="21"/>
                      <w:vertAlign w:val="superscript"/>
                      <w:lang w:bidi="ar"/>
                    </w:rPr>
                    <w:t>2</w:t>
                  </w:r>
                </w:p>
              </w:tc>
              <w:tc>
                <w:tcPr>
                  <w:tcW w:w="2175" w:type="pct"/>
                  <w:tcBorders>
                    <w:bottom w:val="single" w:color="auto" w:sz="4" w:space="0"/>
                  </w:tcBorders>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79.22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计算外径</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D/</w:t>
                  </w:r>
                  <w:r>
                    <w:rPr>
                      <w:rFonts w:eastAsia="宋体" w:cs="Times New Roman"/>
                      <w:color w:val="auto"/>
                      <w:kern w:val="0"/>
                      <w:sz w:val="21"/>
                      <w:szCs w:val="21"/>
                      <w:lang w:bidi="ar"/>
                    </w:rPr>
                    <w:t>mm</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额定拉断力</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kN</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20℃直流电阻</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Ω/km</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≤1.085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短路电流容量</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w:t>
                  </w:r>
                  <w:r>
                    <w:rPr>
                      <w:rFonts w:eastAsia="宋体" w:cs="Times New Roman"/>
                      <w:color w:val="auto"/>
                      <w:kern w:val="0"/>
                      <w:sz w:val="21"/>
                      <w:szCs w:val="21"/>
                      <w:lang w:bidi="ar"/>
                    </w:rPr>
                    <w:t>kA</w:t>
                  </w:r>
                  <w:r>
                    <w:rPr>
                      <w:rFonts w:eastAsia="宋体" w:cs="Times New Roman"/>
                      <w:color w:val="auto"/>
                      <w:kern w:val="0"/>
                      <w:sz w:val="21"/>
                      <w:szCs w:val="21"/>
                      <w:vertAlign w:val="superscript"/>
                      <w:lang w:bidi="ar"/>
                    </w:rPr>
                    <w:t>2</w:t>
                  </w:r>
                  <w:r>
                    <w:rPr>
                      <w:rFonts w:eastAsia="宋体" w:cs="Times New Roman"/>
                      <w:color w:val="auto"/>
                      <w:kern w:val="0"/>
                      <w:sz w:val="21"/>
                      <w:szCs w:val="21"/>
                      <w:lang w:bidi="ar"/>
                    </w:rPr>
                    <w:t>•s</w:t>
                  </w:r>
                  <w:r>
                    <w:rPr>
                      <w:rFonts w:hint="eastAsia" w:eastAsia="宋体" w:cs="Times New Roman"/>
                      <w:color w:val="auto"/>
                      <w:kern w:val="0"/>
                      <w:sz w:val="21"/>
                      <w:szCs w:val="21"/>
                      <w:lang w:bidi="ar"/>
                    </w:rPr>
                    <w:t>)</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线膨胀系数</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N/mm</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13×10</w:t>
                  </w:r>
                  <w:r>
                    <w:rPr>
                      <w:rFonts w:hint="eastAsia" w:eastAsia="宋体" w:cs="Times New Roman"/>
                      <w:color w:val="auto"/>
                      <w:kern w:val="0"/>
                      <w:sz w:val="21"/>
                      <w:szCs w:val="21"/>
                      <w:vertAlign w:val="superscript"/>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eastAsia="宋体" w:cs="Times New Roman"/>
                      <w:color w:val="auto"/>
                      <w:kern w:val="0"/>
                      <w:sz w:val="21"/>
                      <w:szCs w:val="21"/>
                      <w:lang w:bidi="ar"/>
                    </w:rPr>
                    <w:t>弹性模数</w:t>
                  </w:r>
                </w:p>
              </w:tc>
              <w:tc>
                <w:tcPr>
                  <w:tcW w:w="993"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GPa</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31"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参考</w:t>
                  </w:r>
                  <w:r>
                    <w:rPr>
                      <w:rFonts w:eastAsia="宋体" w:cs="Times New Roman"/>
                      <w:color w:val="auto"/>
                      <w:kern w:val="0"/>
                      <w:sz w:val="21"/>
                      <w:szCs w:val="21"/>
                      <w:lang w:bidi="ar"/>
                    </w:rPr>
                    <w:t>重量</w:t>
                  </w:r>
                </w:p>
              </w:tc>
              <w:tc>
                <w:tcPr>
                  <w:tcW w:w="993" w:type="pct"/>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kg/km</w:t>
                  </w:r>
                </w:p>
              </w:tc>
              <w:tc>
                <w:tcPr>
                  <w:tcW w:w="2175" w:type="pct"/>
                  <w:vAlign w:val="center"/>
                </w:tcPr>
                <w:p>
                  <w:pPr>
                    <w:widowControl/>
                    <w:spacing w:line="320" w:lineRule="exact"/>
                    <w:ind w:firstLine="0" w:firstLineChars="0"/>
                    <w:jc w:val="center"/>
                    <w:textAlignment w:val="center"/>
                    <w:rPr>
                      <w:rFonts w:eastAsia="宋体" w:cs="Times New Roman"/>
                      <w:color w:val="auto"/>
                      <w:kern w:val="0"/>
                      <w:sz w:val="21"/>
                      <w:szCs w:val="21"/>
                      <w:lang w:bidi="ar"/>
                    </w:rPr>
                  </w:pPr>
                  <w:r>
                    <w:rPr>
                      <w:rFonts w:hint="eastAsia" w:eastAsia="宋体" w:cs="Times New Roman"/>
                      <w:color w:val="auto"/>
                      <w:kern w:val="0"/>
                      <w:sz w:val="21"/>
                      <w:szCs w:val="21"/>
                      <w:lang w:bidi="ar"/>
                    </w:rPr>
                    <w:t>≤569.0</w:t>
                  </w:r>
                </w:p>
              </w:tc>
            </w:tr>
          </w:tbl>
          <w:p>
            <w:pPr>
              <w:adjustRightInd w:val="0"/>
              <w:snapToGrid w:val="0"/>
              <w:ind w:firstLine="480"/>
              <w:rPr>
                <w:rFonts w:eastAsia="宋体" w:cs="Times New Roman"/>
                <w:kern w:val="0"/>
                <w:szCs w:val="24"/>
              </w:rPr>
            </w:pPr>
            <w:r>
              <w:rPr>
                <w:rFonts w:eastAsia="宋体" w:cs="Times New Roman"/>
                <w:color w:val="auto"/>
                <w:kern w:val="0"/>
                <w:szCs w:val="24"/>
              </w:rPr>
              <w:t>铁塔：</w:t>
            </w:r>
            <w:r>
              <w:rPr>
                <w:rFonts w:hint="eastAsia" w:eastAsia="宋体" w:cs="Times New Roman"/>
                <w:color w:val="auto"/>
                <w:kern w:val="0"/>
                <w:szCs w:val="24"/>
              </w:rPr>
              <w:t>新建铁塔根据《南方电网公司 110kV～500kV 输电线路杆塔标准设计 V2.0应用手册》2C1X1、2C2W8 模块，设计采用2C1X1-ZM1、ZM2、ZM3、ZM4型单回路直线塔， 2C1X1-J1、J2、J3、J4、JD型单回路耐张塔， 2C2W8-J2、J3、J4、JD、Z3、Z4、Z5型双回路耐张塔</w:t>
            </w:r>
            <w:r>
              <w:rPr>
                <w:rFonts w:hint="eastAsia" w:eastAsia="宋体" w:cs="Times New Roman"/>
                <w:kern w:val="0"/>
                <w:szCs w:val="24"/>
              </w:rPr>
              <w:t>。项目线路全线使用杆塔型号及呼高情况如下：</w:t>
            </w:r>
          </w:p>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表</w:t>
            </w:r>
            <w:r>
              <w:rPr>
                <w:rFonts w:hint="eastAsia" w:eastAsia="宋体" w:cs="Times New Roman"/>
                <w:b/>
                <w:color w:val="auto"/>
                <w:kern w:val="0"/>
                <w:sz w:val="21"/>
                <w:szCs w:val="21"/>
              </w:rPr>
              <w:t>2</w:t>
            </w:r>
            <w:r>
              <w:rPr>
                <w:rFonts w:eastAsia="宋体" w:cs="Times New Roman"/>
                <w:b/>
                <w:color w:val="auto"/>
                <w:kern w:val="0"/>
                <w:sz w:val="21"/>
                <w:szCs w:val="21"/>
              </w:rPr>
              <w:t>-</w:t>
            </w:r>
            <w:r>
              <w:rPr>
                <w:rFonts w:hint="eastAsia" w:eastAsia="宋体" w:cs="Times New Roman"/>
                <w:b/>
                <w:color w:val="auto"/>
                <w:kern w:val="0"/>
                <w:sz w:val="21"/>
                <w:szCs w:val="21"/>
              </w:rPr>
              <w:t>5 项目使用杆塔型号及呼高</w:t>
            </w:r>
          </w:p>
          <w:tbl>
            <w:tblPr>
              <w:tblStyle w:val="15"/>
              <w:tblW w:w="804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67"/>
              <w:gridCol w:w="1678"/>
              <w:gridCol w:w="1151"/>
              <w:gridCol w:w="1275"/>
              <w:gridCol w:w="2001"/>
              <w:gridCol w:w="9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rPr>
                      <w:rFonts w:eastAsia="宋体" w:cs="Times New Roman"/>
                      <w:b/>
                      <w:color w:val="000000"/>
                      <w:kern w:val="0"/>
                      <w:sz w:val="21"/>
                      <w:szCs w:val="21"/>
                    </w:rPr>
                  </w:pPr>
                  <w:r>
                    <w:rPr>
                      <w:rFonts w:eastAsia="宋体" w:cs="Times New Roman"/>
                      <w:b/>
                      <w:color w:val="000000"/>
                      <w:kern w:val="0"/>
                      <w:sz w:val="21"/>
                      <w:szCs w:val="21"/>
                    </w:rPr>
                    <w:t>桩号</w:t>
                  </w:r>
                </w:p>
              </w:tc>
              <w:tc>
                <w:tcPr>
                  <w:tcW w:w="1680" w:type="dxa"/>
                  <w:shd w:val="clear" w:color="auto" w:fill="auto"/>
                  <w:noWrap/>
                  <w:vAlign w:val="center"/>
                </w:tcPr>
                <w:p>
                  <w:pPr>
                    <w:widowControl/>
                    <w:spacing w:line="240" w:lineRule="auto"/>
                    <w:ind w:firstLine="0" w:firstLineChars="0"/>
                    <w:jc w:val="center"/>
                    <w:rPr>
                      <w:rFonts w:eastAsia="宋体" w:cs="Times New Roman"/>
                      <w:b/>
                      <w:color w:val="000000"/>
                      <w:kern w:val="0"/>
                      <w:sz w:val="21"/>
                      <w:szCs w:val="21"/>
                    </w:rPr>
                  </w:pPr>
                  <w:r>
                    <w:rPr>
                      <w:rFonts w:eastAsia="宋体" w:cs="Times New Roman"/>
                      <w:b/>
                      <w:color w:val="000000"/>
                      <w:kern w:val="0"/>
                      <w:sz w:val="21"/>
                      <w:szCs w:val="21"/>
                    </w:rPr>
                    <w:t>塔型</w:t>
                  </w:r>
                </w:p>
              </w:tc>
              <w:tc>
                <w:tcPr>
                  <w:tcW w:w="1152" w:type="dxa"/>
                  <w:shd w:val="clear" w:color="auto" w:fill="auto"/>
                  <w:noWrap/>
                  <w:vAlign w:val="center"/>
                </w:tcPr>
                <w:p>
                  <w:pPr>
                    <w:widowControl/>
                    <w:spacing w:line="240" w:lineRule="auto"/>
                    <w:ind w:firstLine="0" w:firstLineChars="0"/>
                    <w:jc w:val="center"/>
                    <w:rPr>
                      <w:rFonts w:eastAsia="宋体" w:cs="Times New Roman"/>
                      <w:b/>
                      <w:color w:val="000000"/>
                      <w:kern w:val="0"/>
                      <w:sz w:val="21"/>
                      <w:szCs w:val="21"/>
                    </w:rPr>
                  </w:pPr>
                  <w:r>
                    <w:rPr>
                      <w:rFonts w:eastAsia="宋体" w:cs="Times New Roman"/>
                      <w:b/>
                      <w:color w:val="000000"/>
                      <w:kern w:val="0"/>
                      <w:sz w:val="21"/>
                      <w:szCs w:val="21"/>
                    </w:rPr>
                    <w:t>塔呼高（m）</w:t>
                  </w:r>
                </w:p>
              </w:tc>
              <w:tc>
                <w:tcPr>
                  <w:tcW w:w="1276" w:type="dxa"/>
                  <w:shd w:val="clear" w:color="auto" w:fill="auto"/>
                  <w:noWrap/>
                  <w:vAlign w:val="center"/>
                </w:tcPr>
                <w:p>
                  <w:pPr>
                    <w:widowControl/>
                    <w:spacing w:line="240" w:lineRule="auto"/>
                    <w:ind w:firstLine="0" w:firstLineChars="0"/>
                    <w:jc w:val="center"/>
                    <w:rPr>
                      <w:rFonts w:eastAsia="宋体" w:cs="Times New Roman"/>
                      <w:b/>
                      <w:color w:val="000000"/>
                      <w:kern w:val="0"/>
                      <w:sz w:val="21"/>
                      <w:szCs w:val="21"/>
                    </w:rPr>
                  </w:pPr>
                  <w:r>
                    <w:rPr>
                      <w:rFonts w:eastAsia="宋体" w:cs="Times New Roman"/>
                      <w:b/>
                      <w:color w:val="000000"/>
                      <w:kern w:val="0"/>
                      <w:sz w:val="21"/>
                      <w:szCs w:val="21"/>
                    </w:rPr>
                    <w:t>桩号</w:t>
                  </w:r>
                </w:p>
              </w:tc>
              <w:tc>
                <w:tcPr>
                  <w:tcW w:w="2003" w:type="dxa"/>
                  <w:shd w:val="clear" w:color="auto" w:fill="auto"/>
                  <w:noWrap/>
                  <w:vAlign w:val="center"/>
                </w:tcPr>
                <w:p>
                  <w:pPr>
                    <w:widowControl/>
                    <w:spacing w:line="240" w:lineRule="auto"/>
                    <w:ind w:firstLine="0" w:firstLineChars="0"/>
                    <w:jc w:val="center"/>
                    <w:rPr>
                      <w:rFonts w:eastAsia="宋体" w:cs="Times New Roman"/>
                      <w:b/>
                      <w:color w:val="000000"/>
                      <w:kern w:val="0"/>
                      <w:sz w:val="21"/>
                      <w:szCs w:val="21"/>
                    </w:rPr>
                  </w:pPr>
                  <w:r>
                    <w:rPr>
                      <w:rFonts w:eastAsia="宋体" w:cs="Times New Roman"/>
                      <w:b/>
                      <w:color w:val="000000"/>
                      <w:kern w:val="0"/>
                      <w:sz w:val="21"/>
                      <w:szCs w:val="21"/>
                    </w:rPr>
                    <w:t>塔型</w:t>
                  </w:r>
                </w:p>
              </w:tc>
              <w:tc>
                <w:tcPr>
                  <w:tcW w:w="967" w:type="dxa"/>
                  <w:shd w:val="clear" w:color="auto" w:fill="auto"/>
                  <w:noWrap/>
                  <w:vAlign w:val="center"/>
                </w:tcPr>
                <w:p>
                  <w:pPr>
                    <w:widowControl/>
                    <w:spacing w:line="240" w:lineRule="auto"/>
                    <w:ind w:firstLine="0" w:firstLineChars="0"/>
                    <w:jc w:val="center"/>
                    <w:rPr>
                      <w:rFonts w:eastAsia="宋体" w:cs="Times New Roman"/>
                      <w:b/>
                      <w:color w:val="000000"/>
                      <w:kern w:val="0"/>
                      <w:sz w:val="21"/>
                      <w:szCs w:val="21"/>
                    </w:rPr>
                  </w:pPr>
                  <w:r>
                    <w:rPr>
                      <w:rFonts w:eastAsia="宋体" w:cs="Times New Roman"/>
                      <w:b/>
                      <w:color w:val="000000"/>
                      <w:kern w:val="0"/>
                      <w:sz w:val="21"/>
                      <w:szCs w:val="21"/>
                    </w:rPr>
                    <w:t>塔呼高（m）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JB0</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GJ-14.5</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ZA56</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ZA57</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ZA58</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ZA59</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ZA61</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JA14</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42</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ZA63</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JA15</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ZA65</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27</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JA16</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ZA11</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ZA67</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ZA68</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JA4</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ZA69</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ZA14</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JA17</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JA5</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ZA71</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JA6</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ZA72</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JA7</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ZA73</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ZA18</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ZA74</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ZA19</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JA18</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JA8</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ZA77</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ZA21</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JA19</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JA9</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ZA80</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JA20</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ZA24</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ZA82</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ZA25</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ZA83</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ZA26</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JA21</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ZA28</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ZA85</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2C2W8-Z5</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JA10</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ZA86</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2C2W8-Z5</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ZA30</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JA22</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ZA31</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JA23</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JA24</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ZA90</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2C2W8-Z4</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ZA34</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33</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ZA91</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2C2W8-Z5</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ZA35</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42</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ZA92</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ZA37</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51</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JA25</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JA11</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ZA94</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2C2W8-Z3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ZA39</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ZA95</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ZA40</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ZA96</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JA26</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2C1X1-J2</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JA27</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ZA99</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ZA45</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39</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ZA100</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2C1X1-ZM1</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ZA46</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42</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JA28</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JA13</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2C1X1G-J2</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36</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JA29</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ZA49</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2C1X1-ZM3</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54</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JA30</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2C2W8-J3</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ZA50</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45</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JA31</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2C2W8-JD</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ZA52</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JA32</w:t>
                  </w: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GJ-14.5</w:t>
                  </w: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68"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ZA54</w:t>
                  </w:r>
                </w:p>
              </w:tc>
              <w:tc>
                <w:tcPr>
                  <w:tcW w:w="1680"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2C1X1-ZM4</w:t>
                  </w:r>
                </w:p>
              </w:tc>
              <w:tc>
                <w:tcPr>
                  <w:tcW w:w="1152"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48</w:t>
                  </w:r>
                </w:p>
              </w:tc>
              <w:tc>
                <w:tcPr>
                  <w:tcW w:w="1276"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p>
              </w:tc>
              <w:tc>
                <w:tcPr>
                  <w:tcW w:w="2003"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p>
              </w:tc>
              <w:tc>
                <w:tcPr>
                  <w:tcW w:w="967" w:type="dxa"/>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p>
              </w:tc>
            </w:tr>
          </w:tbl>
          <w:p>
            <w:pPr>
              <w:adjustRightInd w:val="0"/>
              <w:snapToGrid w:val="0"/>
              <w:ind w:firstLine="480"/>
              <w:rPr>
                <w:rFonts w:eastAsia="宋体" w:cs="Times New Roman"/>
                <w:color w:val="auto"/>
                <w:kern w:val="0"/>
                <w:szCs w:val="24"/>
              </w:rPr>
            </w:pPr>
            <w:r>
              <w:rPr>
                <w:rFonts w:eastAsia="宋体" w:cs="Times New Roman"/>
                <w:color w:val="auto"/>
                <w:kern w:val="0"/>
                <w:szCs w:val="24"/>
              </w:rPr>
              <w:t>塔杆基础：</w:t>
            </w:r>
            <w:r>
              <w:rPr>
                <w:rFonts w:hint="eastAsia" w:eastAsia="宋体" w:cs="Times New Roman"/>
                <w:color w:val="auto"/>
                <w:kern w:val="0"/>
                <w:szCs w:val="24"/>
              </w:rPr>
              <w:t>直柱板式基础、掏挖基础、人工挖孔桩基础。</w:t>
            </w:r>
          </w:p>
          <w:p>
            <w:pPr>
              <w:adjustRightInd w:val="0"/>
              <w:snapToGrid w:val="0"/>
              <w:ind w:firstLine="480"/>
              <w:rPr>
                <w:rFonts w:eastAsia="宋体" w:cs="Times New Roman"/>
                <w:color w:val="auto"/>
                <w:kern w:val="0"/>
                <w:szCs w:val="24"/>
              </w:rPr>
            </w:pPr>
            <w:r>
              <w:rPr>
                <w:rFonts w:eastAsia="宋体" w:cs="Times New Roman"/>
                <w:color w:val="auto"/>
                <w:kern w:val="0"/>
                <w:szCs w:val="24"/>
              </w:rPr>
              <w:t>绝缘子：</w:t>
            </w:r>
            <w:r>
              <w:rPr>
                <w:rFonts w:hint="eastAsia" w:eastAsia="宋体" w:cs="Times New Roman"/>
                <w:color w:val="auto"/>
                <w:kern w:val="0"/>
                <w:szCs w:val="24"/>
              </w:rPr>
              <w:t>210kN 盘型（复合）绝缘子，型号为 U100BLP-2；70kN 盘形（复合）绝缘子；型号为 U70BLP-2。</w:t>
            </w:r>
          </w:p>
          <w:p>
            <w:pPr>
              <w:adjustRightInd w:val="0"/>
              <w:snapToGrid w:val="0"/>
              <w:ind w:firstLine="480"/>
              <w:rPr>
                <w:rFonts w:eastAsia="宋体" w:cs="Times New Roman"/>
                <w:color w:val="auto"/>
                <w:kern w:val="0"/>
                <w:szCs w:val="24"/>
              </w:rPr>
            </w:pPr>
            <w:r>
              <w:rPr>
                <w:rFonts w:eastAsia="宋体" w:cs="Times New Roman"/>
                <w:color w:val="auto"/>
                <w:kern w:val="0"/>
                <w:szCs w:val="24"/>
              </w:rPr>
              <w:t>金具：</w:t>
            </w:r>
            <w:r>
              <w:rPr>
                <w:rFonts w:hint="eastAsia" w:eastAsia="宋体" w:cs="Times New Roman"/>
                <w:color w:val="auto"/>
                <w:kern w:val="0"/>
                <w:szCs w:val="24"/>
              </w:rPr>
              <w:t>导线耐张线夹采用普通液压型线夹，导线悬垂线夹采用常规的U 型螺丝固定型悬垂线夹。</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地形比例：平地占25%，泥沼3%，丘陵22%，山地40%，高山大</w:t>
            </w:r>
            <w:r>
              <w:rPr>
                <w:rFonts w:hint="eastAsia" w:eastAsia="宋体" w:cs="Times New Roman"/>
                <w:color w:val="auto"/>
                <w:kern w:val="0"/>
                <w:szCs w:val="24"/>
                <w:lang w:eastAsia="zh-CN"/>
              </w:rPr>
              <w:t>岭</w:t>
            </w:r>
            <w:r>
              <w:rPr>
                <w:rFonts w:hint="eastAsia" w:eastAsia="宋体" w:cs="Times New Roman"/>
                <w:color w:val="auto"/>
                <w:kern w:val="0"/>
                <w:szCs w:val="24"/>
              </w:rPr>
              <w:t>10%。</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污秽等级：本工程线路全线按C级污秽区设计。</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（2）扩建间隔</w:t>
            </w:r>
          </w:p>
          <w:p>
            <w:pPr>
              <w:adjustRightInd w:val="0"/>
              <w:snapToGrid w:val="0"/>
              <w:ind w:firstLine="480"/>
              <w:rPr>
                <w:rFonts w:eastAsia="宋体" w:cs="Times New Roman"/>
                <w:color w:val="auto"/>
                <w:kern w:val="0"/>
                <w:szCs w:val="24"/>
              </w:rPr>
            </w:pPr>
            <w:r>
              <w:rPr>
                <w:rFonts w:eastAsia="宋体" w:cs="Times New Roman"/>
                <w:color w:val="auto"/>
                <w:kern w:val="0"/>
                <w:szCs w:val="24"/>
              </w:rPr>
              <w:fldChar w:fldCharType="begin"/>
            </w:r>
            <w:r>
              <w:rPr>
                <w:rFonts w:eastAsia="宋体" w:cs="Times New Roman"/>
                <w:color w:val="auto"/>
                <w:kern w:val="0"/>
                <w:szCs w:val="24"/>
              </w:rPr>
              <w:instrText xml:space="preserve"> = 1 \* GB3 </w:instrText>
            </w:r>
            <w:r>
              <w:rPr>
                <w:rFonts w:eastAsia="宋体" w:cs="Times New Roman"/>
                <w:color w:val="auto"/>
                <w:kern w:val="0"/>
                <w:szCs w:val="24"/>
              </w:rPr>
              <w:fldChar w:fldCharType="separate"/>
            </w:r>
            <w:r>
              <w:rPr>
                <w:rFonts w:hint="eastAsia" w:ascii="宋体" w:hAnsi="宋体" w:eastAsia="宋体" w:cs="宋体"/>
                <w:color w:val="auto"/>
                <w:kern w:val="0"/>
                <w:szCs w:val="24"/>
              </w:rPr>
              <w:t>①</w:t>
            </w:r>
            <w:r>
              <w:rPr>
                <w:rFonts w:eastAsia="宋体" w:cs="Times New Roman"/>
                <w:color w:val="auto"/>
                <w:kern w:val="0"/>
                <w:szCs w:val="24"/>
              </w:rPr>
              <w:fldChar w:fldCharType="end"/>
            </w:r>
            <w:r>
              <w:rPr>
                <w:rFonts w:hint="eastAsia" w:eastAsia="宋体" w:cs="Times New Roman"/>
                <w:color w:val="auto"/>
                <w:kern w:val="0"/>
                <w:szCs w:val="24"/>
              </w:rPr>
              <w:t>茶花变电站</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220kV 茶花变电站位于防城港市上思县东北边约4.5km，上思收费站附近。现有主变容量 1×180MVA，电压等级为 220kV。</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220kV 配电装置终期为双母线接线方式，设备布置方式为户外GIS 布置。终期规划 220kV 出线 6 回，已出线2回，即茶花~海港，茶花~仙鹤，备用间隔4回。出线相序为：站外面向 220kV茶花站出线构架从左至右。</w:t>
            </w:r>
          </w:p>
          <w:p>
            <w:pPr>
              <w:adjustRightInd w:val="0"/>
              <w:snapToGrid w:val="0"/>
              <w:ind w:firstLine="480"/>
              <w:rPr>
                <w:rFonts w:eastAsia="宋体" w:cs="Times New Roman"/>
                <w:color w:val="auto"/>
                <w:kern w:val="0"/>
                <w:szCs w:val="24"/>
              </w:rPr>
            </w:pPr>
            <w:r>
              <w:rPr>
                <w:rFonts w:eastAsia="宋体" w:cs="Times New Roman"/>
                <w:color w:val="auto"/>
                <w:kern w:val="0"/>
                <w:szCs w:val="24"/>
              </w:rPr>
              <w:fldChar w:fldCharType="begin"/>
            </w:r>
            <w:r>
              <w:rPr>
                <w:rFonts w:eastAsia="宋体" w:cs="Times New Roman"/>
                <w:color w:val="auto"/>
                <w:kern w:val="0"/>
                <w:szCs w:val="24"/>
              </w:rPr>
              <w:instrText xml:space="preserve"> = 2 \* GB3 </w:instrText>
            </w:r>
            <w:r>
              <w:rPr>
                <w:rFonts w:eastAsia="宋体" w:cs="Times New Roman"/>
                <w:color w:val="auto"/>
                <w:kern w:val="0"/>
                <w:szCs w:val="24"/>
              </w:rPr>
              <w:fldChar w:fldCharType="separate"/>
            </w:r>
            <w:r>
              <w:rPr>
                <w:rFonts w:hint="eastAsia" w:ascii="宋体" w:hAnsi="宋体" w:eastAsia="宋体" w:cs="宋体"/>
                <w:color w:val="auto"/>
                <w:kern w:val="0"/>
                <w:szCs w:val="24"/>
              </w:rPr>
              <w:t>②</w:t>
            </w:r>
            <w:r>
              <w:rPr>
                <w:rFonts w:eastAsia="宋体" w:cs="Times New Roman"/>
                <w:color w:val="auto"/>
                <w:kern w:val="0"/>
                <w:szCs w:val="24"/>
              </w:rPr>
              <w:fldChar w:fldCharType="end"/>
            </w:r>
            <w:r>
              <w:rPr>
                <w:rFonts w:eastAsia="宋体" w:cs="Times New Roman"/>
                <w:color w:val="auto"/>
                <w:kern w:val="0"/>
                <w:szCs w:val="24"/>
              </w:rPr>
              <w:t>本期建设内容</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本期在 220kV茶花变电站内扩建 220kV出线间隔 1 个，新建该间隔的母线及设备。</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3、工程占地</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本工程占地包括扩建间隔区、杆塔施工区、牵张场区、临时施工便道，总占地面积23043m</w:t>
            </w:r>
            <w:r>
              <w:rPr>
                <w:rFonts w:hint="eastAsia" w:eastAsia="宋体" w:cs="Times New Roman"/>
                <w:color w:val="auto"/>
                <w:kern w:val="0"/>
                <w:szCs w:val="24"/>
                <w:vertAlign w:val="superscript"/>
              </w:rPr>
              <w:t>2</w:t>
            </w:r>
            <w:r>
              <w:rPr>
                <w:rFonts w:hint="eastAsia" w:eastAsia="宋体" w:cs="Times New Roman"/>
                <w:color w:val="auto"/>
                <w:kern w:val="0"/>
                <w:szCs w:val="24"/>
              </w:rPr>
              <w:t>，其中永久占地14543m</w:t>
            </w:r>
            <w:r>
              <w:rPr>
                <w:rFonts w:hint="eastAsia" w:eastAsia="宋体" w:cs="Times New Roman"/>
                <w:color w:val="auto"/>
                <w:kern w:val="0"/>
                <w:szCs w:val="24"/>
                <w:vertAlign w:val="superscript"/>
              </w:rPr>
              <w:t>2</w:t>
            </w:r>
            <w:r>
              <w:rPr>
                <w:rFonts w:hint="eastAsia" w:eastAsia="宋体" w:cs="Times New Roman"/>
                <w:color w:val="auto"/>
                <w:kern w:val="0"/>
                <w:szCs w:val="24"/>
              </w:rPr>
              <w:t>，临时占地8500m</w:t>
            </w:r>
            <w:r>
              <w:rPr>
                <w:rFonts w:hint="eastAsia" w:eastAsia="宋体" w:cs="Times New Roman"/>
                <w:color w:val="auto"/>
                <w:kern w:val="0"/>
                <w:szCs w:val="24"/>
                <w:vertAlign w:val="superscript"/>
              </w:rPr>
              <w:t>2</w:t>
            </w:r>
            <w:r>
              <w:rPr>
                <w:rFonts w:hint="eastAsia" w:eastAsia="宋体" w:cs="Times New Roman"/>
                <w:color w:val="auto"/>
                <w:kern w:val="0"/>
                <w:szCs w:val="24"/>
              </w:rPr>
              <w:t>。</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4、线路主要交叉跨越情况</w:t>
            </w:r>
          </w:p>
          <w:p>
            <w:pPr>
              <w:adjustRightInd w:val="0"/>
              <w:snapToGrid w:val="0"/>
              <w:ind w:firstLine="480"/>
              <w:rPr>
                <w:rFonts w:eastAsia="宋体" w:cs="Times New Roman"/>
                <w:color w:val="auto"/>
                <w:kern w:val="0"/>
                <w:szCs w:val="24"/>
              </w:rPr>
            </w:pPr>
            <w:r>
              <w:rPr>
                <w:rFonts w:eastAsia="宋体" w:cs="Times New Roman"/>
                <w:color w:val="auto"/>
                <w:kern w:val="0"/>
                <w:szCs w:val="24"/>
              </w:rPr>
              <w:t>线路主要交叉跨越情况见下表</w:t>
            </w:r>
            <w:r>
              <w:rPr>
                <w:rFonts w:hint="eastAsia" w:eastAsia="宋体" w:cs="Times New Roman"/>
                <w:color w:val="auto"/>
                <w:kern w:val="0"/>
                <w:szCs w:val="24"/>
              </w:rPr>
              <w:t>2</w:t>
            </w:r>
            <w:r>
              <w:rPr>
                <w:rFonts w:eastAsia="宋体" w:cs="Times New Roman"/>
                <w:color w:val="auto"/>
                <w:kern w:val="0"/>
                <w:szCs w:val="24"/>
              </w:rPr>
              <w:t>-</w:t>
            </w:r>
            <w:r>
              <w:rPr>
                <w:rFonts w:hint="eastAsia" w:eastAsia="宋体" w:cs="Times New Roman"/>
                <w:color w:val="auto"/>
                <w:kern w:val="0"/>
                <w:szCs w:val="24"/>
              </w:rPr>
              <w:t>6</w:t>
            </w:r>
            <w:r>
              <w:rPr>
                <w:rFonts w:eastAsia="宋体" w:cs="Times New Roman"/>
                <w:color w:val="auto"/>
                <w:kern w:val="0"/>
                <w:szCs w:val="24"/>
              </w:rPr>
              <w:t>。</w:t>
            </w:r>
          </w:p>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表</w:t>
            </w:r>
            <w:r>
              <w:rPr>
                <w:rFonts w:hint="eastAsia" w:eastAsia="宋体" w:cs="Times New Roman"/>
                <w:b/>
                <w:color w:val="auto"/>
                <w:kern w:val="0"/>
                <w:sz w:val="21"/>
                <w:szCs w:val="21"/>
              </w:rPr>
              <w:t>2</w:t>
            </w:r>
            <w:r>
              <w:rPr>
                <w:rFonts w:eastAsia="宋体" w:cs="Times New Roman"/>
                <w:b/>
                <w:color w:val="auto"/>
                <w:kern w:val="0"/>
                <w:sz w:val="21"/>
                <w:szCs w:val="21"/>
              </w:rPr>
              <w:t>-</w:t>
            </w:r>
            <w:r>
              <w:rPr>
                <w:rFonts w:hint="eastAsia" w:eastAsia="宋体" w:cs="Times New Roman"/>
                <w:b/>
                <w:color w:val="auto"/>
                <w:kern w:val="0"/>
                <w:sz w:val="21"/>
                <w:szCs w:val="21"/>
              </w:rPr>
              <w:t>6</w:t>
            </w:r>
            <w:r>
              <w:rPr>
                <w:rFonts w:eastAsia="宋体" w:cs="Times New Roman"/>
                <w:b/>
                <w:color w:val="auto"/>
                <w:kern w:val="0"/>
                <w:sz w:val="21"/>
                <w:szCs w:val="21"/>
              </w:rPr>
              <w:t xml:space="preserve"> 新建线路主要交叉跨越情况一览表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394"/>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b/>
                      <w:color w:val="auto"/>
                      <w:sz w:val="21"/>
                      <w:szCs w:val="21"/>
                    </w:rPr>
                  </w:pPr>
                  <w:bookmarkStart w:id="6" w:name="OLE_LINK1"/>
                  <w:r>
                    <w:rPr>
                      <w:rFonts w:cs="Times New Roman"/>
                      <w:b/>
                      <w:color w:val="auto"/>
                      <w:sz w:val="21"/>
                      <w:szCs w:val="21"/>
                    </w:rPr>
                    <w:t>序号</w:t>
                  </w:r>
                </w:p>
              </w:tc>
              <w:tc>
                <w:tcPr>
                  <w:tcW w:w="2394" w:type="dxa"/>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名称</w:t>
                  </w:r>
                </w:p>
              </w:tc>
              <w:tc>
                <w:tcPr>
                  <w:tcW w:w="1608" w:type="dxa"/>
                  <w:vAlign w:val="center"/>
                </w:tcPr>
                <w:p>
                  <w:pPr>
                    <w:spacing w:line="240" w:lineRule="auto"/>
                    <w:ind w:firstLine="0" w:firstLineChars="0"/>
                    <w:jc w:val="center"/>
                    <w:rPr>
                      <w:rFonts w:cs="Times New Roman"/>
                      <w:b/>
                      <w:color w:val="auto"/>
                      <w:sz w:val="21"/>
                      <w:szCs w:val="21"/>
                    </w:rPr>
                  </w:pPr>
                  <w:r>
                    <w:rPr>
                      <w:rFonts w:hint="eastAsia" w:cs="Times New Roman"/>
                      <w:b/>
                      <w:color w:val="auto"/>
                      <w:sz w:val="21"/>
                      <w:szCs w:val="21"/>
                    </w:rPr>
                    <w:t>次数</w:t>
                  </w:r>
                </w:p>
              </w:tc>
              <w:tc>
                <w:tcPr>
                  <w:tcW w:w="1608" w:type="dxa"/>
                  <w:vAlign w:val="center"/>
                </w:tcPr>
                <w:p>
                  <w:pPr>
                    <w:spacing w:line="240" w:lineRule="auto"/>
                    <w:ind w:firstLine="0" w:firstLineChars="0"/>
                    <w:jc w:val="center"/>
                    <w:rPr>
                      <w:rFonts w:cs="Times New Roman"/>
                      <w:b/>
                      <w:color w:val="auto"/>
                      <w:sz w:val="21"/>
                      <w:szCs w:val="21"/>
                    </w:rPr>
                  </w:pPr>
                  <w:r>
                    <w:rPr>
                      <w:rFonts w:hint="eastAsia" w:cs="Times New Roman"/>
                      <w:b/>
                      <w:color w:val="auto"/>
                      <w:sz w:val="21"/>
                      <w:szCs w:val="21"/>
                    </w:rPr>
                    <w:t>穿/跨越方式</w:t>
                  </w:r>
                </w:p>
              </w:tc>
              <w:tc>
                <w:tcPr>
                  <w:tcW w:w="1608" w:type="dxa"/>
                </w:tcPr>
                <w:p>
                  <w:pPr>
                    <w:spacing w:line="240" w:lineRule="auto"/>
                    <w:ind w:firstLine="0" w:firstLineChars="0"/>
                    <w:jc w:val="center"/>
                    <w:rPr>
                      <w:rFonts w:cs="Times New Roman"/>
                      <w:b/>
                      <w:color w:val="auto"/>
                      <w:sz w:val="21"/>
                      <w:szCs w:val="21"/>
                    </w:rPr>
                  </w:pPr>
                  <w:r>
                    <w:rPr>
                      <w:rFonts w:hint="eastAsia"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2394"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高速</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1608"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跨越</w:t>
                  </w:r>
                </w:p>
              </w:tc>
              <w:tc>
                <w:tcPr>
                  <w:tcW w:w="160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S60合那高速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w:t>
                  </w:r>
                </w:p>
              </w:tc>
              <w:tc>
                <w:tcPr>
                  <w:tcW w:w="2394"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省道</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1608"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跨越</w:t>
                  </w:r>
                </w:p>
              </w:tc>
              <w:tc>
                <w:tcPr>
                  <w:tcW w:w="1608" w:type="dxa"/>
                </w:tcPr>
                <w:p>
                  <w:pPr>
                    <w:spacing w:line="240" w:lineRule="auto"/>
                    <w:ind w:firstLine="0" w:firstLineChars="0"/>
                    <w:jc w:val="center"/>
                    <w:rPr>
                      <w:rFonts w:cs="Times New Roman"/>
                      <w:color w:val="auto"/>
                      <w:sz w:val="21"/>
                      <w:szCs w:val="21"/>
                    </w:rPr>
                  </w:pPr>
                  <w:r>
                    <w:rPr>
                      <w:rFonts w:hint="eastAsia" w:cs="Times New Roman"/>
                      <w:color w:val="auto"/>
                      <w:sz w:val="21"/>
                      <w:szCs w:val="21"/>
                    </w:rPr>
                    <w:t>S313省道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3</w:t>
                  </w:r>
                </w:p>
              </w:tc>
              <w:tc>
                <w:tcPr>
                  <w:tcW w:w="2394"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村级</w:t>
                  </w:r>
                  <w:r>
                    <w:rPr>
                      <w:rFonts w:hint="eastAsia" w:cs="Times New Roman"/>
                      <w:color w:val="auto"/>
                      <w:sz w:val="21"/>
                      <w:szCs w:val="21"/>
                    </w:rPr>
                    <w:t>公路</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17</w:t>
                  </w:r>
                </w:p>
              </w:tc>
              <w:tc>
                <w:tcPr>
                  <w:tcW w:w="1608" w:type="dxa"/>
                </w:tcPr>
                <w:p>
                  <w:pPr>
                    <w:spacing w:line="240" w:lineRule="auto"/>
                    <w:ind w:firstLine="0" w:firstLineChars="0"/>
                    <w:jc w:val="center"/>
                    <w:rPr>
                      <w:color w:val="auto"/>
                    </w:rPr>
                  </w:pPr>
                  <w:r>
                    <w:rPr>
                      <w:color w:val="auto"/>
                    </w:rPr>
                    <w:t>跨越</w:t>
                  </w:r>
                </w:p>
              </w:tc>
              <w:tc>
                <w:tcPr>
                  <w:tcW w:w="1608" w:type="dxa"/>
                </w:tcPr>
                <w:p>
                  <w:pPr>
                    <w:spacing w:line="240" w:lineRule="auto"/>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2394"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220kV线路</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1608" w:type="dxa"/>
                </w:tcPr>
                <w:p>
                  <w:pPr>
                    <w:spacing w:line="240" w:lineRule="auto"/>
                    <w:ind w:firstLine="0" w:firstLineChars="0"/>
                    <w:jc w:val="center"/>
                    <w:rPr>
                      <w:color w:val="auto"/>
                    </w:rPr>
                  </w:pPr>
                  <w:r>
                    <w:rPr>
                      <w:color w:val="auto"/>
                    </w:rPr>
                    <w:t>钻越</w:t>
                  </w:r>
                </w:p>
              </w:tc>
              <w:tc>
                <w:tcPr>
                  <w:tcW w:w="1608" w:type="dxa"/>
                </w:tcPr>
                <w:p>
                  <w:pPr>
                    <w:spacing w:line="240" w:lineRule="auto"/>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5</w:t>
                  </w:r>
                </w:p>
              </w:tc>
              <w:tc>
                <w:tcPr>
                  <w:tcW w:w="2394"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35kV线路</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5</w:t>
                  </w:r>
                </w:p>
              </w:tc>
              <w:tc>
                <w:tcPr>
                  <w:tcW w:w="1608" w:type="dxa"/>
                </w:tcPr>
                <w:p>
                  <w:pPr>
                    <w:spacing w:line="240" w:lineRule="auto"/>
                    <w:ind w:firstLine="0" w:firstLineChars="0"/>
                    <w:jc w:val="center"/>
                    <w:rPr>
                      <w:color w:val="auto"/>
                    </w:rPr>
                  </w:pPr>
                  <w:r>
                    <w:rPr>
                      <w:color w:val="auto"/>
                    </w:rPr>
                    <w:t>跨越</w:t>
                  </w:r>
                </w:p>
              </w:tc>
              <w:tc>
                <w:tcPr>
                  <w:tcW w:w="1608" w:type="dxa"/>
                </w:tcPr>
                <w:p>
                  <w:pPr>
                    <w:spacing w:line="240" w:lineRule="auto"/>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6</w:t>
                  </w:r>
                </w:p>
              </w:tc>
              <w:tc>
                <w:tcPr>
                  <w:tcW w:w="2394"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10kV线路</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7</w:t>
                  </w:r>
                </w:p>
              </w:tc>
              <w:tc>
                <w:tcPr>
                  <w:tcW w:w="1608" w:type="dxa"/>
                </w:tcPr>
                <w:p>
                  <w:pPr>
                    <w:spacing w:line="240" w:lineRule="auto"/>
                    <w:ind w:firstLine="0" w:firstLineChars="0"/>
                    <w:jc w:val="center"/>
                    <w:rPr>
                      <w:color w:val="auto"/>
                    </w:rPr>
                  </w:pPr>
                  <w:r>
                    <w:rPr>
                      <w:color w:val="auto"/>
                    </w:rPr>
                    <w:t>跨越</w:t>
                  </w:r>
                </w:p>
              </w:tc>
              <w:tc>
                <w:tcPr>
                  <w:tcW w:w="1608" w:type="dxa"/>
                </w:tcPr>
                <w:p>
                  <w:pPr>
                    <w:spacing w:line="240" w:lineRule="auto"/>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7</w:t>
                  </w:r>
                </w:p>
              </w:tc>
              <w:tc>
                <w:tcPr>
                  <w:tcW w:w="2394"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架空通信线路（含光缆）</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6</w:t>
                  </w:r>
                </w:p>
              </w:tc>
              <w:tc>
                <w:tcPr>
                  <w:tcW w:w="1608" w:type="dxa"/>
                </w:tcPr>
                <w:p>
                  <w:pPr>
                    <w:spacing w:line="240" w:lineRule="auto"/>
                    <w:ind w:firstLine="0" w:firstLineChars="0"/>
                    <w:jc w:val="center"/>
                    <w:rPr>
                      <w:color w:val="auto"/>
                    </w:rPr>
                  </w:pPr>
                  <w:r>
                    <w:rPr>
                      <w:color w:val="auto"/>
                    </w:rPr>
                    <w:t>跨越</w:t>
                  </w:r>
                </w:p>
              </w:tc>
              <w:tc>
                <w:tcPr>
                  <w:tcW w:w="1608" w:type="dxa"/>
                </w:tcPr>
                <w:p>
                  <w:pPr>
                    <w:spacing w:line="240" w:lineRule="auto"/>
                    <w:ind w:firstLine="0" w:firstLine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8</w:t>
                  </w:r>
                </w:p>
              </w:tc>
              <w:tc>
                <w:tcPr>
                  <w:tcW w:w="2394" w:type="dxa"/>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弱电线路</w:t>
                  </w:r>
                </w:p>
              </w:tc>
              <w:tc>
                <w:tcPr>
                  <w:tcW w:w="1608" w:type="dxa"/>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10</w:t>
                  </w:r>
                </w:p>
              </w:tc>
              <w:tc>
                <w:tcPr>
                  <w:tcW w:w="1608" w:type="dxa"/>
                </w:tcPr>
                <w:p>
                  <w:pPr>
                    <w:spacing w:line="240" w:lineRule="auto"/>
                    <w:ind w:firstLine="0" w:firstLineChars="0"/>
                    <w:jc w:val="center"/>
                    <w:rPr>
                      <w:color w:val="auto"/>
                    </w:rPr>
                  </w:pPr>
                  <w:r>
                    <w:rPr>
                      <w:color w:val="auto"/>
                    </w:rPr>
                    <w:t>跨越</w:t>
                  </w:r>
                </w:p>
              </w:tc>
              <w:tc>
                <w:tcPr>
                  <w:tcW w:w="1608" w:type="dxa"/>
                </w:tcPr>
                <w:p>
                  <w:pPr>
                    <w:spacing w:line="240" w:lineRule="auto"/>
                    <w:ind w:firstLine="0" w:firstLineChars="0"/>
                    <w:jc w:val="center"/>
                    <w:rPr>
                      <w:color w:val="auto"/>
                    </w:rPr>
                  </w:pPr>
                </w:p>
              </w:tc>
            </w:tr>
            <w:bookmarkEnd w:id="6"/>
          </w:tbl>
          <w:p>
            <w:pPr>
              <w:adjustRightInd w:val="0"/>
              <w:snapToGrid w:val="0"/>
              <w:ind w:firstLine="482"/>
              <w:rPr>
                <w:rFonts w:eastAsia="宋体" w:cs="Times New Roman"/>
                <w:b/>
                <w:color w:val="auto"/>
                <w:kern w:val="0"/>
                <w:szCs w:val="24"/>
              </w:rPr>
            </w:pPr>
            <w:r>
              <w:rPr>
                <w:rFonts w:eastAsia="宋体" w:cs="Times New Roman"/>
                <w:b/>
                <w:color w:val="auto"/>
                <w:kern w:val="0"/>
                <w:szCs w:val="24"/>
              </w:rPr>
              <w:t>5、导线对地距离及交叉跨越距离设计要求</w:t>
            </w:r>
          </w:p>
          <w:p>
            <w:pPr>
              <w:adjustRightInd w:val="0"/>
              <w:snapToGrid w:val="0"/>
              <w:ind w:firstLine="480"/>
              <w:rPr>
                <w:rFonts w:eastAsia="宋体" w:cs="Times New Roman"/>
                <w:color w:val="auto"/>
                <w:kern w:val="0"/>
                <w:szCs w:val="24"/>
              </w:rPr>
            </w:pPr>
            <w:r>
              <w:rPr>
                <w:rFonts w:eastAsia="宋体" w:cs="Times New Roman"/>
                <w:color w:val="auto"/>
                <w:kern w:val="0"/>
                <w:szCs w:val="24"/>
              </w:rPr>
              <w:t>本工程导线对地及交叉跨越距离的要求值见表</w:t>
            </w:r>
            <w:r>
              <w:rPr>
                <w:rFonts w:hint="eastAsia" w:eastAsia="宋体" w:cs="Times New Roman"/>
                <w:color w:val="auto"/>
                <w:kern w:val="0"/>
                <w:szCs w:val="24"/>
              </w:rPr>
              <w:t>2</w:t>
            </w:r>
            <w:r>
              <w:rPr>
                <w:rFonts w:eastAsia="宋体" w:cs="Times New Roman"/>
                <w:color w:val="auto"/>
                <w:kern w:val="0"/>
                <w:szCs w:val="24"/>
              </w:rPr>
              <w:t>-</w:t>
            </w:r>
            <w:r>
              <w:rPr>
                <w:rFonts w:hint="eastAsia" w:eastAsia="宋体" w:cs="Times New Roman"/>
                <w:color w:val="auto"/>
                <w:kern w:val="0"/>
                <w:szCs w:val="24"/>
              </w:rPr>
              <w:t>7</w:t>
            </w:r>
            <w:r>
              <w:rPr>
                <w:rFonts w:eastAsia="宋体" w:cs="Times New Roman"/>
                <w:color w:val="auto"/>
                <w:kern w:val="0"/>
                <w:szCs w:val="24"/>
              </w:rPr>
              <w:t>。</w:t>
            </w: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ind w:firstLine="480"/>
              <w:rPr>
                <w:rFonts w:eastAsia="宋体" w:cs="Times New Roman"/>
                <w:color w:val="auto"/>
                <w:kern w:val="0"/>
                <w:szCs w:val="24"/>
              </w:rPr>
            </w:pPr>
          </w:p>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表</w:t>
            </w:r>
            <w:r>
              <w:rPr>
                <w:rFonts w:hint="eastAsia" w:eastAsia="宋体" w:cs="Times New Roman"/>
                <w:b/>
                <w:color w:val="auto"/>
                <w:kern w:val="0"/>
                <w:sz w:val="21"/>
                <w:szCs w:val="21"/>
              </w:rPr>
              <w:t>2</w:t>
            </w:r>
            <w:r>
              <w:rPr>
                <w:rFonts w:eastAsia="宋体" w:cs="Times New Roman"/>
                <w:b/>
                <w:color w:val="auto"/>
                <w:kern w:val="0"/>
                <w:sz w:val="21"/>
                <w:szCs w:val="21"/>
              </w:rPr>
              <w:t>-</w:t>
            </w:r>
            <w:r>
              <w:rPr>
                <w:rFonts w:hint="eastAsia" w:eastAsia="宋体" w:cs="Times New Roman"/>
                <w:b/>
                <w:color w:val="auto"/>
                <w:kern w:val="0"/>
                <w:sz w:val="21"/>
                <w:szCs w:val="21"/>
              </w:rPr>
              <w:t>7</w:t>
            </w:r>
            <w:r>
              <w:rPr>
                <w:rFonts w:eastAsia="宋体" w:cs="Times New Roman"/>
                <w:b/>
                <w:color w:val="auto"/>
                <w:kern w:val="0"/>
                <w:sz w:val="21"/>
                <w:szCs w:val="21"/>
              </w:rPr>
              <w:t xml:space="preserve"> 导线对地及交叉跨越距离要求表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2833"/>
              <w:gridCol w:w="156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线路经过地区或跨越物名称</w:t>
                  </w:r>
                </w:p>
              </w:tc>
              <w:tc>
                <w:tcPr>
                  <w:tcW w:w="970" w:type="pct"/>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最小距离（m）</w:t>
                  </w:r>
                </w:p>
              </w:tc>
              <w:tc>
                <w:tcPr>
                  <w:tcW w:w="965" w:type="pct"/>
                  <w:vAlign w:val="center"/>
                </w:tcPr>
                <w:p>
                  <w:pPr>
                    <w:adjustRightInd w:val="0"/>
                    <w:snapToGrid w:val="0"/>
                    <w:spacing w:line="240" w:lineRule="auto"/>
                    <w:ind w:firstLine="0" w:firstLineChars="0"/>
                    <w:jc w:val="center"/>
                    <w:rPr>
                      <w:rFonts w:eastAsia="宋体" w:cs="Times New Roman"/>
                      <w:b/>
                      <w:color w:val="auto"/>
                      <w:kern w:val="0"/>
                      <w:sz w:val="21"/>
                      <w:szCs w:val="21"/>
                    </w:rPr>
                  </w:pPr>
                  <w:r>
                    <w:rPr>
                      <w:rFonts w:eastAsia="宋体" w:cs="Times New Roman"/>
                      <w:b/>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居民区</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7.5</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非居民区</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6.5</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交通困难地区</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5.5</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步行可以到达的山坡</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5.5</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最大风偏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步行不能到达的山坡、峭壁和岩石</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最大风偏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对树木自然生长高度的垂直距离</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4.5</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5" w:type="pct"/>
                  <w:gridSpan w:val="2"/>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对果树、经济作物的垂直距离</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建筑物</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垂直距离</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6.0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净空距离</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5.0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最大风偏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高速公路、一级公路</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至路面</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8.0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70℃弧垂交叉角应大于70°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一般公路</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至路面</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8.0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通航河流</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至五年一遇洪水位</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7.0</w:t>
                  </w:r>
                </w:p>
              </w:tc>
              <w:tc>
                <w:tcPr>
                  <w:tcW w:w="965" w:type="pct"/>
                  <w:vMerge w:val="restar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70℃弧垂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至最高航行水位时最高桅顶</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3.0</w:t>
                  </w:r>
                </w:p>
              </w:tc>
              <w:tc>
                <w:tcPr>
                  <w:tcW w:w="965" w:type="pct"/>
                  <w:vMerge w:val="continue"/>
                  <w:vAlign w:val="center"/>
                </w:tcPr>
                <w:p>
                  <w:pPr>
                    <w:adjustRightInd w:val="0"/>
                    <w:snapToGrid w:val="0"/>
                    <w:spacing w:line="240" w:lineRule="auto"/>
                    <w:ind w:firstLine="0" w:firstLineChars="0"/>
                    <w:jc w:val="center"/>
                    <w:rPr>
                      <w:rFonts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不通航河流</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至白面一遇洪水位</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3"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电力线、通信线</w:t>
                  </w:r>
                </w:p>
              </w:tc>
              <w:tc>
                <w:tcPr>
                  <w:tcW w:w="1762"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至导线或地线</w:t>
                  </w:r>
                </w:p>
              </w:tc>
              <w:tc>
                <w:tcPr>
                  <w:tcW w:w="970"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40℃弧垂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35" w:type="pct"/>
                  <w:gridSpan w:val="3"/>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注：本工程全线按非居民区考虑</w:t>
                  </w:r>
                </w:p>
              </w:tc>
              <w:tc>
                <w:tcPr>
                  <w:tcW w:w="965" w:type="pct"/>
                  <w:vAlign w:val="center"/>
                </w:tcPr>
                <w:p>
                  <w:pPr>
                    <w:adjustRightInd w:val="0"/>
                    <w:snapToGrid w:val="0"/>
                    <w:spacing w:line="240" w:lineRule="auto"/>
                    <w:ind w:firstLine="0" w:firstLineChars="0"/>
                    <w:jc w:val="center"/>
                    <w:rPr>
                      <w:rFonts w:eastAsia="宋体" w:cs="Times New Roman"/>
                      <w:color w:val="auto"/>
                      <w:kern w:val="0"/>
                      <w:sz w:val="21"/>
                      <w:szCs w:val="21"/>
                    </w:rPr>
                  </w:pPr>
                </w:p>
              </w:tc>
            </w:tr>
          </w:tbl>
          <w:p>
            <w:pPr>
              <w:adjustRightInd w:val="0"/>
              <w:snapToGrid w:val="0"/>
              <w:ind w:firstLine="482"/>
              <w:rPr>
                <w:rFonts w:eastAsia="宋体" w:cs="Times New Roman"/>
                <w:b/>
                <w:color w:val="auto"/>
                <w:kern w:val="0"/>
                <w:szCs w:val="24"/>
              </w:rPr>
            </w:pPr>
          </w:p>
          <w:p>
            <w:pPr>
              <w:adjustRightInd w:val="0"/>
              <w:snapToGrid w:val="0"/>
              <w:ind w:firstLine="482"/>
              <w:rPr>
                <w:rFonts w:eastAsia="宋体" w:cs="Times New Roman"/>
                <w:b/>
                <w:color w:val="auto"/>
                <w:kern w:val="0"/>
                <w:szCs w:val="24"/>
              </w:rPr>
            </w:pPr>
            <w:r>
              <w:rPr>
                <w:rFonts w:eastAsia="宋体" w:cs="Times New Roman"/>
                <w:b/>
                <w:color w:val="auto"/>
                <w:kern w:val="0"/>
                <w:szCs w:val="24"/>
              </w:rPr>
              <w:t>6、拆迁（移民）安置与专项设施改（迁）建</w:t>
            </w:r>
          </w:p>
          <w:p>
            <w:pPr>
              <w:adjustRightInd w:val="0"/>
              <w:snapToGrid w:val="0"/>
              <w:ind w:firstLine="480"/>
              <w:rPr>
                <w:rFonts w:eastAsia="宋体" w:cs="Times New Roman"/>
                <w:color w:val="auto"/>
                <w:kern w:val="0"/>
                <w:szCs w:val="24"/>
              </w:rPr>
            </w:pPr>
            <w:r>
              <w:rPr>
                <w:rFonts w:eastAsia="宋体" w:cs="Times New Roman"/>
                <w:color w:val="auto"/>
                <w:kern w:val="0"/>
                <w:szCs w:val="24"/>
              </w:rPr>
              <w:t>工程建设不涉及拆迁（移民）安置与专项设施改（迁）建项目。</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7、土石方平衡</w:t>
            </w:r>
          </w:p>
          <w:p>
            <w:pPr>
              <w:adjustRightInd w:val="0"/>
              <w:snapToGrid w:val="0"/>
              <w:ind w:firstLine="480"/>
              <w:rPr>
                <w:rFonts w:eastAsia="宋体" w:cs="Times New Roman"/>
                <w:color w:val="auto"/>
                <w:kern w:val="0"/>
                <w:szCs w:val="24"/>
              </w:rPr>
            </w:pPr>
            <w:r>
              <w:rPr>
                <w:rFonts w:hint="eastAsia" w:eastAsia="宋体" w:cs="Times New Roman"/>
                <w:color w:val="auto"/>
                <w:kern w:val="0"/>
                <w:szCs w:val="24"/>
              </w:rPr>
              <w:t>根据《华润电力上思在妙100MW农光互补发电项目送出线路工程（变更）项目申请报告》，项目总挖方量2186m</w:t>
            </w:r>
            <w:r>
              <w:rPr>
                <w:rFonts w:hint="eastAsia" w:eastAsia="宋体" w:cs="Times New Roman"/>
                <w:color w:val="auto"/>
                <w:kern w:val="0"/>
                <w:szCs w:val="24"/>
                <w:vertAlign w:val="superscript"/>
              </w:rPr>
              <w:t>3</w:t>
            </w:r>
            <w:r>
              <w:rPr>
                <w:rFonts w:hint="eastAsia" w:eastAsia="宋体" w:cs="Times New Roman"/>
                <w:color w:val="auto"/>
                <w:kern w:val="0"/>
                <w:szCs w:val="24"/>
              </w:rPr>
              <w:t>，总填方2186m</w:t>
            </w:r>
            <w:r>
              <w:rPr>
                <w:rFonts w:hint="eastAsia" w:eastAsia="宋体" w:cs="Times New Roman"/>
                <w:color w:val="auto"/>
                <w:kern w:val="0"/>
                <w:szCs w:val="24"/>
                <w:vertAlign w:val="superscript"/>
              </w:rPr>
              <w:t>3</w:t>
            </w:r>
            <w:r>
              <w:rPr>
                <w:rFonts w:hint="eastAsia" w:eastAsia="宋体" w:cs="Times New Roman"/>
                <w:color w:val="auto"/>
                <w:kern w:val="0"/>
                <w:szCs w:val="24"/>
              </w:rPr>
              <w:t>，无借方，无弃方。由于塔基点分散的特点，且单个基础施工产生的余土量较少，施工后期直接回填平整到杆塔连梁内，压实整平，不外弃；扩建间隔施工多余土方平摊于升压站空地上，平摊后裸土表面采取硬化铺垫，不外弃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60" w:type="pct"/>
            <w:vAlign w:val="center"/>
          </w:tcPr>
          <w:p>
            <w:pPr>
              <w:ind w:firstLine="0" w:firstLineChars="0"/>
              <w:jc w:val="center"/>
              <w:rPr>
                <w:rFonts w:cs="Times New Roman"/>
                <w:color w:val="auto"/>
                <w:szCs w:val="24"/>
              </w:rPr>
            </w:pPr>
            <w:r>
              <w:rPr>
                <w:rFonts w:cs="Times New Roman"/>
                <w:color w:val="auto"/>
                <w:szCs w:val="24"/>
              </w:rPr>
              <w:t>总平面及现场布置</w:t>
            </w:r>
          </w:p>
        </w:tc>
        <w:tc>
          <w:tcPr>
            <w:tcW w:w="4740" w:type="pct"/>
          </w:tcPr>
          <w:p>
            <w:pPr>
              <w:adjustRightInd w:val="0"/>
              <w:snapToGrid w:val="0"/>
              <w:ind w:firstLine="482"/>
              <w:rPr>
                <w:rFonts w:eastAsia="宋体" w:cs="Times New Roman"/>
                <w:b/>
                <w:color w:val="auto"/>
                <w:szCs w:val="24"/>
              </w:rPr>
            </w:pPr>
            <w:r>
              <w:rPr>
                <w:rFonts w:eastAsia="宋体" w:cs="Times New Roman"/>
                <w:b/>
                <w:color w:val="auto"/>
                <w:kern w:val="0"/>
                <w:szCs w:val="24"/>
              </w:rPr>
              <w:t>1、线路线径走向</w:t>
            </w:r>
          </w:p>
          <w:p>
            <w:pPr>
              <w:ind w:firstLine="480"/>
              <w:rPr>
                <w:rFonts w:eastAsia="宋体" w:cs="Times New Roman"/>
                <w:color w:val="auto"/>
                <w:szCs w:val="24"/>
              </w:rPr>
            </w:pPr>
            <w:r>
              <w:rPr>
                <w:rFonts w:hint="eastAsia" w:eastAsia="宋体" w:cs="Times New Roman"/>
                <w:color w:val="auto"/>
                <w:szCs w:val="24"/>
              </w:rPr>
              <w:t>线路自新建光伏升压站向西出线后，随即折向东北方向走线，经渠灵、大新二队，在贯低北侧跨越乡道016后继续向东北方向走线，经江洞在渌连附近折向北走线，经那榄、及贯、那楼、那活、那叫，在华加附近再次折向东北方向走线，经渌埋、寺城，在渌何北面跨越S60合那高速及省道313后，线路左转，跨越念伦水库后线路折向西走线，经板回在渌雇附近进入220kV茶花变电站。线路全长约37.8km，全线单回路走线，均在上思县境内走线，曲折系数1.5。线路全线位于防城港市上思县境内，</w:t>
            </w:r>
            <w:r>
              <w:rPr>
                <w:rFonts w:eastAsia="宋体" w:cs="Times New Roman"/>
                <w:color w:val="auto"/>
                <w:szCs w:val="24"/>
              </w:rPr>
              <w:t>项目路径走向图见附图2。</w:t>
            </w:r>
          </w:p>
          <w:p>
            <w:pPr>
              <w:ind w:firstLine="482"/>
              <w:rPr>
                <w:rFonts w:eastAsia="宋体" w:cs="Times New Roman"/>
                <w:b/>
                <w:color w:val="auto"/>
                <w:szCs w:val="24"/>
              </w:rPr>
            </w:pPr>
            <w:r>
              <w:rPr>
                <w:rFonts w:eastAsia="宋体" w:cs="Times New Roman"/>
                <w:b/>
                <w:color w:val="auto"/>
                <w:szCs w:val="24"/>
              </w:rPr>
              <w:t>2、扩建间隔</w:t>
            </w:r>
          </w:p>
          <w:p>
            <w:pPr>
              <w:ind w:firstLine="480"/>
              <w:rPr>
                <w:rFonts w:eastAsia="宋体" w:cs="Times New Roman"/>
                <w:color w:val="auto"/>
                <w:szCs w:val="24"/>
              </w:rPr>
            </w:pPr>
            <w:r>
              <w:rPr>
                <w:rFonts w:hint="eastAsia" w:eastAsia="宋体" w:cs="Times New Roman"/>
                <w:color w:val="auto"/>
                <w:szCs w:val="24"/>
              </w:rPr>
              <w:t>茶花变电站目前已建成投运，220kV出线共有6个间隔，已用2个间隔，4个备用间隔。从右到左，使用第 1 个间隔。茶花变电站扩建220kV 出线间隔布置如图2-1。</w:t>
            </w:r>
          </w:p>
          <w:p>
            <w:pPr>
              <w:spacing w:line="240" w:lineRule="auto"/>
              <w:ind w:firstLine="0" w:firstLineChars="0"/>
              <w:jc w:val="center"/>
              <w:rPr>
                <w:rFonts w:eastAsia="宋体" w:cs="Times New Roman"/>
                <w:color w:val="auto"/>
                <w:szCs w:val="24"/>
              </w:rPr>
            </w:pPr>
            <w:r>
              <w:drawing>
                <wp:inline distT="0" distB="0" distL="0" distR="0">
                  <wp:extent cx="4724400" cy="3067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723810" cy="3066667"/>
                          </a:xfrm>
                          <a:prstGeom prst="rect">
                            <a:avLst/>
                          </a:prstGeom>
                        </pic:spPr>
                      </pic:pic>
                    </a:graphicData>
                  </a:graphic>
                </wp:inline>
              </w:drawing>
            </w:r>
          </w:p>
          <w:p>
            <w:pPr>
              <w:ind w:firstLine="0" w:firstLineChars="0"/>
              <w:jc w:val="center"/>
              <w:rPr>
                <w:rFonts w:eastAsia="宋体" w:cs="Times New Roman"/>
                <w:b/>
                <w:color w:val="auto"/>
                <w:szCs w:val="24"/>
              </w:rPr>
            </w:pPr>
            <w:r>
              <w:rPr>
                <w:rFonts w:hint="eastAsia" w:eastAsia="宋体" w:cs="Times New Roman"/>
                <w:b/>
                <w:color w:val="auto"/>
                <w:szCs w:val="24"/>
              </w:rPr>
              <w:t>图2-2茶花变电站220kV出线实景示意图</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3、施工现场布置</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（1）扩建间隔工程</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施工场区：堆料场等施工场地布置在</w:t>
            </w:r>
            <w:r>
              <w:rPr>
                <w:rFonts w:hint="eastAsia" w:eastAsia="宋体" w:cs="Times New Roman"/>
                <w:color w:val="auto"/>
                <w:kern w:val="0"/>
                <w:szCs w:val="24"/>
              </w:rPr>
              <w:t>茶花变电</w:t>
            </w:r>
            <w:r>
              <w:rPr>
                <w:rFonts w:eastAsia="宋体" w:cs="Times New Roman"/>
                <w:color w:val="auto"/>
                <w:kern w:val="0"/>
                <w:szCs w:val="24"/>
              </w:rPr>
              <w:t>站围墙内；不设施工生产生活营地；施工所需混凝土采取外购商用混凝土，运输至施工场地，不另设混凝土搅拌系统。</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施工道路：利用现有的县道及乡村水泥道路、进站道路，交通方便，施工所需要的水泥、黄沙、石料等建筑材料向附近的正规建材单位外购。</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施工用水、用电：扩建间隔工程施工用水、用电利用所在变电站现有给水及供电设施，通讯设施利用变电站周边现有通讯设配。施工期间用水、用电及对外通讯均能满足施工需要。</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（2）输电线路工程</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施工营地：输电线路施工人员租用当地居民房屋，不搭建施工生产和生活营地。</w:t>
            </w:r>
          </w:p>
          <w:p>
            <w:pPr>
              <w:adjustRightInd w:val="0"/>
              <w:snapToGrid w:val="0"/>
              <w:ind w:firstLine="480"/>
              <w:rPr>
                <w:rFonts w:eastAsia="宋体" w:cs="Times New Roman"/>
                <w:color w:val="auto"/>
                <w:kern w:val="0"/>
                <w:szCs w:val="24"/>
              </w:rPr>
            </w:pPr>
            <w:r>
              <w:rPr>
                <w:rFonts w:eastAsia="宋体" w:cs="Times New Roman"/>
                <w:color w:val="auto"/>
                <w:kern w:val="0"/>
                <w:szCs w:val="24"/>
              </w:rPr>
              <w:t>混凝土生产系统：输电线路工程塔基施工所需混凝土较少，采取外购商用混凝土，不设置混凝土搅拌站。</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施工用水：线路工程施工用水较少，可以考虑就近在附近沟渠及村庄取用，或通过汽车运送。</w:t>
            </w:r>
          </w:p>
          <w:p>
            <w:pPr>
              <w:adjustRightInd w:val="0"/>
              <w:snapToGrid w:val="0"/>
              <w:ind w:firstLine="480"/>
              <w:rPr>
                <w:rFonts w:eastAsia="宋体" w:cs="Times New Roman"/>
                <w:color w:val="auto"/>
                <w:kern w:val="0"/>
                <w:szCs w:val="24"/>
              </w:rPr>
            </w:pPr>
            <w:r>
              <w:rPr>
                <w:rFonts w:eastAsia="宋体" w:cs="Times New Roman"/>
                <w:color w:val="auto"/>
                <w:kern w:val="0"/>
                <w:szCs w:val="24"/>
              </w:rPr>
              <w:t>塔基施工临时场地：输电线路施工区域主要为塔基区，包括基础开挖区域、开挖土石方临时堆放区域、施工材料临时堆放区域、铁塔组立占地区，施工现场采取铺垫彩条布保护土地，施工结束后清理建筑垃圾及剩余的建筑材料，并对土地进行翻松，进行复耕和植被恢复。</w:t>
            </w:r>
          </w:p>
          <w:p>
            <w:pPr>
              <w:adjustRightInd w:val="0"/>
              <w:snapToGrid w:val="0"/>
              <w:ind w:firstLine="480"/>
              <w:rPr>
                <w:rFonts w:eastAsia="宋体" w:cs="Times New Roman"/>
                <w:color w:val="auto"/>
                <w:kern w:val="0"/>
                <w:szCs w:val="24"/>
              </w:rPr>
            </w:pPr>
            <w:r>
              <w:rPr>
                <w:rFonts w:eastAsia="宋体" w:cs="Times New Roman"/>
                <w:color w:val="auto"/>
                <w:kern w:val="0"/>
                <w:szCs w:val="24"/>
              </w:rPr>
              <w:t>施工道路：沿线交通运输条件良好，主要利用县道以及村与村之间的乡村道路及机耕路，局部地区机耕路受雨季影响较大，在线路施工过程中，需要对机耕路路面进行局部修补。施工材料利用已有的道路运输至距离杆塔最近的地点，再经过修建施工便道，将施工材料运至施工区域。人抬道路主要利用已有田间、林间小道。施工结束后及时进行复垦或迹地恢复，并加强植被抚育。</w:t>
            </w:r>
          </w:p>
          <w:p>
            <w:pPr>
              <w:adjustRightInd w:val="0"/>
              <w:snapToGrid w:val="0"/>
              <w:ind w:firstLine="480"/>
              <w:rPr>
                <w:rFonts w:eastAsia="宋体" w:cs="Times New Roman"/>
                <w:color w:val="auto"/>
                <w:kern w:val="0"/>
                <w:szCs w:val="24"/>
              </w:rPr>
            </w:pPr>
            <w:r>
              <w:rPr>
                <w:rFonts w:eastAsia="宋体" w:cs="Times New Roman"/>
                <w:color w:val="auto"/>
                <w:kern w:val="0"/>
                <w:szCs w:val="24"/>
              </w:rPr>
              <w:t>牵张场：本项目线路沿线共设置</w:t>
            </w:r>
            <w:r>
              <w:rPr>
                <w:rFonts w:hint="eastAsia" w:eastAsia="宋体" w:cs="Times New Roman"/>
                <w:color w:val="auto"/>
                <w:kern w:val="0"/>
                <w:szCs w:val="24"/>
              </w:rPr>
              <w:t>7</w:t>
            </w:r>
            <w:r>
              <w:rPr>
                <w:rFonts w:eastAsia="宋体" w:cs="Times New Roman"/>
                <w:color w:val="auto"/>
                <w:kern w:val="0"/>
                <w:szCs w:val="24"/>
              </w:rPr>
              <w:t>处牵张场，用于摆放张力机、牵引机和导线，不需对场地进行平整。牵张场一般选择地形平缓的场地进行施工，尽量避免占用林地及耕地，施工过程中不破坏原始地貌，牵张场均采取直接铺设钢板或苫布铺垫的方式，使用完毕后恢复原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60" w:type="pct"/>
            <w:vAlign w:val="center"/>
          </w:tcPr>
          <w:p>
            <w:pPr>
              <w:ind w:firstLine="0" w:firstLineChars="0"/>
              <w:jc w:val="center"/>
              <w:rPr>
                <w:rFonts w:cs="Times New Roman"/>
                <w:color w:val="auto"/>
                <w:szCs w:val="24"/>
              </w:rPr>
            </w:pPr>
            <w:r>
              <w:rPr>
                <w:rFonts w:cs="Times New Roman"/>
                <w:color w:val="auto"/>
                <w:szCs w:val="24"/>
              </w:rPr>
              <w:t>施工方案</w:t>
            </w:r>
          </w:p>
        </w:tc>
        <w:tc>
          <w:tcPr>
            <w:tcW w:w="4740" w:type="pct"/>
          </w:tcPr>
          <w:p>
            <w:pPr>
              <w:ind w:firstLine="482"/>
              <w:rPr>
                <w:rFonts w:eastAsia="宋体" w:cs="Times New Roman"/>
                <w:b/>
                <w:bCs/>
                <w:color w:val="auto"/>
                <w:szCs w:val="24"/>
              </w:rPr>
            </w:pPr>
            <w:r>
              <w:rPr>
                <w:rFonts w:eastAsia="宋体" w:cs="Times New Roman"/>
                <w:b/>
                <w:bCs/>
                <w:color w:val="auto"/>
                <w:szCs w:val="24"/>
              </w:rPr>
              <w:t>1、施工期</w:t>
            </w:r>
          </w:p>
          <w:p>
            <w:pPr>
              <w:autoSpaceDE w:val="0"/>
              <w:autoSpaceDN w:val="0"/>
              <w:adjustRightInd w:val="0"/>
              <w:ind w:firstLine="480"/>
              <w:rPr>
                <w:rFonts w:eastAsia="宋体" w:cs="Times New Roman"/>
                <w:color w:val="auto"/>
                <w:kern w:val="0"/>
              </w:rPr>
            </w:pPr>
            <w:r>
              <w:rPr>
                <w:rFonts w:eastAsia="宋体" w:cs="Times New Roman"/>
                <w:color w:val="auto"/>
                <w:kern w:val="0"/>
              </w:rPr>
              <w:t>施工备料、架空线路施工便道的施工，之后进行基础施工，包括电气设备基础开挖、杆塔基础开挖、回填等；基础开挖完成后进行基础浇筑、构筑物建设，接着进行设备安装、线路杆塔组立和进行线路及配套光缆线的拉线和对接等。</w:t>
            </w:r>
          </w:p>
          <w:p>
            <w:pPr>
              <w:widowControl/>
              <w:ind w:firstLine="0" w:firstLineChars="0"/>
              <w:rPr>
                <w:rFonts w:eastAsia="宋体" w:cs="Times New Roman"/>
                <w:color w:val="auto"/>
                <w:lang w:val="zh-CN"/>
              </w:rPr>
            </w:pPr>
            <w:r>
              <w:rPr>
                <w:rFonts w:eastAsia="宋体" w:cs="Times New Roman"/>
                <w:color w:val="auto"/>
              </w:rPr>
              <mc:AlternateContent>
                <mc:Choice Requires="wpc">
                  <w:drawing>
                    <wp:inline distT="0" distB="0" distL="0" distR="0">
                      <wp:extent cx="5130165" cy="1323975"/>
                      <wp:effectExtent l="0" t="0" r="13335" b="9525"/>
                      <wp:docPr id="32"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文本框 200"/>
                              <wps:cNvSpPr txBox="1">
                                <a:spLocks noChangeArrowheads="1"/>
                              </wps:cNvSpPr>
                              <wps:spPr bwMode="auto">
                                <a:xfrm>
                                  <a:off x="39174" y="819151"/>
                                  <a:ext cx="744220" cy="29464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施工准备</w:t>
                                    </w:r>
                                  </w:p>
                                </w:txbxContent>
                              </wps:txbx>
                              <wps:bodyPr rot="0" vert="horz" wrap="square" lIns="91440" tIns="45720" rIns="91440" bIns="45720" anchor="t" anchorCtr="0" upright="1">
                                <a:noAutofit/>
                              </wps:bodyPr>
                            </wps:wsp>
                            <wps:wsp>
                              <wps:cNvPr id="14" name="文本框 201"/>
                              <wps:cNvSpPr txBox="1">
                                <a:spLocks noChangeArrowheads="1"/>
                              </wps:cNvSpPr>
                              <wps:spPr bwMode="auto">
                                <a:xfrm>
                                  <a:off x="1013899" y="819151"/>
                                  <a:ext cx="762635" cy="29464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塔基施工</w:t>
                                    </w:r>
                                  </w:p>
                                </w:txbxContent>
                              </wps:txbx>
                              <wps:bodyPr rot="0" vert="horz" wrap="square" lIns="91440" tIns="45720" rIns="91440" bIns="45720" anchor="t" anchorCtr="0" upright="1">
                                <a:noAutofit/>
                              </wps:bodyPr>
                            </wps:wsp>
                            <wps:wsp>
                              <wps:cNvPr id="15" name="文本框 202"/>
                              <wps:cNvSpPr txBox="1">
                                <a:spLocks noChangeArrowheads="1"/>
                              </wps:cNvSpPr>
                              <wps:spPr bwMode="auto">
                                <a:xfrm>
                                  <a:off x="2116894" y="819151"/>
                                  <a:ext cx="774065" cy="29972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杆塔组立</w:t>
                                    </w:r>
                                  </w:p>
                                </w:txbxContent>
                              </wps:txbx>
                              <wps:bodyPr rot="0" vert="horz" wrap="square" lIns="91440" tIns="45720" rIns="91440" bIns="45720" anchor="t" anchorCtr="0" upright="1">
                                <a:noAutofit/>
                              </wps:bodyPr>
                            </wps:wsp>
                            <wps:wsp>
                              <wps:cNvPr id="16" name="文本框 203"/>
                              <wps:cNvSpPr txBox="1">
                                <a:spLocks noChangeArrowheads="1"/>
                              </wps:cNvSpPr>
                              <wps:spPr bwMode="auto">
                                <a:xfrm>
                                  <a:off x="3207824" y="754380"/>
                                  <a:ext cx="530860" cy="512445"/>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架线施工</w:t>
                                    </w:r>
                                  </w:p>
                                </w:txbxContent>
                              </wps:txbx>
                              <wps:bodyPr rot="0" vert="horz" wrap="square" lIns="91440" tIns="45720" rIns="91440" bIns="45720" anchor="t" anchorCtr="0" upright="1">
                                <a:noAutofit/>
                              </wps:bodyPr>
                            </wps:wsp>
                            <wps:wsp>
                              <wps:cNvPr id="17" name="自选图形 204"/>
                              <wps:cNvCnPr/>
                              <wps:spPr bwMode="auto">
                                <a:xfrm>
                                  <a:off x="783394" y="966471"/>
                                  <a:ext cx="230505" cy="635"/>
                                </a:xfrm>
                                <a:prstGeom prst="straightConnector1">
                                  <a:avLst/>
                                </a:prstGeom>
                                <a:noFill/>
                                <a:ln w="9525">
                                  <a:solidFill>
                                    <a:srgbClr val="000000"/>
                                  </a:solidFill>
                                  <a:round/>
                                  <a:tailEnd type="triangle" w="med" len="med"/>
                                </a:ln>
                              </wps:spPr>
                              <wps:bodyPr/>
                            </wps:wsp>
                            <wps:wsp>
                              <wps:cNvPr id="18" name="自选图形 205"/>
                              <wps:cNvCnPr/>
                              <wps:spPr bwMode="auto">
                                <a:xfrm>
                                  <a:off x="1776534" y="966471"/>
                                  <a:ext cx="340360" cy="2540"/>
                                </a:xfrm>
                                <a:prstGeom prst="straightConnector1">
                                  <a:avLst/>
                                </a:prstGeom>
                                <a:noFill/>
                                <a:ln w="9525">
                                  <a:solidFill>
                                    <a:srgbClr val="000000"/>
                                  </a:solidFill>
                                  <a:round/>
                                  <a:tailEnd type="triangle" w="med" len="med"/>
                                </a:ln>
                              </wps:spPr>
                              <wps:bodyPr/>
                            </wps:wsp>
                            <wps:wsp>
                              <wps:cNvPr id="19" name="自选图形 206"/>
                              <wps:cNvCnPr/>
                              <wps:spPr bwMode="auto">
                                <a:xfrm>
                                  <a:off x="2890959" y="969011"/>
                                  <a:ext cx="316865" cy="12065"/>
                                </a:xfrm>
                                <a:prstGeom prst="straightConnector1">
                                  <a:avLst/>
                                </a:prstGeom>
                                <a:noFill/>
                                <a:ln w="9525">
                                  <a:solidFill>
                                    <a:srgbClr val="000000"/>
                                  </a:solidFill>
                                  <a:round/>
                                  <a:tailEnd type="triangle" w="med" len="med"/>
                                </a:ln>
                              </wps:spPr>
                              <wps:bodyPr/>
                            </wps:wsp>
                            <wps:wsp>
                              <wps:cNvPr id="20" name="文本框 207"/>
                              <wps:cNvSpPr txBox="1">
                                <a:spLocks noChangeArrowheads="1"/>
                              </wps:cNvSpPr>
                              <wps:spPr bwMode="auto">
                                <a:xfrm>
                                  <a:off x="296984" y="1"/>
                                  <a:ext cx="1188720" cy="541020"/>
                                </a:xfrm>
                                <a:prstGeom prst="rect">
                                  <a:avLst/>
                                </a:prstGeom>
                                <a:solidFill>
                                  <a:srgbClr val="FFFFFF"/>
                                </a:solidFill>
                                <a:ln w="3175">
                                  <a:solidFill>
                                    <a:srgbClr val="000000"/>
                                  </a:solidFill>
                                  <a:prstDash val="dash"/>
                                  <a:miter lim="800000"/>
                                </a:ln>
                              </wps:spPr>
                              <wps:txbx>
                                <w:txbxContent>
                                  <w:p>
                                    <w:pPr>
                                      <w:spacing w:line="240" w:lineRule="auto"/>
                                      <w:ind w:firstLine="0" w:firstLineChars="0"/>
                                      <w:rPr>
                                        <w:sz w:val="21"/>
                                        <w:szCs w:val="21"/>
                                      </w:rPr>
                                    </w:pPr>
                                    <w:r>
                                      <w:rPr>
                                        <w:rFonts w:hint="eastAsia"/>
                                        <w:sz w:val="21"/>
                                        <w:szCs w:val="21"/>
                                      </w:rPr>
                                      <w:t>扬尘、噪声、固体废物、生态影响</w:t>
                                    </w:r>
                                  </w:p>
                                </w:txbxContent>
                              </wps:txbx>
                              <wps:bodyPr rot="0" vert="horz" wrap="square" lIns="91440" tIns="45720" rIns="91440" bIns="45720" anchor="t" anchorCtr="0" upright="1">
                                <a:noAutofit/>
                              </wps:bodyPr>
                            </wps:wsp>
                            <wps:wsp>
                              <wps:cNvPr id="21" name="自选图形 208"/>
                              <wps:cNvCnPr/>
                              <wps:spPr bwMode="auto">
                                <a:xfrm flipV="1">
                                  <a:off x="411284" y="541021"/>
                                  <a:ext cx="635" cy="278130"/>
                                </a:xfrm>
                                <a:prstGeom prst="straightConnector1">
                                  <a:avLst/>
                                </a:prstGeom>
                                <a:noFill/>
                                <a:ln w="9525">
                                  <a:solidFill>
                                    <a:srgbClr val="000000"/>
                                  </a:solidFill>
                                  <a:prstDash val="dash"/>
                                  <a:round/>
                                  <a:tailEnd type="triangle" w="med" len="med"/>
                                </a:ln>
                              </wps:spPr>
                              <wps:bodyPr/>
                            </wps:wsp>
                            <wps:wsp>
                              <wps:cNvPr id="22" name="自选图形 209"/>
                              <wps:cNvCnPr/>
                              <wps:spPr bwMode="auto">
                                <a:xfrm flipV="1">
                                  <a:off x="1410774" y="539116"/>
                                  <a:ext cx="635" cy="280035"/>
                                </a:xfrm>
                                <a:prstGeom prst="straightConnector1">
                                  <a:avLst/>
                                </a:prstGeom>
                                <a:noFill/>
                                <a:ln w="9525">
                                  <a:solidFill>
                                    <a:srgbClr val="000000"/>
                                  </a:solidFill>
                                  <a:prstDash val="dash"/>
                                  <a:round/>
                                  <a:tailEnd type="triangle" w="med" len="med"/>
                                </a:ln>
                              </wps:spPr>
                              <wps:bodyPr/>
                            </wps:wsp>
                            <wps:wsp>
                              <wps:cNvPr id="23" name="文本框 210"/>
                              <wps:cNvSpPr txBox="1">
                                <a:spLocks noChangeArrowheads="1"/>
                              </wps:cNvSpPr>
                              <wps:spPr bwMode="auto">
                                <a:xfrm>
                                  <a:off x="3925374" y="749936"/>
                                  <a:ext cx="516890" cy="51689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工程验收投入运营</w:t>
                                    </w:r>
                                  </w:p>
                                </w:txbxContent>
                              </wps:txbx>
                              <wps:bodyPr rot="0" vert="horz" wrap="square" lIns="91440" tIns="45720" rIns="91440" bIns="45720" anchor="t" anchorCtr="0" upright="1">
                                <a:noAutofit/>
                              </wps:bodyPr>
                            </wps:wsp>
                            <wps:wsp>
                              <wps:cNvPr id="24" name="自选图形 211"/>
                              <wps:cNvCnPr/>
                              <wps:spPr bwMode="auto">
                                <a:xfrm>
                                  <a:off x="3738684" y="981076"/>
                                  <a:ext cx="186690" cy="2540"/>
                                </a:xfrm>
                                <a:prstGeom prst="straightConnector1">
                                  <a:avLst/>
                                </a:prstGeom>
                                <a:noFill/>
                                <a:ln w="9525">
                                  <a:solidFill>
                                    <a:srgbClr val="000000"/>
                                  </a:solidFill>
                                  <a:round/>
                                  <a:tailEnd type="triangle" w="med" len="med"/>
                                </a:ln>
                              </wps:spPr>
                              <wps:bodyPr/>
                            </wps:wsp>
                            <wps:wsp>
                              <wps:cNvPr id="25" name="文本框 212"/>
                              <wps:cNvSpPr txBox="1">
                                <a:spLocks noChangeArrowheads="1"/>
                              </wps:cNvSpPr>
                              <wps:spPr bwMode="auto">
                                <a:xfrm>
                                  <a:off x="2318189" y="247651"/>
                                  <a:ext cx="1283970" cy="293370"/>
                                </a:xfrm>
                                <a:prstGeom prst="rect">
                                  <a:avLst/>
                                </a:prstGeom>
                                <a:solidFill>
                                  <a:srgbClr val="FFFFFF"/>
                                </a:solidFill>
                                <a:ln w="3175">
                                  <a:solidFill>
                                    <a:srgbClr val="000000"/>
                                  </a:solidFill>
                                  <a:prstDash val="dash"/>
                                  <a:miter lim="800000"/>
                                </a:ln>
                              </wps:spPr>
                              <wps:txbx>
                                <w:txbxContent>
                                  <w:p>
                                    <w:pPr>
                                      <w:spacing w:line="240" w:lineRule="auto"/>
                                      <w:ind w:firstLine="0" w:firstLineChars="0"/>
                                      <w:rPr>
                                        <w:sz w:val="21"/>
                                        <w:szCs w:val="21"/>
                                      </w:rPr>
                                    </w:pPr>
                                    <w:r>
                                      <w:rPr>
                                        <w:rFonts w:hint="eastAsia"/>
                                        <w:sz w:val="21"/>
                                        <w:szCs w:val="21"/>
                                      </w:rPr>
                                      <w:t>噪声、固体废物</w:t>
                                    </w:r>
                                  </w:p>
                                </w:txbxContent>
                              </wps:txbx>
                              <wps:bodyPr rot="0" vert="horz" wrap="square" lIns="91440" tIns="45720" rIns="91440" bIns="45720" anchor="t" anchorCtr="0" upright="1">
                                <a:noAutofit/>
                              </wps:bodyPr>
                            </wps:wsp>
                            <wps:wsp>
                              <wps:cNvPr id="26" name="自选图形 213"/>
                              <wps:cNvCnPr/>
                              <wps:spPr bwMode="auto">
                                <a:xfrm flipV="1">
                                  <a:off x="3473254" y="541021"/>
                                  <a:ext cx="635" cy="213360"/>
                                </a:xfrm>
                                <a:prstGeom prst="straightConnector1">
                                  <a:avLst/>
                                </a:prstGeom>
                                <a:noFill/>
                                <a:ln w="9525">
                                  <a:solidFill>
                                    <a:srgbClr val="000000"/>
                                  </a:solidFill>
                                  <a:prstDash val="dash"/>
                                  <a:round/>
                                  <a:tailEnd type="triangle" w="med" len="med"/>
                                </a:ln>
                              </wps:spPr>
                              <wps:bodyPr/>
                            </wps:wsp>
                            <wps:wsp>
                              <wps:cNvPr id="27" name="文本框 214"/>
                              <wps:cNvSpPr txBox="1">
                                <a:spLocks noChangeArrowheads="1"/>
                              </wps:cNvSpPr>
                              <wps:spPr bwMode="auto">
                                <a:xfrm>
                                  <a:off x="4616889" y="752476"/>
                                  <a:ext cx="513715" cy="51435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投入运行</w:t>
                                    </w:r>
                                  </w:p>
                                </w:txbxContent>
                              </wps:txbx>
                              <wps:bodyPr rot="0" vert="horz" wrap="square" lIns="91440" tIns="45720" rIns="91440" bIns="45720" anchor="t" anchorCtr="0" upright="1">
                                <a:noAutofit/>
                              </wps:bodyPr>
                            </wps:wsp>
                            <wps:wsp>
                              <wps:cNvPr id="28" name="自选图形 215"/>
                              <wps:cNvCnPr/>
                              <wps:spPr bwMode="auto">
                                <a:xfrm>
                                  <a:off x="4442264" y="983616"/>
                                  <a:ext cx="174625" cy="2540"/>
                                </a:xfrm>
                                <a:prstGeom prst="straightConnector1">
                                  <a:avLst/>
                                </a:prstGeom>
                                <a:noFill/>
                                <a:ln w="9525">
                                  <a:solidFill>
                                    <a:srgbClr val="000000"/>
                                  </a:solidFill>
                                  <a:round/>
                                  <a:tailEnd type="triangle" w="med" len="med"/>
                                </a:ln>
                              </wps:spPr>
                              <wps:bodyPr/>
                            </wps:wsp>
                            <wps:wsp>
                              <wps:cNvPr id="29" name="自选图形 216"/>
                              <wps:cNvCnPr/>
                              <wps:spPr bwMode="auto">
                                <a:xfrm flipV="1">
                                  <a:off x="2504244" y="541021"/>
                                  <a:ext cx="635" cy="278130"/>
                                </a:xfrm>
                                <a:prstGeom prst="straightConnector1">
                                  <a:avLst/>
                                </a:prstGeom>
                                <a:noFill/>
                                <a:ln w="9525">
                                  <a:solidFill>
                                    <a:srgbClr val="000000"/>
                                  </a:solidFill>
                                  <a:prstDash val="dash"/>
                                  <a:round/>
                                  <a:tailEnd type="triangle" w="med" len="med"/>
                                </a:ln>
                              </wps:spPr>
                              <wps:bodyPr/>
                            </wps:wsp>
                            <wps:wsp>
                              <wps:cNvPr id="30" name="文本框 217"/>
                              <wps:cNvSpPr txBox="1">
                                <a:spLocks noChangeArrowheads="1"/>
                              </wps:cNvSpPr>
                              <wps:spPr bwMode="auto">
                                <a:xfrm>
                                  <a:off x="3849809" y="247651"/>
                                  <a:ext cx="1283970" cy="293370"/>
                                </a:xfrm>
                                <a:prstGeom prst="rect">
                                  <a:avLst/>
                                </a:prstGeom>
                                <a:solidFill>
                                  <a:srgbClr val="FFFFFF"/>
                                </a:solidFill>
                                <a:ln w="3175">
                                  <a:solidFill>
                                    <a:srgbClr val="000000"/>
                                  </a:solidFill>
                                  <a:prstDash val="dash"/>
                                  <a:miter lim="800000"/>
                                </a:ln>
                              </wps:spPr>
                              <wps:txbx>
                                <w:txbxContent>
                                  <w:p>
                                    <w:pPr>
                                      <w:spacing w:line="240" w:lineRule="auto"/>
                                      <w:ind w:firstLine="0" w:firstLineChars="0"/>
                                      <w:rPr>
                                        <w:sz w:val="21"/>
                                        <w:szCs w:val="21"/>
                                      </w:rPr>
                                    </w:pPr>
                                    <w:r>
                                      <w:rPr>
                                        <w:rFonts w:hint="eastAsia"/>
                                        <w:sz w:val="21"/>
                                        <w:szCs w:val="21"/>
                                      </w:rPr>
                                      <w:t>噪声、工频电磁场</w:t>
                                    </w:r>
                                  </w:p>
                                </w:txbxContent>
                              </wps:txbx>
                              <wps:bodyPr rot="0" vert="horz" wrap="square" lIns="91440" tIns="45720" rIns="91440" bIns="45720" anchor="t" anchorCtr="0" upright="1">
                                <a:noAutofit/>
                              </wps:bodyPr>
                            </wps:wsp>
                            <wps:wsp>
                              <wps:cNvPr id="31" name="自选图形 218"/>
                              <wps:cNvCnPr/>
                              <wps:spPr bwMode="auto">
                                <a:xfrm flipH="1" flipV="1">
                                  <a:off x="4442899" y="541021"/>
                                  <a:ext cx="432435" cy="211455"/>
                                </a:xfrm>
                                <a:prstGeom prst="straightConnector1">
                                  <a:avLst/>
                                </a:prstGeom>
                                <a:noFill/>
                                <a:ln w="9525">
                                  <a:solidFill>
                                    <a:srgbClr val="000000"/>
                                  </a:solidFill>
                                  <a:prstDash val="dash"/>
                                  <a:round/>
                                  <a:tailEnd type="triangle" w="med" len="med"/>
                                </a:ln>
                              </wps:spPr>
                              <wps:bodyPr/>
                            </wps:wsp>
                          </wpc:wpc>
                        </a:graphicData>
                      </a:graphic>
                    </wp:inline>
                  </w:drawing>
                </mc:Choice>
                <mc:Fallback>
                  <w:pict>
                    <v:group id="_x0000_s1026" o:spid="_x0000_s1026" o:spt="203" style="height:104.25pt;width:403.95pt;" coordsize="5130604,1323975" editas="canvas" o:gfxdata="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WAAAAZHJzL1BLAQIU&#10;ABQAAAAIAIdO4kDVEpEd1wAAAAUBAAAPAAAAAAAAAAEAIAAAADgAAABkcnMvZG93bnJldi54bWxQ&#10;SwECFAAUAAAACACHTuJAakpMf+QFAAD6LgAADgAAAAAAAAABACAAAAA8AQAAZHJzL2Uyb0RvYy54&#10;bWxQSwUGAAAAAAYABgBZAQAAkgkAAAAA&#10;">
                      <o:lock v:ext="edit" aspectratio="f"/>
                      <v:shape id="_x0000_s1026" o:spid="_x0000_s1026" style="position:absolute;left:0;top:0;height:1323975;width:5130604;" filled="f" stroked="f" coordsize="21600,21600" o:gfxdata="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WAAAAZHJzL1BLAQIUABQAAAAIAIdO4kDV&#10;EpEd1wAAAAUBAAAPAAAAAAAAAAEAIAAAADgAAABkcnMvZG93bnJldi54bWxQSwECFAAUAAAACACH&#10;TuJA+nxEk58FAAB1LgAADgAAAAAAAAABACAAAAA8AQAAZHJzL2Uyb0RvYy54bWxQSwUGAAAAAAYA&#10;BgBZAQAATQkAAAAA&#10;">
                        <v:fill on="f" focussize="0,0"/>
                        <v:stroke on="f"/>
                        <v:imagedata o:title=""/>
                        <o:lock v:ext="edit" aspectratio="t"/>
                      </v:shape>
                      <v:shape id="文本框 200" o:spid="_x0000_s1026" o:spt="202" type="#_x0000_t202" style="position:absolute;left:39174;top:819151;height:294640;width:744220;"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iv60YtYAAAAFAQAADwAAAAAAAAABACAAAAA4&#10;AAAAZHJzL2Rvd25yZXYueG1sUEsBAhQAFAAAAAgAh07iQAyogIkvAgAARAQAAA4AAAAAAAAAAQAg&#10;AAAAOwEAAGRycy9lMm9Eb2MueG1sUEsFBgAAAAAGAAYAWQEAANw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施工准备</w:t>
                              </w:r>
                            </w:p>
                          </w:txbxContent>
                        </v:textbox>
                      </v:shape>
                      <v:shape id="文本框 201" o:spid="_x0000_s1026" o:spt="202" type="#_x0000_t202" style="position:absolute;left:1013899;top:819151;height:294640;width:762635;"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Ir+tGLWAAAABQEAAA8AAAAAAAAAAQAg&#10;AAAAOAAAAGRycy9kb3ducmV2LnhtbFBLAQIUABQAAAAIAIdO4kC58dV5MwIAAEYEAAAOAAAAAAAA&#10;AAEAIAAAADsBAABkcnMvZTJvRG9jLnhtbFBLBQYAAAAABgAGAFkBAADgBQ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塔基施工</w:t>
                              </w:r>
                            </w:p>
                          </w:txbxContent>
                        </v:textbox>
                      </v:shape>
                      <v:shape id="文本框 202" o:spid="_x0000_s1026" o:spt="202" type="#_x0000_t202" style="position:absolute;left:2116894;top:819151;height:299720;width:774065;"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iv60YtYAAAAFAQAADwAAAAAAAAABACAAAAA4&#10;AAAAZHJzL2Rvd25yZXYueG1sUEsBAhQAFAAAAAgAh07iQK78W0gvAgAARgQAAA4AAAAAAAAAAQAg&#10;AAAAOwEAAGRycy9lMm9Eb2MueG1sUEsFBgAAAAAGAAYAWQEAANw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杆塔组立</w:t>
                              </w:r>
                            </w:p>
                          </w:txbxContent>
                        </v:textbox>
                      </v:shape>
                      <v:shape id="文本框 203" o:spid="_x0000_s1026" o:spt="202" type="#_x0000_t202" style="position:absolute;left:3207824;top:754380;height:512445;width:530860;"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CK/rRi1gAAAAUBAAAPAAAAAAAAAAEAIAAA&#10;ADgAAABkcnMvZG93bnJldi54bWxQSwECFAAUAAAACACHTuJAhONxkzECAABGBAAADgAAAAAAAAAB&#10;ACAAAAA7AQAAZHJzL2Uyb0RvYy54bWxQSwUGAAAAAAYABgBZAQAA3gU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架线施工</w:t>
                              </w:r>
                            </w:p>
                          </w:txbxContent>
                        </v:textbox>
                      </v:shape>
                      <v:shape id="自选图形 204" o:spid="_x0000_s1026" o:spt="32" type="#_x0000_t32" style="position:absolute;left:783394;top:966471;height:635;width:230505;" filled="f" stroked="t" coordsize="21600,21600" o:gfxdata="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KIOdnjXAAAABQEAAA8AAAAAAAAAAQAgAAAAOAAAAGRycy9kb3ducmV2LnhtbFBL&#10;AQIUABQAAAAIAIdO4kCMjndA4QEAAHEDAAAOAAAAAAAAAAEAIAAAADwBAABkcnMvZTJvRG9jLnht&#10;bFBLBQYAAAAABgAGAFkBAACPBQAAAAA=&#10;">
                        <v:fill on="f" focussize="0,0"/>
                        <v:stroke color="#000000" joinstyle="round" endarrow="block"/>
                        <v:imagedata o:title=""/>
                        <o:lock v:ext="edit" aspectratio="f"/>
                      </v:shape>
                      <v:shape id="自选图形 205" o:spid="_x0000_s1026" o:spt="32" type="#_x0000_t32" style="position:absolute;left:1776534;top:966471;height:2540;width:340360;" filled="f" stroked="t" coordsize="21600,21600" o:gfxdata="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og52eNcAAAAFAQAADwAAAAAAAAABACAAAAA4AAAAZHJzL2Rvd25yZXYueG1s&#10;UEsBAhQAFAAAAAgAh07iQJ6cPIfjAQAAcwMAAA4AAAAAAAAAAQAgAAAAPAEAAGRycy9lMm9Eb2Mu&#10;eG1sUEsFBgAAAAAGAAYAWQEAAJEFAAAAAA==&#10;">
                        <v:fill on="f" focussize="0,0"/>
                        <v:stroke color="#000000" joinstyle="round" endarrow="block"/>
                        <v:imagedata o:title=""/>
                        <o:lock v:ext="edit" aspectratio="f"/>
                      </v:shape>
                      <v:shape id="自选图形 206" o:spid="_x0000_s1026" o:spt="32" type="#_x0000_t32" style="position:absolute;left:2890959;top:969011;height:12065;width:316865;" filled="f" stroked="t" coordsize="21600,21600" o:gfxdata="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KIOdnjXAAAABQEAAA8AAAAAAAAAAQAgAAAAOAAAAGRycy9kb3ducmV2LnhtbFBL&#10;AQIUABQAAAAIAIdO4kDRNF924QEAAHQDAAAOAAAAAAAAAAEAIAAAADwBAABkcnMvZTJvRG9jLnht&#10;bFBLBQYAAAAABgAGAFkBAACPBQAAAAA=&#10;">
                        <v:fill on="f" focussize="0,0"/>
                        <v:stroke color="#000000" joinstyle="round" endarrow="block"/>
                        <v:imagedata o:title=""/>
                        <o:lock v:ext="edit" aspectratio="f"/>
                      </v:shape>
                      <v:shape id="文本框 207" o:spid="_x0000_s1026" o:spt="202" type="#_x0000_t202" style="position:absolute;left:296984;top:1;height:541020;width:1188720;" fillcolor="#FFFFFF" filled="t" stroked="t" coordsize="21600,21600" o:gfxdata="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83iy3NMAAAAFAQAADwAAAAAAAAABACAA&#10;AAA4AAAAZHJzL2Rvd25yZXYueG1sUEsBAhQAFAAAAAgAh07iQGKhzLk1AgAAWQQAAA4AAAAAAAAA&#10;AQAgAAAAOAEAAGRycy9lMm9Eb2MueG1sUEsFBgAAAAAGAAYAWQEAAN8FAAAAAA==&#10;">
                        <v:fill on="t" focussize="0,0"/>
                        <v:stroke weight="0.25pt" color="#000000" miterlimit="8" joinstyle="miter" dashstyle="dash"/>
                        <v:imagedata o:title=""/>
                        <o:lock v:ext="edit" aspectratio="f"/>
                        <v:textbox>
                          <w:txbxContent>
                            <w:p>
                              <w:pPr>
                                <w:spacing w:line="240" w:lineRule="auto"/>
                                <w:ind w:firstLine="0" w:firstLineChars="0"/>
                                <w:rPr>
                                  <w:sz w:val="21"/>
                                  <w:szCs w:val="21"/>
                                </w:rPr>
                              </w:pPr>
                              <w:r>
                                <w:rPr>
                                  <w:rFonts w:hint="eastAsia"/>
                                  <w:sz w:val="21"/>
                                  <w:szCs w:val="21"/>
                                </w:rPr>
                                <w:t>扬尘、噪声、固体废物、生态影响</w:t>
                              </w:r>
                            </w:p>
                          </w:txbxContent>
                        </v:textbox>
                      </v:shape>
                      <v:shape id="自选图形 208" o:spid="_x0000_s1026" o:spt="32" type="#_x0000_t32" style="position:absolute;left:411284;top:541021;flip:y;height:278130;width:635;" filled="f" stroked="t" coordsize="21600,21600" o:gfxdata="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5RxXh0gAAAAUBAAAPAAAAAAAAAAEAIAAAADgAAABkcnMv&#10;ZG93bnJldi54bWxQSwECFAAUAAAACACHTuJA3ofyrvMBAACTAwAADgAAAAAAAAABACAAAAA3AQAA&#10;ZHJzL2Uyb0RvYy54bWxQSwUGAAAAAAYABgBZAQAAnAUAAAAA&#10;">
                        <v:fill on="f" focussize="0,0"/>
                        <v:stroke color="#000000" joinstyle="round" dashstyle="dash" endarrow="block"/>
                        <v:imagedata o:title=""/>
                        <o:lock v:ext="edit" aspectratio="f"/>
                      </v:shape>
                      <v:shape id="自选图形 209" o:spid="_x0000_s1026" o:spt="32" type="#_x0000_t32" style="position:absolute;left:1410774;top:539116;flip:y;height:280035;width:635;" filled="f" stroked="t" coordsize="21600,21600" o:gfxdata="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UcV4dIAAAAFAQAADwAAAAAAAAABACAAAAA4AAAAZHJz&#10;L2Rvd25yZXYueG1sUEsBAhQAFAAAAAgAh07iQCQv+VP0AQAAlAMAAA4AAAAAAAAAAQAgAAAANwEA&#10;AGRycy9lMm9Eb2MueG1sUEsFBgAAAAAGAAYAWQEAAJ0FAAAAAA==&#10;">
                        <v:fill on="f" focussize="0,0"/>
                        <v:stroke color="#000000" joinstyle="round" dashstyle="dash" endarrow="block"/>
                        <v:imagedata o:title=""/>
                        <o:lock v:ext="edit" aspectratio="f"/>
                      </v:shape>
                      <v:shape id="文本框 210" o:spid="_x0000_s1026" o:spt="202" type="#_x0000_t202" style="position:absolute;left:3925374;top:749936;height:516890;width:516890;"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iv60YtYAAAAFAQAADwAAAAAAAAABACAAAAA4&#10;AAAAZHJzL2Rvd25yZXYueG1sUEsBAhQAFAAAAAgAh07iQNkkF9cvAgAARgQAAA4AAAAAAAAAAQAg&#10;AAAAOwEAAGRycy9lMm9Eb2MueG1sUEsFBgAAAAAGAAYAWQEAANw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工程验收投入运营</w:t>
                              </w:r>
                            </w:p>
                          </w:txbxContent>
                        </v:textbox>
                      </v:shape>
                      <v:shape id="自选图形 211" o:spid="_x0000_s1026" o:spt="32" type="#_x0000_t32" style="position:absolute;left:3738684;top:981076;height:2540;width:186690;" filled="f" stroked="t" coordsize="21600,21600" o:gfxdata="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IOdnjXAAAABQEAAA8AAAAAAAAAAQAgAAAAOAAAAGRycy9kb3ducmV2Lnht&#10;bFBLAQIUABQAAAAIAIdO4kB/ZwqT5AEAAHMDAAAOAAAAAAAAAAEAIAAAADwBAABkcnMvZTJvRG9j&#10;LnhtbFBLBQYAAAAABgAGAFkBAACSBQAAAAA=&#10;">
                        <v:fill on="f" focussize="0,0"/>
                        <v:stroke color="#000000" joinstyle="round" endarrow="block"/>
                        <v:imagedata o:title=""/>
                        <o:lock v:ext="edit" aspectratio="f"/>
                      </v:shape>
                      <v:shape id="文本框 212" o:spid="_x0000_s1026" o:spt="202" type="#_x0000_t202" style="position:absolute;left:2318189;top:247651;height:293370;width:1283970;" fillcolor="#FFFFFF" filled="t" stroked="t" coordsize="21600,21600" o:gfxdata="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zeLLc0wAAAAUBAAAPAAAA&#10;AAAAAAEAIAAAADgAAABkcnMvZG93bnJldi54bWxQSwECFAAUAAAACACHTuJA6sAJwD0CAABfBAAA&#10;DgAAAAAAAAABACAAAAA4AQAAZHJzL2Uyb0RvYy54bWxQSwUGAAAAAAYABgBZAQAA5wUAAAAA&#10;">
                        <v:fill on="t" focussize="0,0"/>
                        <v:stroke weight="0.25pt" color="#000000" miterlimit="8" joinstyle="miter" dashstyle="dash"/>
                        <v:imagedata o:title=""/>
                        <o:lock v:ext="edit" aspectratio="f"/>
                        <v:textbox>
                          <w:txbxContent>
                            <w:p>
                              <w:pPr>
                                <w:spacing w:line="240" w:lineRule="auto"/>
                                <w:ind w:firstLine="0" w:firstLineChars="0"/>
                                <w:rPr>
                                  <w:sz w:val="21"/>
                                  <w:szCs w:val="21"/>
                                </w:rPr>
                              </w:pPr>
                              <w:r>
                                <w:rPr>
                                  <w:rFonts w:hint="eastAsia"/>
                                  <w:sz w:val="21"/>
                                  <w:szCs w:val="21"/>
                                </w:rPr>
                                <w:t>噪声、固体废物</w:t>
                              </w:r>
                            </w:p>
                          </w:txbxContent>
                        </v:textbox>
                      </v:shape>
                      <v:shape id="自选图形 213" o:spid="_x0000_s1026" o:spt="32" type="#_x0000_t32" style="position:absolute;left:3473254;top:541021;flip:y;height:213360;width:635;" filled="f" stroked="t" coordsize="21600,21600" o:gfxdata="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&#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lHFeHSAAAABQEAAA8AAAAAAAAAAQAgAAAAOAAAAGRy&#10;cy9kb3ducmV2LnhtbFBLAQIUABQAAAAIAIdO4kAdekJV9QEAAJQDAAAOAAAAAAAAAAEAIAAAADcB&#10;AABkcnMvZTJvRG9jLnhtbFBLBQYAAAAABgAGAFkBAACeBQAAAAA=&#10;">
                        <v:fill on="f" focussize="0,0"/>
                        <v:stroke color="#000000" joinstyle="round" dashstyle="dash" endarrow="block"/>
                        <v:imagedata o:title=""/>
                        <o:lock v:ext="edit" aspectratio="f"/>
                      </v:shape>
                      <v:shape id="文本框 214" o:spid="_x0000_s1026" o:spt="202" type="#_x0000_t202" style="position:absolute;left:4616889;top:752476;height:514350;width:513715;" fillcolor="#FFFFFF" filled="t" stroked="t" coordsize="21600,21600" o:gfxdata="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Ir+tGLWAAAABQEAAA8AAAAAAAAAAQAg&#10;AAAAOAAAAGRycy9kb3ducmV2LnhtbFBLAQIUABQAAAAIAIdO4kDtCQlRMwIAAEYEAAAOAAAAAAAA&#10;AAEAIAAAADsBAABkcnMvZTJvRG9jLnhtbFBLBQYAAAAABgAGAFkBAADgBQ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投入运行</w:t>
                              </w:r>
                            </w:p>
                          </w:txbxContent>
                        </v:textbox>
                      </v:shape>
                      <v:shape id="自选图形 215" o:spid="_x0000_s1026" o:spt="32" type="#_x0000_t32" style="position:absolute;left:4442264;top:983616;height:2540;width:174625;" filled="f" stroked="t" coordsize="21600,21600" o:gfxdata="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IOdnjXAAAABQEAAA8AAAAAAAAAAQAgAAAAOAAAAGRycy9kb3ducmV2Lnht&#10;bFBLAQIUABQAAAAIAIdO4kBQvGr05AEAAHMDAAAOAAAAAAAAAAEAIAAAADwBAABkcnMvZTJvRG9j&#10;LnhtbFBLBQYAAAAABgAGAFkBAACSBQAAAAA=&#10;">
                        <v:fill on="f" focussize="0,0"/>
                        <v:stroke color="#000000" joinstyle="round" endarrow="block"/>
                        <v:imagedata o:title=""/>
                        <o:lock v:ext="edit" aspectratio="f"/>
                      </v:shape>
                      <v:shape id="自选图形 216" o:spid="_x0000_s1026" o:spt="32" type="#_x0000_t32" style="position:absolute;left:2504244;top:541021;flip:y;height:278130;width:635;" filled="f" stroked="t" coordsize="21600,21600" o:gfxdata="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&#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PlHFeHSAAAABQEAAA8AAAAAAAAAAQAgAAAAOAAAAGRy&#10;cy9kb3ducmV2LnhtbFBLAQIUABQAAAAIAIdO4kBVrm/J9QEAAJQDAAAOAAAAAAAAAAEAIAAAADcB&#10;AABkcnMvZTJvRG9jLnhtbFBLBQYAAAAABgAGAFkBAACeBQAAAAA=&#10;">
                        <v:fill on="f" focussize="0,0"/>
                        <v:stroke color="#000000" joinstyle="round" dashstyle="dash" endarrow="block"/>
                        <v:imagedata o:title=""/>
                        <o:lock v:ext="edit" aspectratio="f"/>
                      </v:shape>
                      <v:shape id="文本框 217" o:spid="_x0000_s1026" o:spt="202" type="#_x0000_t202" style="position:absolute;left:3849809;top:247651;height:293370;width:1283970;" fillcolor="#FFFFFF" filled="t" stroked="t" coordsize="21600,21600" o:gfxdata="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zeLLc0wAAAAUBAAAPAAAA&#10;AAAAAAEAIAAAADgAAABkcnMvZG93bnJldi54bWxQSwECFAAUAAAACACHTuJAFsMASD0CAABfBAAA&#10;DgAAAAAAAAABACAAAAA4AQAAZHJzL2Uyb0RvYy54bWxQSwUGAAAAAAYABgBZAQAA5wUAAAAA&#10;">
                        <v:fill on="t" focussize="0,0"/>
                        <v:stroke weight="0.25pt" color="#000000" miterlimit="8" joinstyle="miter" dashstyle="dash"/>
                        <v:imagedata o:title=""/>
                        <o:lock v:ext="edit" aspectratio="f"/>
                        <v:textbox>
                          <w:txbxContent>
                            <w:p>
                              <w:pPr>
                                <w:spacing w:line="240" w:lineRule="auto"/>
                                <w:ind w:firstLine="0" w:firstLineChars="0"/>
                                <w:rPr>
                                  <w:sz w:val="21"/>
                                  <w:szCs w:val="21"/>
                                </w:rPr>
                              </w:pPr>
                              <w:r>
                                <w:rPr>
                                  <w:rFonts w:hint="eastAsia"/>
                                  <w:sz w:val="21"/>
                                  <w:szCs w:val="21"/>
                                </w:rPr>
                                <w:t>噪声、工频电磁场</w:t>
                              </w:r>
                            </w:p>
                          </w:txbxContent>
                        </v:textbox>
                      </v:shape>
                      <v:shape id="自选图形 218" o:spid="_x0000_s1026" o:spt="32" type="#_x0000_t32" style="position:absolute;left:4442899;top:541021;flip:x y;height:211455;width:432435;" filled="f" stroked="t" coordsize="21600,21600" o:gfxdata="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U8KRl1wAAAAUBAAAPAAAAAAAAAAEA&#10;IAAAADgAAABkcnMvZG93bnJldi54bWxQSwECFAAUAAAACACHTuJANxtEGvoBAAChAwAADgAAAAAA&#10;AAABACAAAAA8AQAAZHJzL2Uyb0RvYy54bWxQSwUGAAAAAAYABgBZAQAAqAUAAAAA&#10;">
                        <v:fill on="f" focussize="0,0"/>
                        <v:stroke color="#000000" joinstyle="round" dashstyle="dash" endarrow="block"/>
                        <v:imagedata o:title=""/>
                        <o:lock v:ext="edit" aspectratio="f"/>
                      </v:shape>
                      <w10:wrap type="none"/>
                      <w10:anchorlock/>
                    </v:group>
                  </w:pict>
                </mc:Fallback>
              </mc:AlternateContent>
            </w:r>
          </w:p>
          <w:p>
            <w:pPr>
              <w:widowControl/>
              <w:ind w:firstLine="482" w:firstLineChars="0"/>
              <w:jc w:val="center"/>
              <w:rPr>
                <w:rFonts w:eastAsia="宋体" w:cs="Times New Roman"/>
                <w:b/>
                <w:color w:val="auto"/>
                <w:lang w:val="zh-CN"/>
              </w:rPr>
            </w:pPr>
            <w:r>
              <w:rPr>
                <w:rFonts w:eastAsia="宋体" w:cs="Times New Roman"/>
                <w:b/>
                <w:color w:val="auto"/>
                <w:lang w:val="zh-CN"/>
              </w:rPr>
              <w:t>图2-</w:t>
            </w:r>
            <w:r>
              <w:rPr>
                <w:rFonts w:hint="eastAsia" w:eastAsia="宋体" w:cs="Times New Roman"/>
                <w:b/>
                <w:color w:val="auto"/>
                <w:lang w:val="zh-CN"/>
              </w:rPr>
              <w:t>2架空</w:t>
            </w:r>
            <w:r>
              <w:rPr>
                <w:rFonts w:eastAsia="宋体" w:cs="Times New Roman"/>
                <w:b/>
                <w:color w:val="auto"/>
                <w:lang w:val="zh-CN"/>
              </w:rPr>
              <w:t>线路施工工艺及产污节点图</w:t>
            </w:r>
          </w:p>
          <w:p>
            <w:pPr>
              <w:widowControl/>
              <w:ind w:firstLine="482" w:firstLineChars="0"/>
              <w:jc w:val="center"/>
              <w:rPr>
                <w:rFonts w:eastAsia="宋体" w:cs="Times New Roman"/>
                <w:b/>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0" w:hRule="atLeast"/>
        </w:trPr>
        <w:tc>
          <w:tcPr>
            <w:tcW w:w="260" w:type="pct"/>
            <w:vAlign w:val="center"/>
          </w:tcPr>
          <w:p>
            <w:pPr>
              <w:ind w:firstLine="0" w:firstLineChars="0"/>
              <w:jc w:val="center"/>
              <w:rPr>
                <w:rFonts w:cs="Times New Roman"/>
                <w:color w:val="auto"/>
                <w:szCs w:val="24"/>
              </w:rPr>
            </w:pPr>
            <w:r>
              <w:rPr>
                <w:rFonts w:cs="Times New Roman"/>
                <w:color w:val="auto"/>
                <w:szCs w:val="24"/>
              </w:rPr>
              <w:t>施工方案</w:t>
            </w:r>
          </w:p>
        </w:tc>
        <w:tc>
          <w:tcPr>
            <w:tcW w:w="4740" w:type="pct"/>
          </w:tcPr>
          <w:p>
            <w:pPr>
              <w:widowControl/>
              <w:ind w:firstLine="0" w:firstLineChars="0"/>
              <w:rPr>
                <w:rFonts w:eastAsia="宋体" w:cs="Times New Roman"/>
                <w:color w:val="auto"/>
                <w:lang w:val="zh-CN"/>
              </w:rPr>
            </w:pPr>
            <w:r>
              <w:rPr>
                <w:rFonts w:eastAsia="宋体" w:cs="Times New Roman"/>
                <w:color w:val="auto"/>
              </w:rPr>
              <mc:AlternateContent>
                <mc:Choice Requires="wpc">
                  <w:drawing>
                    <wp:inline distT="0" distB="0" distL="0" distR="0">
                      <wp:extent cx="5126990" cy="1381125"/>
                      <wp:effectExtent l="0" t="0" r="16510" b="0"/>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文本框 221"/>
                              <wps:cNvSpPr txBox="1">
                                <a:spLocks noChangeArrowheads="1"/>
                              </wps:cNvSpPr>
                              <wps:spPr bwMode="auto">
                                <a:xfrm>
                                  <a:off x="36000" y="855148"/>
                                  <a:ext cx="744220" cy="29464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施工准备</w:t>
                                    </w:r>
                                  </w:p>
                                </w:txbxContent>
                              </wps:txbx>
                              <wps:bodyPr rot="0" vert="horz" wrap="square" lIns="91440" tIns="45720" rIns="91440" bIns="45720" anchor="t" anchorCtr="0" upright="1">
                                <a:noAutofit/>
                              </wps:bodyPr>
                            </wps:wsp>
                            <wps:wsp>
                              <wps:cNvPr id="34" name="文本框 222"/>
                              <wps:cNvSpPr txBox="1">
                                <a:spLocks noChangeArrowheads="1"/>
                              </wps:cNvSpPr>
                              <wps:spPr bwMode="auto">
                                <a:xfrm>
                                  <a:off x="1010725" y="855148"/>
                                  <a:ext cx="762635" cy="29464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支架施工</w:t>
                                    </w:r>
                                  </w:p>
                                </w:txbxContent>
                              </wps:txbx>
                              <wps:bodyPr rot="0" vert="horz" wrap="square" lIns="91440" tIns="45720" rIns="91440" bIns="45720" anchor="t" anchorCtr="0" upright="1">
                                <a:noAutofit/>
                              </wps:bodyPr>
                            </wps:wsp>
                            <wps:wsp>
                              <wps:cNvPr id="35" name="文本框 223"/>
                              <wps:cNvSpPr txBox="1">
                                <a:spLocks noChangeArrowheads="1"/>
                              </wps:cNvSpPr>
                              <wps:spPr bwMode="auto">
                                <a:xfrm>
                                  <a:off x="2113720" y="855148"/>
                                  <a:ext cx="774065" cy="299720"/>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设备安装</w:t>
                                    </w:r>
                                  </w:p>
                                </w:txbxContent>
                              </wps:txbx>
                              <wps:bodyPr rot="0" vert="horz" wrap="square" lIns="91440" tIns="45720" rIns="91440" bIns="45720" anchor="t" anchorCtr="0" upright="1">
                                <a:noAutofit/>
                              </wps:bodyPr>
                            </wps:wsp>
                            <wps:wsp>
                              <wps:cNvPr id="36" name="文本框 224"/>
                              <wps:cNvSpPr txBox="1">
                                <a:spLocks noChangeArrowheads="1"/>
                              </wps:cNvSpPr>
                              <wps:spPr bwMode="auto">
                                <a:xfrm>
                                  <a:off x="3204375" y="780853"/>
                                  <a:ext cx="530860" cy="524072"/>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线路架设</w:t>
                                    </w:r>
                                  </w:p>
                                </w:txbxContent>
                              </wps:txbx>
                              <wps:bodyPr rot="0" vert="horz" wrap="square" lIns="91440" tIns="45720" rIns="91440" bIns="45720" anchor="t" anchorCtr="0" upright="1">
                                <a:noAutofit/>
                              </wps:bodyPr>
                            </wps:wsp>
                            <wps:wsp>
                              <wps:cNvPr id="37" name="自选图形 225"/>
                              <wps:cNvCnPr/>
                              <wps:spPr bwMode="auto">
                                <a:xfrm>
                                  <a:off x="780220" y="1002468"/>
                                  <a:ext cx="230505" cy="635"/>
                                </a:xfrm>
                                <a:prstGeom prst="straightConnector1">
                                  <a:avLst/>
                                </a:prstGeom>
                                <a:noFill/>
                                <a:ln w="9525">
                                  <a:solidFill>
                                    <a:srgbClr val="000000"/>
                                  </a:solidFill>
                                  <a:round/>
                                  <a:tailEnd type="triangle" w="med" len="med"/>
                                </a:ln>
                              </wps:spPr>
                              <wps:bodyPr/>
                            </wps:wsp>
                            <wps:wsp>
                              <wps:cNvPr id="38" name="自选图形 226"/>
                              <wps:cNvCnPr/>
                              <wps:spPr bwMode="auto">
                                <a:xfrm>
                                  <a:off x="1773360" y="1002468"/>
                                  <a:ext cx="340360" cy="2540"/>
                                </a:xfrm>
                                <a:prstGeom prst="straightConnector1">
                                  <a:avLst/>
                                </a:prstGeom>
                                <a:noFill/>
                                <a:ln w="9525">
                                  <a:solidFill>
                                    <a:srgbClr val="000000"/>
                                  </a:solidFill>
                                  <a:round/>
                                  <a:tailEnd type="triangle" w="med" len="med"/>
                                </a:ln>
                              </wps:spPr>
                              <wps:bodyPr/>
                            </wps:wsp>
                            <wps:wsp>
                              <wps:cNvPr id="39" name="自选图形 227"/>
                              <wps:cNvCnPr/>
                              <wps:spPr bwMode="auto">
                                <a:xfrm flipV="1">
                                  <a:off x="2887785" y="1002468"/>
                                  <a:ext cx="316865" cy="2540"/>
                                </a:xfrm>
                                <a:prstGeom prst="straightConnector1">
                                  <a:avLst/>
                                </a:prstGeom>
                                <a:noFill/>
                                <a:ln w="9525">
                                  <a:solidFill>
                                    <a:srgbClr val="000000"/>
                                  </a:solidFill>
                                  <a:round/>
                                  <a:tailEnd type="triangle" w="med" len="med"/>
                                </a:ln>
                              </wps:spPr>
                              <wps:bodyPr/>
                            </wps:wsp>
                            <wps:wsp>
                              <wps:cNvPr id="40" name="文本框 228"/>
                              <wps:cNvSpPr txBox="1">
                                <a:spLocks noChangeArrowheads="1"/>
                              </wps:cNvSpPr>
                              <wps:spPr bwMode="auto">
                                <a:xfrm>
                                  <a:off x="293810" y="35999"/>
                                  <a:ext cx="1188720" cy="541019"/>
                                </a:xfrm>
                                <a:prstGeom prst="rect">
                                  <a:avLst/>
                                </a:prstGeom>
                                <a:solidFill>
                                  <a:srgbClr val="FFFFFF"/>
                                </a:solidFill>
                                <a:ln w="3175">
                                  <a:solidFill>
                                    <a:srgbClr val="000000"/>
                                  </a:solidFill>
                                  <a:prstDash val="dash"/>
                                  <a:miter lim="800000"/>
                                </a:ln>
                              </wps:spPr>
                              <wps:txbx>
                                <w:txbxContent>
                                  <w:p>
                                    <w:pPr>
                                      <w:spacing w:line="240" w:lineRule="auto"/>
                                      <w:ind w:firstLine="0" w:firstLineChars="0"/>
                                      <w:rPr>
                                        <w:sz w:val="21"/>
                                        <w:szCs w:val="21"/>
                                      </w:rPr>
                                    </w:pPr>
                                    <w:r>
                                      <w:rPr>
                                        <w:rFonts w:hint="eastAsia"/>
                                        <w:sz w:val="21"/>
                                        <w:szCs w:val="21"/>
                                      </w:rPr>
                                      <w:t>扬尘、噪声、固体废物、生态影响</w:t>
                                    </w:r>
                                  </w:p>
                                </w:txbxContent>
                              </wps:txbx>
                              <wps:bodyPr rot="0" vert="horz" wrap="square" lIns="91440" tIns="45720" rIns="91440" bIns="45720" anchor="t" anchorCtr="0" upright="1">
                                <a:noAutofit/>
                              </wps:bodyPr>
                            </wps:wsp>
                            <wps:wsp>
                              <wps:cNvPr id="41" name="自选图形 229"/>
                              <wps:cNvCnPr/>
                              <wps:spPr bwMode="auto">
                                <a:xfrm flipV="1">
                                  <a:off x="408110" y="577018"/>
                                  <a:ext cx="635" cy="278130"/>
                                </a:xfrm>
                                <a:prstGeom prst="straightConnector1">
                                  <a:avLst/>
                                </a:prstGeom>
                                <a:noFill/>
                                <a:ln w="9525">
                                  <a:solidFill>
                                    <a:srgbClr val="000000"/>
                                  </a:solidFill>
                                  <a:prstDash val="dash"/>
                                  <a:round/>
                                  <a:tailEnd type="triangle" w="med" len="med"/>
                                </a:ln>
                              </wps:spPr>
                              <wps:bodyPr/>
                            </wps:wsp>
                            <wps:wsp>
                              <wps:cNvPr id="42" name="自选图形 230"/>
                              <wps:cNvCnPr/>
                              <wps:spPr bwMode="auto">
                                <a:xfrm flipV="1">
                                  <a:off x="1407600" y="575113"/>
                                  <a:ext cx="635" cy="280035"/>
                                </a:xfrm>
                                <a:prstGeom prst="straightConnector1">
                                  <a:avLst/>
                                </a:prstGeom>
                                <a:noFill/>
                                <a:ln w="9525">
                                  <a:solidFill>
                                    <a:srgbClr val="000000"/>
                                  </a:solidFill>
                                  <a:prstDash val="dash"/>
                                  <a:round/>
                                  <a:tailEnd type="triangle" w="med" len="med"/>
                                </a:ln>
                              </wps:spPr>
                              <wps:bodyPr/>
                            </wps:wsp>
                            <wps:wsp>
                              <wps:cNvPr id="43" name="文本框 231"/>
                              <wps:cNvSpPr txBox="1">
                                <a:spLocks noChangeArrowheads="1"/>
                              </wps:cNvSpPr>
                              <wps:spPr bwMode="auto">
                                <a:xfrm>
                                  <a:off x="3921863" y="790378"/>
                                  <a:ext cx="516890" cy="514547"/>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工程验收</w:t>
                                    </w:r>
                                  </w:p>
                                </w:txbxContent>
                              </wps:txbx>
                              <wps:bodyPr rot="0" vert="horz" wrap="square" lIns="91440" tIns="45720" rIns="91440" bIns="45720" anchor="t" anchorCtr="0" upright="1">
                                <a:noAutofit/>
                              </wps:bodyPr>
                            </wps:wsp>
                            <wps:wsp>
                              <wps:cNvPr id="44" name="自选图形 232"/>
                              <wps:cNvCnPr/>
                              <wps:spPr bwMode="auto">
                                <a:xfrm>
                                  <a:off x="3735510" y="1017073"/>
                                  <a:ext cx="186690" cy="2540"/>
                                </a:xfrm>
                                <a:prstGeom prst="straightConnector1">
                                  <a:avLst/>
                                </a:prstGeom>
                                <a:noFill/>
                                <a:ln w="9525">
                                  <a:solidFill>
                                    <a:srgbClr val="000000"/>
                                  </a:solidFill>
                                  <a:round/>
                                  <a:tailEnd type="triangle" w="med" len="med"/>
                                </a:ln>
                              </wps:spPr>
                              <wps:bodyPr/>
                            </wps:wsp>
                            <wps:wsp>
                              <wps:cNvPr id="45" name="文本框 233"/>
                              <wps:cNvSpPr txBox="1">
                                <a:spLocks noChangeArrowheads="1"/>
                              </wps:cNvSpPr>
                              <wps:spPr bwMode="auto">
                                <a:xfrm>
                                  <a:off x="2315015" y="283648"/>
                                  <a:ext cx="1283970" cy="293370"/>
                                </a:xfrm>
                                <a:prstGeom prst="rect">
                                  <a:avLst/>
                                </a:prstGeom>
                                <a:solidFill>
                                  <a:srgbClr val="FFFFFF"/>
                                </a:solidFill>
                                <a:ln w="3175">
                                  <a:solidFill>
                                    <a:srgbClr val="000000"/>
                                  </a:solidFill>
                                  <a:prstDash val="dash"/>
                                  <a:miter lim="800000"/>
                                </a:ln>
                              </wps:spPr>
                              <wps:txbx>
                                <w:txbxContent>
                                  <w:p>
                                    <w:pPr>
                                      <w:spacing w:line="240" w:lineRule="auto"/>
                                      <w:ind w:firstLine="0" w:firstLineChars="0"/>
                                      <w:rPr>
                                        <w:sz w:val="21"/>
                                        <w:szCs w:val="21"/>
                                      </w:rPr>
                                    </w:pPr>
                                    <w:r>
                                      <w:rPr>
                                        <w:rFonts w:hint="eastAsia"/>
                                        <w:sz w:val="21"/>
                                        <w:szCs w:val="21"/>
                                      </w:rPr>
                                      <w:t>噪声、固体废物</w:t>
                                    </w:r>
                                  </w:p>
                                </w:txbxContent>
                              </wps:txbx>
                              <wps:bodyPr rot="0" vert="horz" wrap="square" lIns="91440" tIns="45720" rIns="91440" bIns="45720" anchor="t" anchorCtr="0" upright="1">
                                <a:noAutofit/>
                              </wps:bodyPr>
                            </wps:wsp>
                            <wps:wsp>
                              <wps:cNvPr id="46" name="自选图形 234"/>
                              <wps:cNvCnPr/>
                              <wps:spPr bwMode="auto">
                                <a:xfrm flipV="1">
                                  <a:off x="3470080" y="577018"/>
                                  <a:ext cx="635" cy="213360"/>
                                </a:xfrm>
                                <a:prstGeom prst="straightConnector1">
                                  <a:avLst/>
                                </a:prstGeom>
                                <a:noFill/>
                                <a:ln w="9525">
                                  <a:solidFill>
                                    <a:srgbClr val="000000"/>
                                  </a:solidFill>
                                  <a:prstDash val="dash"/>
                                  <a:round/>
                                  <a:tailEnd type="triangle" w="med" len="med"/>
                                </a:ln>
                              </wps:spPr>
                              <wps:bodyPr/>
                            </wps:wsp>
                            <wps:wsp>
                              <wps:cNvPr id="47" name="文本框 235"/>
                              <wps:cNvSpPr txBox="1">
                                <a:spLocks noChangeArrowheads="1"/>
                              </wps:cNvSpPr>
                              <wps:spPr bwMode="auto">
                                <a:xfrm>
                                  <a:off x="4613319" y="788474"/>
                                  <a:ext cx="511131" cy="516452"/>
                                </a:xfrm>
                                <a:prstGeom prst="rect">
                                  <a:avLst/>
                                </a:prstGeom>
                                <a:solidFill>
                                  <a:srgbClr val="FFFFFF"/>
                                </a:solidFill>
                                <a:ln w="9525">
                                  <a:solidFill>
                                    <a:srgbClr val="000000"/>
                                  </a:solidFill>
                                  <a:miter lim="800000"/>
                                </a:ln>
                              </wps:spPr>
                              <wps:txbx>
                                <w:txbxContent>
                                  <w:p>
                                    <w:pPr>
                                      <w:spacing w:line="240" w:lineRule="auto"/>
                                      <w:ind w:firstLine="0" w:firstLineChars="0"/>
                                      <w:rPr>
                                        <w:sz w:val="21"/>
                                        <w:szCs w:val="21"/>
                                      </w:rPr>
                                    </w:pPr>
                                    <w:r>
                                      <w:rPr>
                                        <w:rFonts w:hint="eastAsia"/>
                                        <w:sz w:val="21"/>
                                        <w:szCs w:val="21"/>
                                      </w:rPr>
                                      <w:t>投入运行</w:t>
                                    </w:r>
                                  </w:p>
                                </w:txbxContent>
                              </wps:txbx>
                              <wps:bodyPr rot="0" vert="horz" wrap="square" lIns="91440" tIns="45720" rIns="91440" bIns="45720" anchor="t" anchorCtr="0" upright="1">
                                <a:noAutofit/>
                              </wps:bodyPr>
                            </wps:wsp>
                            <wps:wsp>
                              <wps:cNvPr id="48" name="自选图形 236"/>
                              <wps:cNvCnPr/>
                              <wps:spPr bwMode="auto">
                                <a:xfrm>
                                  <a:off x="4439090" y="1019613"/>
                                  <a:ext cx="174625" cy="2540"/>
                                </a:xfrm>
                                <a:prstGeom prst="straightConnector1">
                                  <a:avLst/>
                                </a:prstGeom>
                                <a:noFill/>
                                <a:ln w="9525">
                                  <a:solidFill>
                                    <a:srgbClr val="000000"/>
                                  </a:solidFill>
                                  <a:round/>
                                  <a:tailEnd type="triangle" w="med" len="med"/>
                                </a:ln>
                              </wps:spPr>
                              <wps:bodyPr/>
                            </wps:wsp>
                            <wps:wsp>
                              <wps:cNvPr id="49" name="自选图形 237"/>
                              <wps:cNvCnPr/>
                              <wps:spPr bwMode="auto">
                                <a:xfrm flipV="1">
                                  <a:off x="2501070" y="577018"/>
                                  <a:ext cx="635" cy="278130"/>
                                </a:xfrm>
                                <a:prstGeom prst="straightConnector1">
                                  <a:avLst/>
                                </a:prstGeom>
                                <a:noFill/>
                                <a:ln w="9525">
                                  <a:solidFill>
                                    <a:srgbClr val="000000"/>
                                  </a:solidFill>
                                  <a:prstDash val="dash"/>
                                  <a:round/>
                                  <a:tailEnd type="triangle" w="med" len="med"/>
                                </a:ln>
                              </wps:spPr>
                              <wps:bodyPr/>
                            </wps:wsp>
                          </wpc:wpc>
                        </a:graphicData>
                      </a:graphic>
                    </wp:inline>
                  </w:drawing>
                </mc:Choice>
                <mc:Fallback>
                  <w:pict>
                    <v:group id="_x0000_s1026" o:spid="_x0000_s1026" o:spt="203" style="height:108.75pt;width:403.7pt;" coordsize="5127430,1381125" editas="canvas" o:gfxdata="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WAAAAZHJzL1BLAQIUABQA&#10;AAAIAIdO4kDrABn01wAAAAUBAAAPAAAAAAAAAAEAIAAAADgAAABkcnMvZG93bnJldi54bWxQSwEC&#10;FAAUAAAACACHTuJAhjm3bKgFAAAsKgAADgAAAAAAAAABACAAAAA8AQAAZHJzL2Uyb0RvYy54bWxQ&#10;SwUGAAAAAAYABgBZAQAAVgkAAAAA&#10;">
                      <o:lock v:ext="edit" aspectratio="f"/>
                      <v:shape id="_x0000_s1026" o:spid="_x0000_s1026" style="position:absolute;left:0;top:0;height:1381125;width:5127430;" filled="f" stroked="f" coordsize="21600,21600" o:gfxdata="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DrABn01wAAAAUBAAAPAAAAAAAAAAEAIAAAADgAAABkcnMvZG93bnJldi54&#10;bWxQSwECFAAUAAAACACHTuJAQAdzHnUFAACnKQAADgAAAAAAAAABACAAAAA8AQAAZHJzL2Uyb0Rv&#10;Yy54bWxQSwUGAAAAAAYABgBZAQAAIwkAAAAA&#10;">
                        <v:fill on="f" focussize="0,0"/>
                        <v:stroke on="f"/>
                        <v:imagedata o:title=""/>
                        <o:lock v:ext="edit" aspectratio="t"/>
                      </v:shape>
                      <v:shape id="文本框 221" o:spid="_x0000_s1026" o:spt="202" type="#_x0000_t202" style="position:absolute;left:36000;top:855148;height:294640;width:744220;"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LTsPIvWAAAABQEAAA8AAAAAAAAAAQAg&#10;AAAAOAAAAGRycy9kb3ducmV2LnhtbFBLAQIUABQAAAAIAIdO4kBgCZI3MwIAAEQEAAAOAAAAAAAA&#10;AAEAIAAAADsBAABkcnMvZTJvRG9jLnhtbFBLBQYAAAAABgAGAFkBAADgBQ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施工准备</w:t>
                              </w:r>
                            </w:p>
                          </w:txbxContent>
                        </v:textbox>
                      </v:shape>
                      <v:shape id="文本框 222" o:spid="_x0000_s1026" o:spt="202" type="#_x0000_t202" style="position:absolute;left:1010725;top:855148;height:294640;width:762635;"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tOw8i9YAAAAFAQAADwAAAAAAAAABACAAAAA4&#10;AAAAZHJzL2Rvd25yZXYueG1sUEsBAhQAFAAAAAgAh07iQDgZ9fsvAgAARgQAAA4AAAAAAAAAAQAg&#10;AAAAOwEAAGRycy9lMm9Eb2MueG1sUEsFBgAAAAAGAAYAWQEAANw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支架施工</w:t>
                              </w:r>
                            </w:p>
                          </w:txbxContent>
                        </v:textbox>
                      </v:shape>
                      <v:shape id="文本框 223" o:spid="_x0000_s1026" o:spt="202" type="#_x0000_t202" style="position:absolute;left:2113720;top:855148;height:299720;width:774065;"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07DyL1gAAAAUBAAAPAAAAAAAAAAEAIAAAADgA&#10;AABkcnMvZG93bnJldi54bWxQSwECFAAUAAAACACHTuJAV+ONni4CAABGBAAADgAAAAAAAAABACAA&#10;AAA7AQAAZHJzL2Uyb0RvYy54bWxQSwUGAAAAAAYABgBZAQAA2wU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设备安装</w:t>
                              </w:r>
                            </w:p>
                          </w:txbxContent>
                        </v:textbox>
                      </v:shape>
                      <v:shape id="文本框 224" o:spid="_x0000_s1026" o:spt="202" type="#_x0000_t202" style="position:absolute;left:3204375;top:780853;height:524072;width:530860;"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tOw8i9YAAAAFAQAADwAAAAAAAAABACAA&#10;AAA4AAAAZHJzL2Rvd25yZXYueG1sUEsBAhQAFAAAAAgAh07iQJn4nLgyAgAARgQAAA4AAAAAAAAA&#10;AQAgAAAAOwEAAGRycy9lMm9Eb2MueG1sUEsFBgAAAAAGAAYAWQEAAN8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线路架设</w:t>
                              </w:r>
                            </w:p>
                          </w:txbxContent>
                        </v:textbox>
                      </v:shape>
                      <v:shape id="自选图形 225" o:spid="_x0000_s1026" o:spt="32" type="#_x0000_t32" style="position:absolute;left:780220;top:1002468;height:635;width:230505;" filled="f" stroked="t" coordsize="21600,21600" o:gfxdata="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HP6R1wAAAAUBAAAPAAAAAAAAAAEAIAAAADgAAABkcnMvZG93bnJldi54bWxQ&#10;SwECFAAUAAAACACHTuJA+WnoauIBAAByAwAADgAAAAAAAAABACAAAAA8AQAAZHJzL2Uyb0RvYy54&#10;bWxQSwUGAAAAAAYABgBZAQAAkAUAAAAA&#10;">
                        <v:fill on="f" focussize="0,0"/>
                        <v:stroke color="#000000" joinstyle="round" endarrow="block"/>
                        <v:imagedata o:title=""/>
                        <o:lock v:ext="edit" aspectratio="f"/>
                      </v:shape>
                      <v:shape id="自选图形 226" o:spid="_x0000_s1026" o:spt="32" type="#_x0000_t32" style="position:absolute;left:1773360;top:1002468;height:2540;width:340360;" filled="f" stroked="t" coordsize="21600,21600" o:gfxdata="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Bz+kdcAAAAFAQAADwAAAAAAAAABACAAAAA4AAAAZHJzL2Rvd25yZXYueG1s&#10;UEsBAhQAFAAAAAgAh07iQPdWkbjjAQAAdAMAAA4AAAAAAAAAAQAgAAAAPAEAAGRycy9lMm9Eb2Mu&#10;eG1sUEsFBgAAAAAGAAYAWQEAAJEFAAAAAA==&#10;">
                        <v:fill on="f" focussize="0,0"/>
                        <v:stroke color="#000000" joinstyle="round" endarrow="block"/>
                        <v:imagedata o:title=""/>
                        <o:lock v:ext="edit" aspectratio="f"/>
                      </v:shape>
                      <v:shape id="自选图形 227" o:spid="_x0000_s1026" o:spt="32" type="#_x0000_t32" style="position:absolute;left:2887785;top:1002468;flip:y;height:2540;width:316865;" filled="f" stroked="t" coordsize="21600,21600" o:gfxdata="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sgNbv1gAAAAUBAAAPAAAAAAAAAAEAIAAAADgAAABkcnMvZG93&#10;bnJldi54bWxQSwECFAAUAAAACACHTuJATBhAIewBAAB+AwAADgAAAAAAAAABACAAAAA7AQAAZHJz&#10;L2Uyb0RvYy54bWxQSwUGAAAAAAYABgBZAQAAmQUAAAAA&#10;">
                        <v:fill on="f" focussize="0,0"/>
                        <v:stroke color="#000000" joinstyle="round" endarrow="block"/>
                        <v:imagedata o:title=""/>
                        <o:lock v:ext="edit" aspectratio="f"/>
                      </v:shape>
                      <v:shape id="文本框 228" o:spid="_x0000_s1026" o:spt="202" type="#_x0000_t202" style="position:absolute;left:293810;top:35999;height:541019;width:1188720;" fillcolor="#FFFFFF" filled="t" stroked="t" coordsize="21600,21600" o:gfxdata="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Najo10wAAAAUBAAAPAAAAAAAA&#10;AAEAIAAAADgAAABkcnMvZG93bnJldi54bWxQSwECFAAUAAAACACHTuJA2fYhtDoCAABdBAAADgAA&#10;AAAAAAABACAAAAA4AQAAZHJzL2Uyb0RvYy54bWxQSwUGAAAAAAYABgBZAQAA5AUAAAAA&#10;">
                        <v:fill on="t" focussize="0,0"/>
                        <v:stroke weight="0.25pt" color="#000000" miterlimit="8" joinstyle="miter" dashstyle="dash"/>
                        <v:imagedata o:title=""/>
                        <o:lock v:ext="edit" aspectratio="f"/>
                        <v:textbox>
                          <w:txbxContent>
                            <w:p>
                              <w:pPr>
                                <w:spacing w:line="240" w:lineRule="auto"/>
                                <w:ind w:firstLine="0" w:firstLineChars="0"/>
                                <w:rPr>
                                  <w:sz w:val="21"/>
                                  <w:szCs w:val="21"/>
                                </w:rPr>
                              </w:pPr>
                              <w:r>
                                <w:rPr>
                                  <w:rFonts w:hint="eastAsia"/>
                                  <w:sz w:val="21"/>
                                  <w:szCs w:val="21"/>
                                </w:rPr>
                                <w:t>扬尘、噪声、固体废物、生态影响</w:t>
                              </w:r>
                            </w:p>
                          </w:txbxContent>
                        </v:textbox>
                      </v:shape>
                      <v:shape id="自选图形 229" o:spid="_x0000_s1026" o:spt="32" type="#_x0000_t32" style="position:absolute;left:408110;top:577018;flip:y;height:278130;width:635;" filled="f" stroked="t" coordsize="21600,21600" o:gfxdata="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x1WdCNIAAAAFAQAADwAAAAAAAAABACAAAAA4AAAAZHJz&#10;L2Rvd25yZXYueG1sUEsBAhQAFAAAAAgAh07iQG7lP+70AQAAkwMAAA4AAAAAAAAAAQAgAAAANwEA&#10;AGRycy9lMm9Eb2MueG1sUEsFBgAAAAAGAAYAWQEAAJ0FAAAAAA==&#10;">
                        <v:fill on="f" focussize="0,0"/>
                        <v:stroke color="#000000" joinstyle="round" dashstyle="dash" endarrow="block"/>
                        <v:imagedata o:title=""/>
                        <o:lock v:ext="edit" aspectratio="f"/>
                      </v:shape>
                      <v:shape id="自选图形 230" o:spid="_x0000_s1026" o:spt="32" type="#_x0000_t32" style="position:absolute;left:1407600;top:575113;flip:y;height:280035;width:635;" filled="f" stroked="t" coordsize="21600,21600" o:gfxdata="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dVnQjSAAAABQEAAA8AAAAAAAAAAQAgAAAAOAAAAGRycy9k&#10;b3ducmV2LnhtbFBLAQIUABQAAAAIAIdO4kCqhbnV8gEAAJQDAAAOAAAAAAAAAAEAIAAAADcBAABk&#10;cnMvZTJvRG9jLnhtbFBLBQYAAAAABgAGAFkBAACbBQAAAAA=&#10;">
                        <v:fill on="f" focussize="0,0"/>
                        <v:stroke color="#000000" joinstyle="round" dashstyle="dash" endarrow="block"/>
                        <v:imagedata o:title=""/>
                        <o:lock v:ext="edit" aspectratio="f"/>
                      </v:shape>
                      <v:shape id="文本框 231" o:spid="_x0000_s1026" o:spt="202" type="#_x0000_t202" style="position:absolute;left:3921863;top:790378;height:514547;width:516890;"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tOw8i9YAAAAFAQAADwAAAAAAAAABACAA&#10;AAA4AAAAZHJzL2Rvd25yZXYueG1sUEsBAhQAFAAAAAgAh07iQLFSfeYyAgAARgQAAA4AAAAAAAAA&#10;AQAgAAAAOwEAAGRycy9lMm9Eb2MueG1sUEsFBgAAAAAGAAYAWQEAAN8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工程验收</w:t>
                              </w:r>
                            </w:p>
                          </w:txbxContent>
                        </v:textbox>
                      </v:shape>
                      <v:shape id="自选图形 232" o:spid="_x0000_s1026" o:spt="32" type="#_x0000_t32" style="position:absolute;left:3735510;top:1017073;height:2540;width:186690;" filled="f" stroked="t" coordsize="21600,21600" o:gfxdata="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cHP6R1wAAAAUBAAAPAAAAAAAAAAEAIAAAADgAAABkcnMvZG93bnJldi54&#10;bWxQSwECFAAUAAAACACHTuJAc0FQK+UBAAB0AwAADgAAAAAAAAABACAAAAA8AQAAZHJzL2Uyb0Rv&#10;Yy54bWxQSwUGAAAAAAYABgBZAQAAkwUAAAAA&#10;">
                        <v:fill on="f" focussize="0,0"/>
                        <v:stroke color="#000000" joinstyle="round" endarrow="block"/>
                        <v:imagedata o:title=""/>
                        <o:lock v:ext="edit" aspectratio="f"/>
                      </v:shape>
                      <v:shape id="文本框 233" o:spid="_x0000_s1026" o:spt="202" type="#_x0000_t202" style="position:absolute;left:2315015;top:283648;height:293370;width:1283970;" fillcolor="#FFFFFF" filled="t" stroked="t" coordsize="21600,21600" o:gfxdata="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Najo10wAAAAUBAAAPAAAAAAAA&#10;AAEAIAAAADgAAABkcnMvZG93bnJldi54bWxQSwECFAAUAAAACACHTuJA6BsV6joCAABfBAAADgAA&#10;AAAAAAABACAAAAA4AQAAZHJzL2Uyb0RvYy54bWxQSwUGAAAAAAYABgBZAQAA5AUAAAAA&#10;">
                        <v:fill on="t" focussize="0,0"/>
                        <v:stroke weight="0.25pt" color="#000000" miterlimit="8" joinstyle="miter" dashstyle="dash"/>
                        <v:imagedata o:title=""/>
                        <o:lock v:ext="edit" aspectratio="f"/>
                        <v:textbox>
                          <w:txbxContent>
                            <w:p>
                              <w:pPr>
                                <w:spacing w:line="240" w:lineRule="auto"/>
                                <w:ind w:firstLine="0" w:firstLineChars="0"/>
                                <w:rPr>
                                  <w:sz w:val="21"/>
                                  <w:szCs w:val="21"/>
                                </w:rPr>
                              </w:pPr>
                              <w:r>
                                <w:rPr>
                                  <w:rFonts w:hint="eastAsia"/>
                                  <w:sz w:val="21"/>
                                  <w:szCs w:val="21"/>
                                </w:rPr>
                                <w:t>噪声、固体废物</w:t>
                              </w:r>
                            </w:p>
                          </w:txbxContent>
                        </v:textbox>
                      </v:shape>
                      <v:shape id="自选图形 234" o:spid="_x0000_s1026" o:spt="32" type="#_x0000_t32" style="position:absolute;left:3470080;top:577018;flip:y;height:213360;width:635;" filled="f" stroked="t" coordsize="21600,21600" o:gfxdata="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dVnQjSAAAABQEAAA8AAAAAAAAAAQAgAAAAOAAAAGRy&#10;cy9kb3ducmV2LnhtbFBLAQIUABQAAAAIAIdO4kCwGxzJ9QEAAJQDAAAOAAAAAAAAAAEAIAAAADcB&#10;AABkcnMvZTJvRG9jLnhtbFBLBQYAAAAABgAGAFkBAACeBQAAAAA=&#10;">
                        <v:fill on="f" focussize="0,0"/>
                        <v:stroke color="#000000" joinstyle="round" dashstyle="dash" endarrow="block"/>
                        <v:imagedata o:title=""/>
                        <o:lock v:ext="edit" aspectratio="f"/>
                      </v:shape>
                      <v:shape id="文本框 235" o:spid="_x0000_s1026" o:spt="202" type="#_x0000_t202" style="position:absolute;left:4613319;top:788474;height:516452;width:511131;" fillcolor="#FFFFFF" filled="t" stroked="t" coordsize="21600,21600" o:gfxdata="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tOw8i9YAAAAFAQAADwAAAAAAAAABACAA&#10;AAA4AAAAZHJzL2Rvd25yZXYueG1sUEsBAhQAFAAAAAgAh07iQGYGq4EyAgAARgQAAA4AAAAAAAAA&#10;AQAgAAAAOwEAAGRycy9lMm9Eb2MueG1sUEsFBgAAAAAGAAYAWQEAAN8FAAAAAA==&#10;">
                        <v:fill on="t" focussize="0,0"/>
                        <v:stroke color="#000000" miterlimit="8" joinstyle="miter"/>
                        <v:imagedata o:title=""/>
                        <o:lock v:ext="edit" aspectratio="f"/>
                        <v:textbox>
                          <w:txbxContent>
                            <w:p>
                              <w:pPr>
                                <w:spacing w:line="240" w:lineRule="auto"/>
                                <w:ind w:firstLine="0" w:firstLineChars="0"/>
                                <w:rPr>
                                  <w:sz w:val="21"/>
                                  <w:szCs w:val="21"/>
                                </w:rPr>
                              </w:pPr>
                              <w:r>
                                <w:rPr>
                                  <w:rFonts w:hint="eastAsia"/>
                                  <w:sz w:val="21"/>
                                  <w:szCs w:val="21"/>
                                </w:rPr>
                                <w:t>投入运行</w:t>
                              </w:r>
                            </w:p>
                          </w:txbxContent>
                        </v:textbox>
                      </v:shape>
                      <v:shape id="自选图形 236" o:spid="_x0000_s1026" o:spt="32" type="#_x0000_t32" style="position:absolute;left:4439090;top:1019613;height:2540;width:174625;" filled="f" stroked="t" coordsize="21600,21600" o:gfxdata="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wc/pHXAAAABQEAAA8AAAAAAAAAAQAgAAAAOAAAAGRycy9kb3ducmV2Lnht&#10;bFBLAQIUABQAAAAIAIdO4kDJaVx15AEAAHQDAAAOAAAAAAAAAAEAIAAAADwBAABkcnMvZTJvRG9j&#10;LnhtbFBLBQYAAAAABgAGAFkBAACSBQAAAAA=&#10;">
                        <v:fill on="f" focussize="0,0"/>
                        <v:stroke color="#000000" joinstyle="round" endarrow="block"/>
                        <v:imagedata o:title=""/>
                        <o:lock v:ext="edit" aspectratio="f"/>
                      </v:shape>
                      <v:shape id="自选图形 237" o:spid="_x0000_s1026" o:spt="32" type="#_x0000_t32" style="position:absolute;left:2501070;top:577018;flip:y;height:278130;width:635;" filled="f" stroked="t" coordsize="21600,21600" o:gfxdata="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&#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dVnQjSAAAABQEAAA8AAAAAAAAAAQAgAAAAOAAAAGRy&#10;cy9kb3ducmV2LnhtbFBLAQIUABQAAAAIAIdO4kDPXjQ89QEAAJQDAAAOAAAAAAAAAAEAIAAAADcB&#10;AABkcnMvZTJvRG9jLnhtbFBLBQYAAAAABgAGAFkBAACeBQAAAAA=&#10;">
                        <v:fill on="f" focussize="0,0"/>
                        <v:stroke color="#000000" joinstyle="round" dashstyle="dash" endarrow="block"/>
                        <v:imagedata o:title=""/>
                        <o:lock v:ext="edit" aspectratio="f"/>
                      </v:shape>
                      <w10:wrap type="none"/>
                      <w10:anchorlock/>
                    </v:group>
                  </w:pict>
                </mc:Fallback>
              </mc:AlternateContent>
            </w:r>
          </w:p>
          <w:p>
            <w:pPr>
              <w:widowControl/>
              <w:ind w:firstLine="0" w:firstLineChars="0"/>
              <w:jc w:val="center"/>
              <w:rPr>
                <w:rFonts w:eastAsia="宋体" w:cs="Times New Roman"/>
                <w:b/>
                <w:color w:val="auto"/>
                <w:lang w:val="zh-CN"/>
              </w:rPr>
            </w:pPr>
            <w:r>
              <w:rPr>
                <w:rFonts w:eastAsia="宋体" w:cs="Times New Roman"/>
                <w:b/>
                <w:color w:val="auto"/>
                <w:lang w:val="zh-CN"/>
              </w:rPr>
              <w:t>图2-</w:t>
            </w:r>
            <w:r>
              <w:rPr>
                <w:rFonts w:hint="eastAsia" w:eastAsia="宋体" w:cs="Times New Roman"/>
                <w:b/>
                <w:color w:val="auto"/>
                <w:lang w:val="zh-CN"/>
              </w:rPr>
              <w:t>3</w:t>
            </w:r>
            <w:r>
              <w:rPr>
                <w:rFonts w:eastAsia="宋体" w:cs="Times New Roman"/>
                <w:b/>
                <w:color w:val="auto"/>
                <w:lang w:val="zh-CN"/>
              </w:rPr>
              <w:t>扩建间隔施工工艺及产污节点图</w:t>
            </w:r>
          </w:p>
          <w:p>
            <w:pPr>
              <w:autoSpaceDE w:val="0"/>
              <w:autoSpaceDN w:val="0"/>
              <w:adjustRightInd w:val="0"/>
              <w:ind w:firstLine="482"/>
              <w:rPr>
                <w:rFonts w:eastAsia="宋体" w:cs="Times New Roman"/>
                <w:b/>
                <w:color w:val="auto"/>
                <w:kern w:val="0"/>
              </w:rPr>
            </w:pPr>
            <w:r>
              <w:rPr>
                <w:rFonts w:eastAsia="宋体" w:cs="Times New Roman"/>
                <w:b/>
                <w:color w:val="auto"/>
                <w:kern w:val="0"/>
              </w:rPr>
              <w:t>施工工艺流程简述：</w:t>
            </w:r>
          </w:p>
          <w:p>
            <w:pPr>
              <w:autoSpaceDE w:val="0"/>
              <w:autoSpaceDN w:val="0"/>
              <w:adjustRightInd w:val="0"/>
              <w:ind w:firstLine="482"/>
              <w:rPr>
                <w:rFonts w:eastAsia="宋体" w:cs="Times New Roman"/>
                <w:b/>
                <w:color w:val="auto"/>
                <w:kern w:val="0"/>
              </w:rPr>
            </w:pPr>
            <w:r>
              <w:rPr>
                <w:rFonts w:eastAsia="宋体" w:cs="Times New Roman"/>
                <w:b/>
                <w:color w:val="auto"/>
                <w:kern w:val="0"/>
              </w:rPr>
              <w:t>（1）架空线路工程</w:t>
            </w:r>
          </w:p>
          <w:p>
            <w:pPr>
              <w:autoSpaceDE w:val="0"/>
              <w:autoSpaceDN w:val="0"/>
              <w:adjustRightInd w:val="0"/>
              <w:ind w:firstLine="482"/>
              <w:rPr>
                <w:rFonts w:eastAsia="宋体" w:cs="Times New Roman"/>
                <w:b/>
                <w:color w:val="auto"/>
                <w:kern w:val="0"/>
              </w:rPr>
            </w:pPr>
            <w:r>
              <w:rPr>
                <w:rFonts w:eastAsia="宋体" w:cs="Times New Roman"/>
                <w:b/>
                <w:color w:val="auto"/>
                <w:kern w:val="0"/>
              </w:rPr>
              <w:t>施工准备：</w:t>
            </w:r>
          </w:p>
          <w:p>
            <w:pPr>
              <w:autoSpaceDE w:val="0"/>
              <w:autoSpaceDN w:val="0"/>
              <w:adjustRightInd w:val="0"/>
              <w:ind w:firstLine="480"/>
              <w:rPr>
                <w:rFonts w:eastAsia="宋体" w:cs="Times New Roman"/>
                <w:color w:val="auto"/>
                <w:kern w:val="0"/>
              </w:rPr>
            </w:pPr>
            <w:r>
              <w:rPr>
                <w:rFonts w:eastAsia="宋体" w:cs="Times New Roman"/>
                <w:color w:val="auto"/>
                <w:kern w:val="0"/>
              </w:rPr>
              <w:t>施工准备阶段主要是施工备料的施工，该工程线路材料运输尽量利用沿线已有的省道、村路等道路，交通条件良好，便于材料的运输和调配。根据实地踏勘，本工程线路新建杆塔均位于林地、草地、荒地中，可修建临时施工道路或采用钢板铺设至塔位，以便开展机械化施工作业。材料装卸、运输及堆放将产生少量扬尘、噪声。</w:t>
            </w:r>
          </w:p>
          <w:p>
            <w:pPr>
              <w:autoSpaceDE w:val="0"/>
              <w:autoSpaceDN w:val="0"/>
              <w:adjustRightInd w:val="0"/>
              <w:ind w:firstLine="482"/>
              <w:rPr>
                <w:rFonts w:eastAsia="宋体" w:cs="Times New Roman"/>
                <w:b/>
                <w:color w:val="auto"/>
                <w:kern w:val="0"/>
              </w:rPr>
            </w:pPr>
            <w:r>
              <w:rPr>
                <w:rFonts w:eastAsia="宋体" w:cs="Times New Roman"/>
                <w:b/>
                <w:color w:val="auto"/>
                <w:kern w:val="0"/>
              </w:rPr>
              <w:t>塔基础施工：</w:t>
            </w:r>
          </w:p>
          <w:p>
            <w:pPr>
              <w:autoSpaceDE w:val="0"/>
              <w:autoSpaceDN w:val="0"/>
              <w:adjustRightInd w:val="0"/>
              <w:ind w:firstLine="480"/>
              <w:rPr>
                <w:rFonts w:eastAsia="宋体" w:cs="Times New Roman"/>
                <w:color w:val="auto"/>
                <w:kern w:val="0"/>
              </w:rPr>
            </w:pPr>
            <w:r>
              <w:rPr>
                <w:rFonts w:eastAsia="宋体" w:cs="Times New Roman"/>
                <w:color w:val="auto"/>
                <w:kern w:val="0"/>
              </w:rPr>
              <w:fldChar w:fldCharType="begin"/>
            </w:r>
            <w:r>
              <w:rPr>
                <w:rFonts w:eastAsia="宋体" w:cs="Times New Roman"/>
                <w:color w:val="auto"/>
                <w:kern w:val="0"/>
              </w:rPr>
              <w:instrText xml:space="preserve"> = 1 \* GB3 </w:instrText>
            </w:r>
            <w:r>
              <w:rPr>
                <w:rFonts w:eastAsia="宋体" w:cs="Times New Roman"/>
                <w:color w:val="auto"/>
                <w:kern w:val="0"/>
              </w:rPr>
              <w:fldChar w:fldCharType="separate"/>
            </w:r>
            <w:r>
              <w:rPr>
                <w:rFonts w:hint="eastAsia" w:ascii="宋体" w:hAnsi="宋体" w:eastAsia="宋体" w:cs="宋体"/>
                <w:color w:val="auto"/>
                <w:kern w:val="0"/>
              </w:rPr>
              <w:t>①</w:t>
            </w:r>
            <w:r>
              <w:rPr>
                <w:rFonts w:eastAsia="宋体" w:cs="Times New Roman"/>
                <w:color w:val="auto"/>
                <w:kern w:val="0"/>
              </w:rPr>
              <w:fldChar w:fldCharType="end"/>
            </w:r>
            <w:r>
              <w:rPr>
                <w:rFonts w:eastAsia="宋体" w:cs="Times New Roman"/>
                <w:color w:val="auto"/>
                <w:kern w:val="0"/>
              </w:rPr>
              <w:t>在塔基础开挖放坡前需先对其剥离表层土，表土剥离堆放在塔基临时施工场地，并设置临时隔离、拦挡等防护措施。</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②</w:t>
            </w:r>
            <w:r>
              <w:rPr>
                <w:rFonts w:eastAsia="宋体" w:cs="Times New Roman"/>
                <w:color w:val="auto"/>
                <w:kern w:val="0"/>
              </w:rPr>
              <w:t xml:space="preserve"> 基坑开挖和混凝土浇筑：该项目塔基基础采用掏挖基础、桩基础，混凝土可直接卸入基槽（坑）内；混凝土浇筑完后，外露部分应适当覆盖，洒水养护；拆模后，及时回填土方并夯实。</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③</w:t>
            </w:r>
            <w:r>
              <w:rPr>
                <w:rFonts w:eastAsia="宋体" w:cs="Times New Roman"/>
                <w:color w:val="auto"/>
                <w:kern w:val="0"/>
              </w:rPr>
              <w:t xml:space="preserve"> 余土弃渣堆放塔基开挖回填后，尚余一定量的土方，但最终塔基占地区回填后一般仅高出原地面不足 10cm，考虑到塔基弃渣具有点多、分散的特点，因此将余土就近堆放在塔基区，采取人工夯实方式对塔基开挖产生的土石方在塔基周边分层碾压，夯实工具采用夯锤。施工结束后回覆表土。</w:t>
            </w:r>
          </w:p>
          <w:p>
            <w:pPr>
              <w:autoSpaceDE w:val="0"/>
              <w:autoSpaceDN w:val="0"/>
              <w:adjustRightInd w:val="0"/>
              <w:ind w:firstLine="482"/>
              <w:rPr>
                <w:rFonts w:eastAsia="宋体" w:cs="Times New Roman"/>
                <w:color w:val="auto"/>
                <w:kern w:val="0"/>
              </w:rPr>
            </w:pPr>
            <w:r>
              <w:rPr>
                <w:rFonts w:eastAsia="宋体" w:cs="Times New Roman"/>
                <w:b/>
                <w:color w:val="auto"/>
                <w:kern w:val="0"/>
              </w:rPr>
              <w:t>杆塔组立：</w:t>
            </w:r>
          </w:p>
          <w:p>
            <w:pPr>
              <w:autoSpaceDE w:val="0"/>
              <w:autoSpaceDN w:val="0"/>
              <w:adjustRightInd w:val="0"/>
              <w:ind w:firstLine="480"/>
              <w:rPr>
                <w:rFonts w:eastAsia="宋体" w:cs="Times New Roman"/>
                <w:color w:val="auto"/>
                <w:kern w:val="0"/>
              </w:rPr>
            </w:pPr>
            <w:r>
              <w:rPr>
                <w:rFonts w:eastAsia="宋体" w:cs="Times New Roman"/>
                <w:color w:val="auto"/>
                <w:kern w:val="0"/>
              </w:rPr>
              <w:t>采用内拉线悬浮抱杆或外拉线悬浮抱杆分段分片吊装。铁塔组立采用分片分段吊装的方法，按吊端在地面分片组装，吊至塔上合拢，地线支架与最上段塔身同时吊装。吊装或大件吊装时，吊点位置要有可靠的保护措施，防止塔材出现硬弯变形。</w:t>
            </w:r>
          </w:p>
          <w:p>
            <w:pPr>
              <w:autoSpaceDE w:val="0"/>
              <w:autoSpaceDN w:val="0"/>
              <w:adjustRightInd w:val="0"/>
              <w:ind w:firstLine="482"/>
              <w:rPr>
                <w:rFonts w:eastAsia="宋体" w:cs="Times New Roman"/>
                <w:color w:val="auto"/>
                <w:kern w:val="0"/>
              </w:rPr>
            </w:pPr>
            <w:r>
              <w:rPr>
                <w:rFonts w:eastAsia="宋体" w:cs="Times New Roman"/>
                <w:b/>
                <w:color w:val="auto"/>
                <w:kern w:val="0"/>
              </w:rPr>
              <w:t>线路架设方式：</w:t>
            </w:r>
          </w:p>
          <w:p>
            <w:pPr>
              <w:autoSpaceDE w:val="0"/>
              <w:autoSpaceDN w:val="0"/>
              <w:adjustRightInd w:val="0"/>
              <w:ind w:firstLine="480"/>
              <w:rPr>
                <w:rFonts w:eastAsia="宋体" w:cs="Times New Roman"/>
                <w:color w:val="auto"/>
                <w:kern w:val="0"/>
              </w:rPr>
            </w:pPr>
            <w:r>
              <w:rPr>
                <w:rFonts w:eastAsia="宋体" w:cs="Times New Roman"/>
                <w:color w:val="auto"/>
                <w:kern w:val="0"/>
              </w:rPr>
              <w:t>架线施工的主要流程：施工准备（包括通道清理）→放线（地线架设采用一牵一张力放线，导线架设采用一牵四或一牵二张力放线）→紧线→附件及金具安装。本工程优先选取邻近道路的转角塔位附近作为牵张场，可减少临时道路的修建，本工程放线采用张力机放线，导引绳采用八角旋翼无人机展放，导线采用一牵二张力展放；直线塔紧线，转角塔平衡挂线，地线展放采用一牵一张力放线施工工艺，转角塔紧线。牵张场使用时间多在 10~15 天，施工结束后应及时对牵张场进行植被恢复。</w:t>
            </w:r>
          </w:p>
          <w:p>
            <w:pPr>
              <w:autoSpaceDE w:val="0"/>
              <w:autoSpaceDN w:val="0"/>
              <w:adjustRightInd w:val="0"/>
              <w:ind w:firstLine="480"/>
              <w:rPr>
                <w:rFonts w:eastAsia="宋体" w:cs="Times New Roman"/>
                <w:color w:val="auto"/>
                <w:kern w:val="0"/>
              </w:rPr>
            </w:pPr>
            <w:r>
              <w:rPr>
                <w:rFonts w:eastAsia="宋体" w:cs="Times New Roman"/>
                <w:color w:val="auto"/>
                <w:kern w:val="0"/>
              </w:rPr>
              <w:t>组塔和架线完成后，对塔基基面进行防护。护面前先清除基层表面的泥土、杂物，并依基面排水坡度做成斜面，以利基面排水。对塔位表层采取人工植被，保护基面及边坡。</w:t>
            </w:r>
          </w:p>
          <w:p>
            <w:pPr>
              <w:autoSpaceDE w:val="0"/>
              <w:autoSpaceDN w:val="0"/>
              <w:adjustRightInd w:val="0"/>
              <w:ind w:firstLine="482"/>
              <w:rPr>
                <w:rFonts w:eastAsia="宋体" w:cs="Times New Roman"/>
                <w:b/>
                <w:color w:val="auto"/>
                <w:kern w:val="0"/>
              </w:rPr>
            </w:pPr>
            <w:r>
              <w:rPr>
                <w:rFonts w:eastAsia="宋体" w:cs="Times New Roman"/>
                <w:b/>
                <w:color w:val="auto"/>
                <w:kern w:val="0"/>
              </w:rPr>
              <w:t>（</w:t>
            </w:r>
            <w:r>
              <w:rPr>
                <w:rFonts w:hint="eastAsia" w:eastAsia="宋体" w:cs="Times New Roman"/>
                <w:b/>
                <w:color w:val="auto"/>
                <w:kern w:val="0"/>
              </w:rPr>
              <w:t>2</w:t>
            </w:r>
            <w:r>
              <w:rPr>
                <w:rFonts w:eastAsia="宋体" w:cs="Times New Roman"/>
                <w:b/>
                <w:color w:val="auto"/>
                <w:kern w:val="0"/>
              </w:rPr>
              <w:t>）扩建间隔工程</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①</w:t>
            </w:r>
            <w:r>
              <w:rPr>
                <w:rFonts w:eastAsia="宋体" w:cs="Times New Roman"/>
                <w:color w:val="auto"/>
                <w:kern w:val="0"/>
              </w:rPr>
              <w:t>施工准备阶段主要是施工备料的运输和堆放施工。</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②</w:t>
            </w:r>
            <w:r>
              <w:rPr>
                <w:rFonts w:eastAsia="宋体" w:cs="Times New Roman"/>
                <w:color w:val="auto"/>
                <w:kern w:val="0"/>
              </w:rPr>
              <w:t xml:space="preserve"> 支架施工：支架基础施工：定位放线→基坑开挖→基坑检查→垫层浇制→基础浇制→杯口模定位→脱杯口模→养护→画中心线和标高点。基础施工完成后进行支架组立。</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③</w:t>
            </w:r>
            <w:r>
              <w:rPr>
                <w:rFonts w:eastAsia="宋体" w:cs="Times New Roman"/>
                <w:color w:val="auto"/>
                <w:kern w:val="0"/>
              </w:rPr>
              <w:t xml:space="preserve"> 设备安装</w:t>
            </w:r>
          </w:p>
          <w:p>
            <w:pPr>
              <w:autoSpaceDE w:val="0"/>
              <w:autoSpaceDN w:val="0"/>
              <w:adjustRightInd w:val="0"/>
              <w:ind w:firstLine="480"/>
              <w:rPr>
                <w:rFonts w:eastAsia="宋体" w:cs="Times New Roman"/>
                <w:color w:val="auto"/>
                <w:kern w:val="0"/>
              </w:rPr>
            </w:pPr>
            <w:r>
              <w:rPr>
                <w:rFonts w:eastAsia="宋体" w:cs="Times New Roman"/>
                <w:color w:val="auto"/>
                <w:kern w:val="0"/>
              </w:rPr>
              <w:t>一次电气设备和二次电气设备安装。</w:t>
            </w:r>
          </w:p>
          <w:p>
            <w:pPr>
              <w:autoSpaceDE w:val="0"/>
              <w:autoSpaceDN w:val="0"/>
              <w:adjustRightInd w:val="0"/>
              <w:ind w:firstLine="480"/>
              <w:rPr>
                <w:rFonts w:eastAsia="宋体" w:cs="Times New Roman"/>
                <w:color w:val="auto"/>
                <w:kern w:val="0"/>
              </w:rPr>
            </w:pPr>
            <w:r>
              <w:rPr>
                <w:rFonts w:hint="eastAsia" w:ascii="宋体" w:hAnsi="宋体" w:eastAsia="宋体" w:cs="宋体"/>
                <w:color w:val="auto"/>
                <w:kern w:val="0"/>
              </w:rPr>
              <w:t>④</w:t>
            </w:r>
            <w:r>
              <w:rPr>
                <w:rFonts w:eastAsia="宋体" w:cs="Times New Roman"/>
                <w:color w:val="auto"/>
                <w:kern w:val="0"/>
              </w:rPr>
              <w:t xml:space="preserve"> 架空线的架设</w:t>
            </w:r>
          </w:p>
          <w:p>
            <w:pPr>
              <w:autoSpaceDE w:val="0"/>
              <w:autoSpaceDN w:val="0"/>
              <w:adjustRightInd w:val="0"/>
              <w:ind w:firstLine="480"/>
              <w:rPr>
                <w:rFonts w:eastAsia="宋体" w:cs="Times New Roman"/>
                <w:color w:val="auto"/>
                <w:kern w:val="0"/>
              </w:rPr>
            </w:pPr>
            <w:r>
              <w:rPr>
                <w:rFonts w:eastAsia="宋体" w:cs="Times New Roman"/>
                <w:color w:val="auto"/>
                <w:kern w:val="0"/>
              </w:rPr>
              <w:t>为了减少电晕损失和无线电干扰，导线不应沿地摩擦，采用小张力放线，其步骤大致如下：</w:t>
            </w:r>
          </w:p>
          <w:p>
            <w:pPr>
              <w:autoSpaceDE w:val="0"/>
              <w:autoSpaceDN w:val="0"/>
              <w:adjustRightInd w:val="0"/>
              <w:ind w:firstLine="480"/>
              <w:rPr>
                <w:rFonts w:eastAsia="宋体" w:cs="Times New Roman"/>
                <w:color w:val="auto"/>
                <w:kern w:val="0"/>
              </w:rPr>
            </w:pPr>
            <w:r>
              <w:rPr>
                <w:rFonts w:eastAsia="宋体" w:cs="Times New Roman"/>
                <w:color w:val="auto"/>
                <w:kern w:val="0"/>
              </w:rPr>
              <w:t>A 测量放线档距，计算出每根导线的长度。</w:t>
            </w:r>
          </w:p>
          <w:p>
            <w:pPr>
              <w:autoSpaceDE w:val="0"/>
              <w:autoSpaceDN w:val="0"/>
              <w:adjustRightInd w:val="0"/>
              <w:ind w:firstLine="480"/>
              <w:rPr>
                <w:rFonts w:eastAsia="宋体" w:cs="Times New Roman"/>
                <w:color w:val="auto"/>
                <w:kern w:val="0"/>
              </w:rPr>
            </w:pPr>
            <w:r>
              <w:rPr>
                <w:rFonts w:eastAsia="宋体" w:cs="Times New Roman"/>
                <w:color w:val="auto"/>
                <w:kern w:val="0"/>
              </w:rPr>
              <w:t>B 用二部小张力放线车，在绝缘子串和附件装好后，由卷扬机驱动，在一定张力下，徐徐放线，并装放间隔棒与一定距离的引下线。</w:t>
            </w:r>
          </w:p>
          <w:p>
            <w:pPr>
              <w:autoSpaceDE w:val="0"/>
              <w:autoSpaceDN w:val="0"/>
              <w:adjustRightInd w:val="0"/>
              <w:ind w:firstLine="480"/>
              <w:rPr>
                <w:rFonts w:eastAsia="宋体" w:cs="Times New Roman"/>
                <w:color w:val="auto"/>
                <w:kern w:val="0"/>
              </w:rPr>
            </w:pPr>
            <w:r>
              <w:rPr>
                <w:rFonts w:eastAsia="宋体" w:cs="Times New Roman"/>
                <w:color w:val="auto"/>
                <w:kern w:val="0"/>
              </w:rPr>
              <w:t>C 根据导线长度，量好尺寸，在导线上作好记录。</w:t>
            </w:r>
          </w:p>
          <w:p>
            <w:pPr>
              <w:autoSpaceDE w:val="0"/>
              <w:autoSpaceDN w:val="0"/>
              <w:adjustRightInd w:val="0"/>
              <w:ind w:firstLine="480"/>
              <w:rPr>
                <w:rFonts w:eastAsia="宋体" w:cs="Times New Roman"/>
                <w:color w:val="auto"/>
                <w:kern w:val="0"/>
              </w:rPr>
            </w:pPr>
            <w:r>
              <w:rPr>
                <w:rFonts w:eastAsia="宋体" w:cs="Times New Roman"/>
                <w:color w:val="auto"/>
                <w:kern w:val="0"/>
              </w:rPr>
              <w:t>D 绝缘子串在构架一端连接好，在另一端按导线长度切断，装上绝缘子及其附件，用卷扬机牵引，在构架另一侧连接绝缘子串。</w:t>
            </w:r>
          </w:p>
          <w:p>
            <w:pPr>
              <w:autoSpaceDE w:val="0"/>
              <w:autoSpaceDN w:val="0"/>
              <w:adjustRightInd w:val="0"/>
              <w:ind w:firstLine="480"/>
              <w:rPr>
                <w:rFonts w:eastAsia="宋体" w:cs="Times New Roman"/>
                <w:color w:val="auto"/>
                <w:kern w:val="0"/>
              </w:rPr>
            </w:pPr>
            <w:r>
              <w:rPr>
                <w:rFonts w:eastAsia="宋体" w:cs="Times New Roman"/>
                <w:color w:val="auto"/>
                <w:kern w:val="0"/>
              </w:rPr>
              <w:t>E 检查三相导线的驰度是否一致，并按记录表格填定真实误差。</w:t>
            </w:r>
          </w:p>
          <w:p>
            <w:pPr>
              <w:adjustRightInd w:val="0"/>
              <w:snapToGrid w:val="0"/>
              <w:ind w:firstLine="482"/>
              <w:rPr>
                <w:rFonts w:eastAsia="宋体" w:cs="Times New Roman"/>
                <w:b/>
                <w:color w:val="auto"/>
                <w:kern w:val="0"/>
                <w:szCs w:val="24"/>
              </w:rPr>
            </w:pPr>
            <w:r>
              <w:rPr>
                <w:rFonts w:eastAsia="宋体" w:cs="Times New Roman"/>
                <w:b/>
                <w:color w:val="auto"/>
                <w:kern w:val="0"/>
                <w:szCs w:val="24"/>
              </w:rPr>
              <w:t>2、施工时序及建设周期</w:t>
            </w:r>
          </w:p>
          <w:p>
            <w:pPr>
              <w:adjustRightInd w:val="0"/>
              <w:snapToGrid w:val="0"/>
              <w:ind w:firstLine="480"/>
              <w:rPr>
                <w:rFonts w:eastAsia="宋体" w:cs="Times New Roman"/>
                <w:color w:val="auto"/>
                <w:kern w:val="0"/>
                <w:szCs w:val="24"/>
              </w:rPr>
            </w:pPr>
            <w:r>
              <w:rPr>
                <w:rFonts w:eastAsia="宋体" w:cs="Times New Roman"/>
                <w:color w:val="auto"/>
                <w:kern w:val="0"/>
                <w:szCs w:val="24"/>
              </w:rPr>
              <w:t>本项目计划于202</w:t>
            </w:r>
            <w:r>
              <w:rPr>
                <w:rFonts w:hint="eastAsia" w:eastAsia="宋体" w:cs="Times New Roman"/>
                <w:color w:val="auto"/>
                <w:kern w:val="0"/>
                <w:szCs w:val="24"/>
              </w:rPr>
              <w:t>5</w:t>
            </w:r>
            <w:r>
              <w:rPr>
                <w:rFonts w:eastAsia="宋体" w:cs="Times New Roman"/>
                <w:color w:val="auto"/>
                <w:kern w:val="0"/>
                <w:szCs w:val="24"/>
              </w:rPr>
              <w:t>年</w:t>
            </w:r>
            <w:r>
              <w:rPr>
                <w:rFonts w:hint="eastAsia" w:eastAsia="宋体" w:cs="Times New Roman"/>
                <w:color w:val="auto"/>
                <w:kern w:val="0"/>
                <w:szCs w:val="24"/>
              </w:rPr>
              <w:t>10</w:t>
            </w:r>
            <w:r>
              <w:rPr>
                <w:rFonts w:eastAsia="宋体" w:cs="Times New Roman"/>
                <w:color w:val="auto"/>
                <w:kern w:val="0"/>
                <w:szCs w:val="24"/>
              </w:rPr>
              <w:t>月开工建设，计划于202</w:t>
            </w:r>
            <w:r>
              <w:rPr>
                <w:rFonts w:hint="eastAsia" w:eastAsia="宋体" w:cs="Times New Roman"/>
                <w:color w:val="auto"/>
                <w:kern w:val="0"/>
                <w:szCs w:val="24"/>
              </w:rPr>
              <w:t>6</w:t>
            </w:r>
            <w:r>
              <w:rPr>
                <w:rFonts w:eastAsia="宋体" w:cs="Times New Roman"/>
                <w:color w:val="auto"/>
                <w:kern w:val="0"/>
                <w:szCs w:val="24"/>
              </w:rPr>
              <w:t>年</w:t>
            </w:r>
            <w:r>
              <w:rPr>
                <w:rFonts w:hint="eastAsia" w:eastAsia="宋体" w:cs="Times New Roman"/>
                <w:color w:val="auto"/>
                <w:kern w:val="0"/>
                <w:szCs w:val="24"/>
              </w:rPr>
              <w:t>11</w:t>
            </w:r>
            <w:r>
              <w:rPr>
                <w:rFonts w:eastAsia="宋体" w:cs="Times New Roman"/>
                <w:color w:val="auto"/>
                <w:kern w:val="0"/>
                <w:szCs w:val="24"/>
              </w:rPr>
              <w:t>月完成建设，总施工期</w:t>
            </w:r>
            <w:r>
              <w:rPr>
                <w:rFonts w:hint="eastAsia" w:eastAsia="宋体" w:cs="Times New Roman"/>
                <w:color w:val="auto"/>
                <w:kern w:val="0"/>
                <w:szCs w:val="24"/>
              </w:rPr>
              <w:t>13</w:t>
            </w:r>
            <w:r>
              <w:rPr>
                <w:rFonts w:eastAsia="宋体" w:cs="Times New Roman"/>
                <w:color w:val="auto"/>
                <w:kern w:val="0"/>
                <w:szCs w:val="24"/>
              </w:rPr>
              <w:t>个月。各项工程项目施工进度安排见表</w:t>
            </w:r>
            <w:r>
              <w:rPr>
                <w:rFonts w:hint="eastAsia" w:eastAsia="宋体" w:cs="Times New Roman"/>
                <w:color w:val="auto"/>
                <w:kern w:val="0"/>
                <w:szCs w:val="24"/>
              </w:rPr>
              <w:t>2-9</w:t>
            </w:r>
            <w:r>
              <w:rPr>
                <w:rFonts w:eastAsia="宋体" w:cs="Times New Roman"/>
                <w:color w:val="auto"/>
                <w:kern w:val="0"/>
                <w:szCs w:val="24"/>
              </w:rPr>
              <w:t>。</w:t>
            </w:r>
          </w:p>
          <w:p>
            <w:pPr>
              <w:adjustRightInd w:val="0"/>
              <w:snapToGrid w:val="0"/>
              <w:spacing w:line="240" w:lineRule="auto"/>
              <w:ind w:firstLine="0" w:firstLineChars="0"/>
              <w:jc w:val="center"/>
              <w:rPr>
                <w:rFonts w:eastAsia="宋体" w:cs="Times New Roman"/>
                <w:b/>
                <w:color w:val="auto"/>
                <w:kern w:val="0"/>
                <w:szCs w:val="24"/>
              </w:rPr>
            </w:pPr>
            <w:r>
              <w:rPr>
                <w:rFonts w:eastAsia="宋体" w:cs="Times New Roman"/>
                <w:b/>
                <w:color w:val="auto"/>
                <w:kern w:val="0"/>
                <w:szCs w:val="24"/>
              </w:rPr>
              <w:t>表</w:t>
            </w:r>
            <w:r>
              <w:rPr>
                <w:rFonts w:hint="eastAsia" w:eastAsia="宋体" w:cs="Times New Roman"/>
                <w:b/>
                <w:color w:val="auto"/>
                <w:kern w:val="0"/>
                <w:szCs w:val="24"/>
              </w:rPr>
              <w:t>2</w:t>
            </w:r>
            <w:r>
              <w:rPr>
                <w:rFonts w:eastAsia="宋体" w:cs="Times New Roman"/>
                <w:b/>
                <w:color w:val="auto"/>
                <w:kern w:val="0"/>
                <w:szCs w:val="24"/>
              </w:rPr>
              <w:t>-</w:t>
            </w:r>
            <w:r>
              <w:rPr>
                <w:rFonts w:hint="eastAsia" w:eastAsia="宋体" w:cs="Times New Roman"/>
                <w:b/>
                <w:color w:val="auto"/>
                <w:kern w:val="0"/>
                <w:szCs w:val="24"/>
              </w:rPr>
              <w:t>9</w:t>
            </w:r>
            <w:r>
              <w:rPr>
                <w:rFonts w:eastAsia="宋体" w:cs="Times New Roman"/>
                <w:b/>
                <w:color w:val="auto"/>
                <w:kern w:val="0"/>
                <w:szCs w:val="24"/>
              </w:rPr>
              <w:t xml:space="preserve"> 施工进度安排表</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680"/>
              <w:gridCol w:w="1305"/>
              <w:gridCol w:w="1022"/>
              <w:gridCol w:w="1022"/>
              <w:gridCol w:w="1022"/>
              <w:gridCol w:w="9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Merge w:val="restar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工程</w:t>
                  </w:r>
                </w:p>
              </w:tc>
              <w:tc>
                <w:tcPr>
                  <w:tcW w:w="81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202</w:t>
                  </w:r>
                  <w:r>
                    <w:rPr>
                      <w:rFonts w:hint="eastAsia" w:cs="Times New Roman"/>
                      <w:color w:val="auto"/>
                      <w:sz w:val="21"/>
                      <w:szCs w:val="21"/>
                    </w:rPr>
                    <w:t>5</w:t>
                  </w:r>
                  <w:r>
                    <w:rPr>
                      <w:rFonts w:cs="Times New Roman"/>
                      <w:color w:val="auto"/>
                      <w:sz w:val="21"/>
                      <w:szCs w:val="21"/>
                    </w:rPr>
                    <w:t>年</w:t>
                  </w:r>
                </w:p>
              </w:tc>
              <w:tc>
                <w:tcPr>
                  <w:tcW w:w="2522" w:type="pct"/>
                  <w:gridSpan w:val="4"/>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2026年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Merge w:val="continue"/>
                  <w:vAlign w:val="center"/>
                </w:tcPr>
                <w:p>
                  <w:pPr>
                    <w:spacing w:line="240" w:lineRule="auto"/>
                    <w:ind w:firstLine="0" w:firstLineChars="0"/>
                    <w:jc w:val="center"/>
                    <w:rPr>
                      <w:rFonts w:cs="Times New Roman"/>
                      <w:color w:val="auto"/>
                      <w:sz w:val="21"/>
                      <w:szCs w:val="21"/>
                    </w:rPr>
                  </w:pPr>
                </w:p>
              </w:tc>
              <w:tc>
                <w:tcPr>
                  <w:tcW w:w="81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10~12</w:t>
                  </w:r>
                  <w:r>
                    <w:rPr>
                      <w:rFonts w:cs="Times New Roman"/>
                      <w:color w:val="auto"/>
                      <w:sz w:val="21"/>
                      <w:szCs w:val="21"/>
                    </w:rPr>
                    <w:t>月</w:t>
                  </w:r>
                </w:p>
              </w:tc>
              <w:tc>
                <w:tcPr>
                  <w:tcW w:w="635"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1~3</w:t>
                  </w:r>
                  <w:r>
                    <w:rPr>
                      <w:rFonts w:cs="Times New Roman"/>
                      <w:color w:val="auto"/>
                      <w:sz w:val="21"/>
                      <w:szCs w:val="21"/>
                    </w:rPr>
                    <w:t>月</w:t>
                  </w:r>
                </w:p>
              </w:tc>
              <w:tc>
                <w:tcPr>
                  <w:tcW w:w="635"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4~6</w:t>
                  </w:r>
                  <w:r>
                    <w:rPr>
                      <w:rFonts w:cs="Times New Roman"/>
                      <w:color w:val="auto"/>
                      <w:sz w:val="21"/>
                      <w:szCs w:val="21"/>
                    </w:rPr>
                    <w:t>月</w:t>
                  </w:r>
                </w:p>
              </w:tc>
              <w:tc>
                <w:tcPr>
                  <w:tcW w:w="635"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7~9</w:t>
                  </w:r>
                  <w:r>
                    <w:rPr>
                      <w:rFonts w:cs="Times New Roman"/>
                      <w:color w:val="auto"/>
                      <w:sz w:val="21"/>
                      <w:szCs w:val="21"/>
                    </w:rPr>
                    <w:t>月</w:t>
                  </w:r>
                </w:p>
              </w:tc>
              <w:tc>
                <w:tcPr>
                  <w:tcW w:w="614" w:type="pct"/>
                </w:tcPr>
                <w:p>
                  <w:pPr>
                    <w:spacing w:line="240" w:lineRule="auto"/>
                    <w:ind w:firstLine="0" w:firstLineChars="0"/>
                    <w:jc w:val="center"/>
                    <w:rPr>
                      <w:rFonts w:cs="Times New Roman"/>
                      <w:color w:val="auto"/>
                      <w:sz w:val="21"/>
                      <w:szCs w:val="21"/>
                    </w:rPr>
                  </w:pPr>
                  <w:r>
                    <w:rPr>
                      <w:rFonts w:hint="eastAsia" w:cs="Times New Roman"/>
                      <w:color w:val="auto"/>
                      <w:sz w:val="21"/>
                      <w:szCs w:val="21"/>
                    </w:rPr>
                    <w:t>10~12月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施工准备</w:t>
                  </w:r>
                </w:p>
              </w:tc>
              <w:tc>
                <w:tcPr>
                  <w:tcW w:w="81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mc:AlternateContent>
                      <mc:Choice Requires="wps">
                        <w:drawing>
                          <wp:anchor distT="0" distB="0" distL="114300" distR="114300" simplePos="0" relativeHeight="251701248" behindDoc="0" locked="0" layoutInCell="1" allowOverlap="1">
                            <wp:simplePos x="0" y="0"/>
                            <wp:positionH relativeFrom="column">
                              <wp:posOffset>-41275</wp:posOffset>
                            </wp:positionH>
                            <wp:positionV relativeFrom="paragraph">
                              <wp:posOffset>109855</wp:posOffset>
                            </wp:positionV>
                            <wp:extent cx="723900" cy="0"/>
                            <wp:effectExtent l="0" t="19050" r="0" b="19050"/>
                            <wp:wrapNone/>
                            <wp:docPr id="61"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3.25pt;margin-top:8.65pt;height:0pt;width:57pt;z-index:251701248;mso-width-relative:page;mso-height-relative:page;" filled="f" stroked="t" coordsize="21600,21600" o:gfxdata="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W2Hn5tIAAAAIAQAADwAA&#10;AAAAAAABACAAAAA4AAAAZHJzL2Rvd25yZXYueG1sUEsBAhQAFAAAAAgAh07iQKtaHT/NAQAAbAMA&#10;AA4AAAAAAAAAAQAgAAAANwEAAGRycy9lMm9Eb2MueG1sUEsFBgAAAAAGAAYAWQEAAHYFAAAAAA==&#10;">
                            <v:fill on="f" focussize="0,0"/>
                            <v:stroke weight="3pt" color="#000000" joinstyle="round"/>
                            <v:imagedata o:title=""/>
                            <o:lock v:ext="edit" aspectratio="f"/>
                          </v:line>
                        </w:pict>
                      </mc:Fallback>
                    </mc:AlternateContent>
                  </w: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14" w:type="pct"/>
                </w:tcPr>
                <w:p>
                  <w:pPr>
                    <w:spacing w:line="240" w:lineRule="auto"/>
                    <w:ind w:firstLine="0" w:firstLineChars="0"/>
                    <w:jc w:val="center"/>
                    <w:rPr>
                      <w:rFonts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基础开挖、浇筑、回填</w:t>
                  </w:r>
                </w:p>
              </w:tc>
              <w:tc>
                <w:tcPr>
                  <w:tcW w:w="811"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mc:AlternateContent>
                      <mc:Choice Requires="wps">
                        <w:drawing>
                          <wp:anchor distT="0" distB="0" distL="114300" distR="114300" simplePos="0" relativeHeight="251702272" behindDoc="0" locked="0" layoutInCell="1" allowOverlap="1">
                            <wp:simplePos x="0" y="0"/>
                            <wp:positionH relativeFrom="column">
                              <wp:posOffset>-69850</wp:posOffset>
                            </wp:positionH>
                            <wp:positionV relativeFrom="paragraph">
                              <wp:posOffset>128905</wp:posOffset>
                            </wp:positionV>
                            <wp:extent cx="1057275" cy="0"/>
                            <wp:effectExtent l="0" t="19050" r="9525" b="19050"/>
                            <wp:wrapNone/>
                            <wp:docPr id="62" name="直接连接符 62"/>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5.5pt;margin-top:10.15pt;height:0pt;width:83.25pt;z-index:251702272;mso-width-relative:page;mso-height-relative:page;" filled="f" stroked="t" coordsize="21600,21600" o:gfxdata="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W3B611AAAAAkB&#10;AAAPAAAAAAAAAAEAIAAAADgAAABkcnMvZG93bnJldi54bWxQSwECFAAUAAAACACHTuJAUyiQ8NAB&#10;AABtAwAADgAAAAAAAAABACAAAAA5AQAAZHJzL2Uyb0RvYy54bWxQSwUGAAAAAAYABgBZAQAAewUA&#10;AAAA&#10;">
                            <v:fill on="f" focussize="0,0"/>
                            <v:stroke weight="3pt" color="#000000" joinstyle="round"/>
                            <v:imagedata o:title=""/>
                            <o:lock v:ext="edit" aspectratio="f"/>
                          </v:line>
                        </w:pict>
                      </mc:Fallback>
                    </mc:AlternateContent>
                  </w: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14" w:type="pct"/>
                </w:tcPr>
                <w:p>
                  <w:pPr>
                    <w:spacing w:line="240" w:lineRule="auto"/>
                    <w:ind w:firstLine="0" w:firstLineChars="0"/>
                    <w:jc w:val="center"/>
                    <w:rPr>
                      <w:rFonts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铁塔组立、架线安装</w:t>
                  </w:r>
                </w:p>
              </w:tc>
              <w:tc>
                <w:tcPr>
                  <w:tcW w:w="811"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mc:AlternateContent>
                      <mc:Choice Requires="wps">
                        <w:drawing>
                          <wp:anchor distT="0" distB="0" distL="114300" distR="114300" simplePos="0" relativeHeight="251703296" behindDoc="0" locked="0" layoutInCell="1" allowOverlap="1">
                            <wp:simplePos x="0" y="0"/>
                            <wp:positionH relativeFrom="column">
                              <wp:posOffset>254000</wp:posOffset>
                            </wp:positionH>
                            <wp:positionV relativeFrom="paragraph">
                              <wp:posOffset>119380</wp:posOffset>
                            </wp:positionV>
                            <wp:extent cx="504825" cy="0"/>
                            <wp:effectExtent l="0" t="19050" r="9525" b="1905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20pt;margin-top:9.4pt;height:0pt;width:39.75pt;z-index:251703296;mso-width-relative:page;mso-height-relative:page;" filled="f" stroked="t" coordsize="21600,21600" o:gfxdata="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2HRr/NIAAAAIAQAA&#10;DwAAAAAAAAABACAAAAA4AAAAZHJzL2Rvd25yZXYueG1sUEsBAhQAFAAAAAgAh07iQH5Kzw3QAQAA&#10;bAMAAA4AAAAAAAAAAQAgAAAANwEAAGRycy9lMm9Eb2MueG1sUEsFBgAAAAAGAAYAWQEAAHkFAAAA&#10;AA==&#10;">
                            <v:fill on="f" focussize="0,0"/>
                            <v:stroke weight="3pt" color="#000000" joinstyle="round"/>
                            <v:imagedata o:title=""/>
                            <o:lock v:ext="edit" aspectratio="f"/>
                          </v:line>
                        </w:pict>
                      </mc:Fallback>
                    </mc:AlternateContent>
                  </w:r>
                </w:p>
              </w:tc>
              <w:tc>
                <w:tcPr>
                  <w:tcW w:w="635" w:type="pct"/>
                  <w:vAlign w:val="center"/>
                </w:tcPr>
                <w:p>
                  <w:pPr>
                    <w:spacing w:line="240" w:lineRule="auto"/>
                    <w:ind w:firstLine="0" w:firstLineChars="0"/>
                    <w:jc w:val="center"/>
                    <w:rPr>
                      <w:rFonts w:cs="Times New Roman"/>
                      <w:color w:val="auto"/>
                      <w:sz w:val="21"/>
                      <w:szCs w:val="21"/>
                    </w:rPr>
                  </w:pPr>
                </w:p>
              </w:tc>
              <w:tc>
                <w:tcPr>
                  <w:tcW w:w="614" w:type="pct"/>
                </w:tcPr>
                <w:p>
                  <w:pPr>
                    <w:spacing w:line="240" w:lineRule="auto"/>
                    <w:ind w:firstLine="0" w:firstLineChars="0"/>
                    <w:jc w:val="center"/>
                    <w:rPr>
                      <w:rFonts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组装间隔设备、调试</w:t>
                  </w:r>
                </w:p>
              </w:tc>
              <w:tc>
                <w:tcPr>
                  <w:tcW w:w="811"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mc:AlternateContent>
                      <mc:Choice Requires="wps">
                        <w:drawing>
                          <wp:anchor distT="0" distB="0" distL="114300" distR="114300" simplePos="0" relativeHeight="251704320" behindDoc="0" locked="0" layoutInCell="1" allowOverlap="1">
                            <wp:simplePos x="0" y="0"/>
                            <wp:positionH relativeFrom="column">
                              <wp:posOffset>-15875</wp:posOffset>
                            </wp:positionH>
                            <wp:positionV relativeFrom="paragraph">
                              <wp:posOffset>130175</wp:posOffset>
                            </wp:positionV>
                            <wp:extent cx="342900" cy="0"/>
                            <wp:effectExtent l="0" t="19050" r="0" b="1905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1.25pt;margin-top:10.25pt;height:0pt;width:27pt;z-index:251704320;mso-width-relative:page;mso-height-relative:page;" filled="f" stroked="t" coordsize="21600,21600" o:gfxdata="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UVWZL9AAAAAHAQAADwAAAAAA&#10;AAABACAAAAA4AAAAZHJzL2Rvd25yZXYueG1sUEsBAhQAFAAAAAgAh07iQFQ9xA/MAQAAbAMAAA4A&#10;AAAAAAAAAQAgAAAANQEAAGRycy9lMm9Eb2MueG1sUEsFBgAAAAAGAAYAWQEAAHMFAAAAAA==&#10;">
                            <v:fill on="f" focussize="0,0"/>
                            <v:stroke weight="3pt" color="#000000" joinstyle="round"/>
                            <v:imagedata o:title=""/>
                            <o:lock v:ext="edit" aspectratio="f"/>
                          </v:line>
                        </w:pict>
                      </mc:Fallback>
                    </mc:AlternateContent>
                  </w:r>
                </w:p>
              </w:tc>
              <w:tc>
                <w:tcPr>
                  <w:tcW w:w="614" w:type="pct"/>
                </w:tcPr>
                <w:p>
                  <w:pPr>
                    <w:spacing w:line="240" w:lineRule="auto"/>
                    <w:ind w:firstLine="0" w:firstLineChars="0"/>
                    <w:jc w:val="center"/>
                    <w:rPr>
                      <w:rFonts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666"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植被</w:t>
                  </w:r>
                  <w:r>
                    <w:rPr>
                      <w:rFonts w:cs="Times New Roman"/>
                      <w:color w:val="auto"/>
                      <w:sz w:val="21"/>
                      <w:szCs w:val="21"/>
                    </w:rPr>
                    <w:t>恢复、建成运行</w:t>
                  </w:r>
                </w:p>
              </w:tc>
              <w:tc>
                <w:tcPr>
                  <w:tcW w:w="811"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p>
              </w:tc>
              <w:tc>
                <w:tcPr>
                  <w:tcW w:w="63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mc:AlternateContent>
                      <mc:Choice Requires="wps">
                        <w:drawing>
                          <wp:anchor distT="0" distB="0" distL="114300" distR="114300" simplePos="0" relativeHeight="251705344" behindDoc="0" locked="0" layoutInCell="1" allowOverlap="1">
                            <wp:simplePos x="0" y="0"/>
                            <wp:positionH relativeFrom="column">
                              <wp:posOffset>187325</wp:posOffset>
                            </wp:positionH>
                            <wp:positionV relativeFrom="paragraph">
                              <wp:posOffset>128905</wp:posOffset>
                            </wp:positionV>
                            <wp:extent cx="600075" cy="0"/>
                            <wp:effectExtent l="0" t="19050" r="9525" b="1905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38100">
                                      <a:solidFill>
                                        <a:srgbClr val="000000"/>
                                      </a:solidFill>
                                      <a:round/>
                                    </a:ln>
                                    <a:effectLst/>
                                  </wps:spPr>
                                  <wps:bodyPr/>
                                </wps:wsp>
                              </a:graphicData>
                            </a:graphic>
                          </wp:anchor>
                        </w:drawing>
                      </mc:Choice>
                      <mc:Fallback>
                        <w:pict>
                          <v:line id="_x0000_s1026" o:spid="_x0000_s1026" o:spt="20" style="position:absolute;left:0pt;margin-left:14.75pt;margin-top:10.15pt;height:0pt;width:47.25pt;z-index:251705344;mso-width-relative:page;mso-height-relative:page;" filled="f" stroked="t" coordsize="21600,21600" o:gfxdata="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r9ljc9MAAAAIAQAA&#10;DwAAAAAAAAABACAAAAA4AAAAZHJzL2Rvd25yZXYueG1sUEsBAhQAFAAAAAgAh07iQESGr8bPAQAA&#10;bAMAAA4AAAAAAAAAAQAgAAAAOAEAAGRycy9lMm9Eb2MueG1sUEsFBgAAAAAGAAYAWQEAAHkFAAAA&#10;AA==&#10;">
                            <v:fill on="f" focussize="0,0"/>
                            <v:stroke weight="3pt" color="#000000" joinstyle="round"/>
                            <v:imagedata o:title=""/>
                            <o:lock v:ext="edit" aspectratio="f"/>
                          </v:line>
                        </w:pict>
                      </mc:Fallback>
                    </mc:AlternateContent>
                  </w:r>
                </w:p>
              </w:tc>
              <w:tc>
                <w:tcPr>
                  <w:tcW w:w="614" w:type="pct"/>
                </w:tcPr>
                <w:p>
                  <w:pPr>
                    <w:spacing w:line="240" w:lineRule="auto"/>
                    <w:ind w:firstLine="0" w:firstLineChars="0"/>
                    <w:jc w:val="center"/>
                    <w:rPr>
                      <w:rFonts w:cs="Times New Roman"/>
                      <w:color w:val="auto"/>
                      <w:sz w:val="21"/>
                      <w:szCs w:val="21"/>
                    </w:rPr>
                  </w:pPr>
                </w:p>
              </w:tc>
            </w:tr>
          </w:tbl>
          <w:p>
            <w:pPr>
              <w:ind w:firstLine="480"/>
              <w:rPr>
                <w:rFonts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60" w:type="pct"/>
            <w:vAlign w:val="center"/>
          </w:tcPr>
          <w:p>
            <w:pPr>
              <w:ind w:firstLine="0" w:firstLineChars="0"/>
              <w:jc w:val="center"/>
              <w:rPr>
                <w:rFonts w:cs="Times New Roman"/>
                <w:color w:val="auto"/>
                <w:szCs w:val="24"/>
              </w:rPr>
            </w:pPr>
            <w:r>
              <w:rPr>
                <w:rFonts w:cs="Times New Roman"/>
                <w:color w:val="auto"/>
                <w:szCs w:val="24"/>
              </w:rPr>
              <w:t>其他</w:t>
            </w:r>
          </w:p>
        </w:tc>
        <w:tc>
          <w:tcPr>
            <w:tcW w:w="4740" w:type="pct"/>
          </w:tcPr>
          <w:p>
            <w:pPr>
              <w:ind w:firstLine="480"/>
              <w:rPr>
                <w:rFonts w:cs="Times New Roman"/>
                <w:color w:val="auto"/>
                <w:szCs w:val="24"/>
              </w:rPr>
            </w:pPr>
            <w:r>
              <w:rPr>
                <w:rFonts w:hint="eastAsia" w:cs="Times New Roman"/>
                <w:color w:val="auto"/>
                <w:szCs w:val="24"/>
              </w:rPr>
              <w:t>因路径处于县城周边，存在城镇开发区（规划）、生态红线、基本农田、矿场、附近电力线、村庄、水源保护地范围、土地综合治理等敏感性因素，综上所述只选用唯一路径作为本工程推荐路径方案。</w:t>
            </w:r>
            <w:r>
              <w:rPr>
                <w:rFonts w:cs="Times New Roman"/>
                <w:color w:val="auto"/>
                <w:szCs w:val="24"/>
              </w:rPr>
              <w:t>无比选方案。</w:t>
            </w: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tc>
      </w:tr>
    </w:tbl>
    <w:p>
      <w:pPr>
        <w:pStyle w:val="2"/>
        <w:rPr>
          <w:color w:val="auto"/>
        </w:rPr>
      </w:pPr>
      <w:bookmarkStart w:id="7" w:name="_Toc147654217"/>
      <w:bookmarkStart w:id="8" w:name="_Toc147654118"/>
      <w:r>
        <w:rPr>
          <w:rFonts w:hint="eastAsia"/>
          <w:color w:val="auto"/>
        </w:rPr>
        <w:t>三、生态环境现状、保护目标及评价标准</w:t>
      </w:r>
      <w:bookmarkEnd w:id="7"/>
      <w:bookmarkEnd w:id="8"/>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spacing w:line="240" w:lineRule="auto"/>
              <w:ind w:firstLine="0" w:firstLineChars="0"/>
              <w:jc w:val="center"/>
              <w:rPr>
                <w:rFonts w:cs="Times New Roman"/>
                <w:b/>
                <w:color w:val="auto"/>
                <w:szCs w:val="24"/>
              </w:rPr>
            </w:pPr>
            <w:r>
              <w:rPr>
                <w:rFonts w:cs="Times New Roman"/>
                <w:b/>
                <w:color w:val="auto"/>
                <w:szCs w:val="24"/>
              </w:rPr>
              <w:t>生态环境现状</w:t>
            </w:r>
          </w:p>
        </w:tc>
        <w:tc>
          <w:tcPr>
            <w:tcW w:w="4739" w:type="pct"/>
          </w:tcPr>
          <w:p>
            <w:pPr>
              <w:ind w:firstLine="482"/>
              <w:rPr>
                <w:rFonts w:cs="Times New Roman"/>
                <w:b/>
                <w:color w:val="auto"/>
                <w:szCs w:val="24"/>
              </w:rPr>
            </w:pPr>
            <w:r>
              <w:rPr>
                <w:rFonts w:cs="Times New Roman"/>
                <w:b/>
                <w:color w:val="auto"/>
                <w:szCs w:val="24"/>
              </w:rPr>
              <w:t>1</w:t>
            </w:r>
            <w:r>
              <w:rPr>
                <w:rFonts w:hint="eastAsia" w:cs="Times New Roman"/>
                <w:b/>
                <w:color w:val="auto"/>
                <w:szCs w:val="24"/>
              </w:rPr>
              <w:t>、生态环境质量现状</w:t>
            </w:r>
          </w:p>
          <w:p>
            <w:pPr>
              <w:ind w:firstLine="482"/>
              <w:rPr>
                <w:rFonts w:cs="Times New Roman"/>
                <w:b/>
                <w:color w:val="auto"/>
                <w:szCs w:val="24"/>
              </w:rPr>
            </w:pPr>
            <w:r>
              <w:rPr>
                <w:rFonts w:hint="eastAsia" w:cs="Times New Roman"/>
                <w:b/>
                <w:color w:val="auto"/>
                <w:szCs w:val="24"/>
              </w:rPr>
              <w:t>（</w:t>
            </w:r>
            <w:r>
              <w:rPr>
                <w:rFonts w:cs="Times New Roman"/>
                <w:b/>
                <w:color w:val="auto"/>
                <w:szCs w:val="24"/>
              </w:rPr>
              <w:t>1</w:t>
            </w:r>
            <w:r>
              <w:rPr>
                <w:rFonts w:hint="eastAsia" w:cs="Times New Roman"/>
                <w:b/>
                <w:color w:val="auto"/>
                <w:szCs w:val="24"/>
              </w:rPr>
              <w:t>）主体功能区划</w:t>
            </w:r>
          </w:p>
          <w:p>
            <w:pPr>
              <w:ind w:firstLine="480"/>
              <w:rPr>
                <w:rFonts w:cs="Times New Roman"/>
                <w:color w:val="auto"/>
                <w:szCs w:val="24"/>
              </w:rPr>
            </w:pPr>
            <w:r>
              <w:rPr>
                <w:rFonts w:hint="eastAsia" w:cs="Times New Roman"/>
                <w:color w:val="auto"/>
                <w:szCs w:val="24"/>
              </w:rPr>
              <w:t>根据《广西壮族自治区人民政府关于印发广西壮族自治区主体功能区规划的通知》（桂政发〔2012〕89号），项目所在上思县属于“限制开发区域（重点生态功能区）”，其功能定位：提供生态产品、保护环境的重要区域，保障国家和地方生态安全的重要屏障，人与自然和谐相处的示范区。</w:t>
            </w:r>
          </w:p>
          <w:p>
            <w:pPr>
              <w:ind w:firstLine="480"/>
              <w:rPr>
                <w:rFonts w:cs="Times New Roman"/>
                <w:color w:val="auto"/>
                <w:szCs w:val="24"/>
              </w:rPr>
            </w:pPr>
            <w:r>
              <w:rPr>
                <w:rFonts w:hint="eastAsia" w:cs="Times New Roman"/>
                <w:color w:val="auto"/>
                <w:szCs w:val="24"/>
              </w:rPr>
              <w:t>发展方向：以保护和修复生态环境、提供生态产品为首要任务，不宜进行大规模高强度工业化城镇化开发，可实行保护性开发，因地制宜发展资源环境可承载的适宜产业和旅游业等服务业，引导部分人口逐步有序转移，根据不同地区的生态系统特征，增强生态服务功能；形成重要的生态功能区。能源和矿产资源丰富的地区；按照“点状开发、面上保护”原则，适度开发能源和矿产资源，发展当地资源环境可承载的特色优势产业。按照国家和自治区综合交通网络建设规划布局，统筹规划建设交通基础设施。桂东北生态功能区，以灌阳、阳朔、恭城、富川等县为重点，着力加强以水源涵养、森林生态和维护生物多样性为主要内容的生态建设。　</w:t>
            </w:r>
          </w:p>
          <w:p>
            <w:pPr>
              <w:ind w:firstLine="480"/>
              <w:rPr>
                <w:rFonts w:cs="Times New Roman"/>
                <w:color w:val="auto"/>
                <w:szCs w:val="24"/>
              </w:rPr>
            </w:pPr>
            <w:r>
              <w:rPr>
                <w:rFonts w:hint="eastAsia" w:cs="Times New Roman"/>
                <w:color w:val="auto"/>
                <w:szCs w:val="24"/>
              </w:rPr>
              <w:t>　本工程为高压输电线路工程，项目建设能为当地工业、农业和旅游业发展提供电力保障，促进经济发展，项目施工期严格控制施工范围，采取有效水土保持措施，对区域生态环境影响较小；运营期不产生大气污染物，不新增废水排放量，不涉及工业污染物排放和第三产业污染，对生态环境质量无影响，因此符合《广西壮族自治区主体功能区规划》的要求。</w:t>
            </w:r>
          </w:p>
          <w:p>
            <w:pPr>
              <w:ind w:firstLine="482"/>
              <w:rPr>
                <w:rFonts w:cs="Times New Roman"/>
                <w:b/>
                <w:color w:val="auto"/>
                <w:szCs w:val="24"/>
              </w:rPr>
            </w:pPr>
            <w:r>
              <w:rPr>
                <w:rFonts w:hint="eastAsia" w:cs="Times New Roman"/>
                <w:b/>
                <w:color w:val="auto"/>
                <w:szCs w:val="24"/>
              </w:rPr>
              <w:t>（</w:t>
            </w:r>
            <w:r>
              <w:rPr>
                <w:rFonts w:cs="Times New Roman"/>
                <w:b/>
                <w:color w:val="auto"/>
                <w:szCs w:val="24"/>
              </w:rPr>
              <w:t>2</w:t>
            </w:r>
            <w:r>
              <w:rPr>
                <w:rFonts w:hint="eastAsia" w:cs="Times New Roman"/>
                <w:b/>
                <w:color w:val="auto"/>
                <w:szCs w:val="24"/>
              </w:rPr>
              <w:t>）生态功能区划</w:t>
            </w:r>
          </w:p>
          <w:p>
            <w:pPr>
              <w:ind w:firstLine="480"/>
              <w:rPr>
                <w:rFonts w:cs="Times New Roman"/>
                <w:color w:val="auto"/>
                <w:szCs w:val="24"/>
              </w:rPr>
            </w:pPr>
            <w:r>
              <w:rPr>
                <w:rFonts w:hint="eastAsia" w:cs="Times New Roman"/>
                <w:color w:val="auto"/>
                <w:szCs w:val="24"/>
              </w:rPr>
              <w:t>根据</w:t>
            </w:r>
            <w:bookmarkStart w:id="9" w:name="OLE_LINK5"/>
            <w:r>
              <w:rPr>
                <w:rFonts w:hint="eastAsia" w:cs="Times New Roman"/>
                <w:color w:val="auto"/>
                <w:szCs w:val="24"/>
              </w:rPr>
              <w:t>《防城港市人民政府办公室关于印发防城港市生态功能区划的通知》。（防政办发〔2011〕67 号）</w:t>
            </w:r>
            <w:bookmarkEnd w:id="9"/>
            <w:r>
              <w:rPr>
                <w:rFonts w:hint="eastAsia" w:cs="Times New Roman"/>
                <w:color w:val="auto"/>
                <w:szCs w:val="24"/>
              </w:rPr>
              <w:t>，项目沿线途径Ⅰ1-1十万大山水源涵养与生物多样性保护功能区、Ⅱl-1北部低山盆地农林牧畜产品提供功能区、Ⅱ1-2中部农林牧畜产品提供功能区。</w:t>
            </w:r>
          </w:p>
          <w:p>
            <w:pPr>
              <w:ind w:firstLine="482"/>
              <w:rPr>
                <w:rFonts w:cs="Times New Roman"/>
                <w:color w:val="auto"/>
                <w:szCs w:val="24"/>
              </w:rPr>
            </w:pPr>
            <w:r>
              <w:rPr>
                <w:rFonts w:cs="Times New Roman"/>
                <w:b/>
                <w:color w:val="auto"/>
                <w:szCs w:val="24"/>
              </w:rPr>
              <w:fldChar w:fldCharType="begin"/>
            </w:r>
            <w:r>
              <w:rPr>
                <w:rFonts w:cs="Times New Roman"/>
                <w:b/>
                <w:color w:val="auto"/>
                <w:szCs w:val="24"/>
              </w:rPr>
              <w:instrText xml:space="preserve"> </w:instrText>
            </w:r>
            <w:r>
              <w:rPr>
                <w:rFonts w:hint="eastAsia" w:cs="Times New Roman"/>
                <w:b/>
                <w:color w:val="auto"/>
                <w:szCs w:val="24"/>
              </w:rPr>
              <w:instrText xml:space="preserve">= 1 \* GB3</w:instrText>
            </w:r>
            <w:r>
              <w:rPr>
                <w:rFonts w:cs="Times New Roman"/>
                <w:b/>
                <w:color w:val="auto"/>
                <w:szCs w:val="24"/>
              </w:rPr>
              <w:instrText xml:space="preserve"> </w:instrText>
            </w:r>
            <w:r>
              <w:rPr>
                <w:rFonts w:cs="Times New Roman"/>
                <w:b/>
                <w:color w:val="auto"/>
                <w:szCs w:val="24"/>
              </w:rPr>
              <w:fldChar w:fldCharType="separate"/>
            </w:r>
            <w:r>
              <w:rPr>
                <w:rFonts w:hint="eastAsia" w:cs="Times New Roman"/>
                <w:b/>
                <w:color w:val="auto"/>
                <w:szCs w:val="24"/>
              </w:rPr>
              <w:t>①</w:t>
            </w:r>
            <w:r>
              <w:rPr>
                <w:rFonts w:cs="Times New Roman"/>
                <w:b/>
                <w:color w:val="auto"/>
                <w:szCs w:val="24"/>
              </w:rPr>
              <w:fldChar w:fldCharType="end"/>
            </w:r>
            <w:r>
              <w:rPr>
                <w:rFonts w:hint="eastAsia" w:cs="Times New Roman"/>
                <w:b/>
                <w:color w:val="auto"/>
                <w:szCs w:val="24"/>
              </w:rPr>
              <w:t>十万大山水源涵养与生物多样性保护功能区</w:t>
            </w:r>
          </w:p>
          <w:p>
            <w:pPr>
              <w:ind w:firstLine="480"/>
              <w:rPr>
                <w:rFonts w:cs="Times New Roman"/>
                <w:color w:val="auto"/>
                <w:szCs w:val="24"/>
              </w:rPr>
            </w:pPr>
            <w:r>
              <w:rPr>
                <w:rFonts w:hint="eastAsia" w:cs="Times New Roman"/>
                <w:color w:val="auto"/>
                <w:szCs w:val="24"/>
              </w:rPr>
              <w:t>该区总面积2301.7km</w:t>
            </w:r>
            <w:r>
              <w:rPr>
                <w:rFonts w:hint="eastAsia" w:cs="Times New Roman"/>
                <w:color w:val="auto"/>
                <w:szCs w:val="24"/>
                <w:vertAlign w:val="superscript"/>
              </w:rPr>
              <w:t>2</w:t>
            </w:r>
            <w:r>
              <w:rPr>
                <w:rFonts w:hint="eastAsia" w:cs="Times New Roman"/>
                <w:color w:val="auto"/>
                <w:szCs w:val="24"/>
              </w:rPr>
              <w:t>，占全市总面积的37.0％。主要分布在十万大山山脉，包括十万大山国家级自然保护区、防城金花茶国家级自然保护区，防城区的垌中镇、那良镇、扶隆乡、大菉镇东南部和西北部、滩营乡西北部、那棱镇西北部，东兴市马路镇北部，上思县南屏乡南部、叫安乡东部、思阳镇南部、公正乡南部。十万大山是一条由西南往东北走向的山脉，峰脊线作直线状伸展，高度在1000- 1400m之间。山峰顶部多由砾岩、砂岩等硬岩形成。土壤主要为酸性岩发育而成的酸性土，土壤类型主要有赤红壤红壤、紫色土等。山上森林茂密，地带性植被为热带季风常绿阔叶林，垂直带上有山地常绿阔叶林和山顶矮林。十万大山和金花茶自然保护区的天然植被保存良好，水源涵养能力较强，是江河的源头和水源涵养区，是防城港市目前天然地带性植被保存最好的地区，生态系统结构相对完整，生物种类繁多，拥有大量珍稀、特有和古老的生物种类，是自然保护区分布的主要区域。本区主导的生态服务功能为水源涵养和生物多样性保护。</w:t>
            </w:r>
          </w:p>
          <w:p>
            <w:pPr>
              <w:ind w:firstLine="480"/>
              <w:rPr>
                <w:rFonts w:cs="Times New Roman"/>
                <w:color w:val="auto"/>
                <w:szCs w:val="24"/>
              </w:rPr>
            </w:pPr>
            <w:r>
              <w:rPr>
                <w:rFonts w:hint="eastAsia" w:cs="Times New Roman"/>
                <w:color w:val="auto"/>
                <w:szCs w:val="24"/>
              </w:rPr>
              <w:t>主要生态环境问题：自然保护区设施未完善，技术力量和管理水平较低；资金和保护与管理压力日趋增加；保护区周边人为干扰较大，生物自然栖息地遭到破坏和破碎化，生物多样性受到严重威胁；除自然保护区外的集体林区，天然林较少，以人工林为主的森林结构单一，涵养水源、保持水土等生态服务功能下降生态系统服务功能退化，特别是旱季江河水量锐减。</w:t>
            </w:r>
          </w:p>
          <w:p>
            <w:pPr>
              <w:ind w:firstLine="480"/>
              <w:rPr>
                <w:rFonts w:cs="Times New Roman"/>
                <w:color w:val="auto"/>
                <w:szCs w:val="24"/>
              </w:rPr>
            </w:pPr>
            <w:r>
              <w:rPr>
                <w:rFonts w:hint="eastAsia" w:cs="Times New Roman"/>
                <w:color w:val="auto"/>
                <w:szCs w:val="24"/>
              </w:rPr>
              <w:t>主要保护方向与措施：围绕生物多样性保护核心，突出自然保护区建设和水土保持与水源涵养的重点，提高水源涵养与生物多样性保护的功能。加强自然保护区建设和资金投入，以及管理与技术人员的培训，完善管理设施的体系，禁止对生物多样性有影响的经济开发；保护自然生态系统与重要物种栖息地，维护生态系统完整性；加强对天然林、水源林和防护林的保护管理；落实公益林、退耕还林政策及补偿机制；发展生态旅游业、绿色农林产品基地。</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w:instrText>
            </w:r>
            <w:r>
              <w:rPr>
                <w:rFonts w:hint="eastAsia" w:cs="Times New Roman"/>
                <w:b/>
                <w:color w:val="auto"/>
                <w:szCs w:val="24"/>
              </w:rPr>
              <w:instrText xml:space="preserve">= 2 \* GB3</w:instrText>
            </w:r>
            <w:r>
              <w:rPr>
                <w:rFonts w:cs="Times New Roman"/>
                <w:b/>
                <w:color w:val="auto"/>
                <w:szCs w:val="24"/>
              </w:rPr>
              <w:instrText xml:space="preserve"> </w:instrText>
            </w:r>
            <w:r>
              <w:rPr>
                <w:rFonts w:cs="Times New Roman"/>
                <w:b/>
                <w:color w:val="auto"/>
                <w:szCs w:val="24"/>
              </w:rPr>
              <w:fldChar w:fldCharType="separate"/>
            </w:r>
            <w:r>
              <w:rPr>
                <w:rFonts w:hint="eastAsia" w:cs="Times New Roman"/>
                <w:b/>
                <w:color w:val="auto"/>
                <w:szCs w:val="24"/>
              </w:rPr>
              <w:t>②</w:t>
            </w:r>
            <w:r>
              <w:rPr>
                <w:rFonts w:cs="Times New Roman"/>
                <w:b/>
                <w:color w:val="auto"/>
                <w:szCs w:val="24"/>
              </w:rPr>
              <w:fldChar w:fldCharType="end"/>
            </w:r>
            <w:r>
              <w:rPr>
                <w:rFonts w:hint="eastAsia" w:cs="Times New Roman"/>
                <w:b/>
                <w:color w:val="auto"/>
                <w:szCs w:val="24"/>
              </w:rPr>
              <w:t>北部低山盆地农林牧畜产品提供功能区</w:t>
            </w:r>
          </w:p>
          <w:p>
            <w:pPr>
              <w:ind w:firstLine="480"/>
              <w:rPr>
                <w:rFonts w:cs="Times New Roman"/>
                <w:color w:val="auto"/>
                <w:szCs w:val="24"/>
              </w:rPr>
            </w:pPr>
            <w:r>
              <w:rPr>
                <w:rFonts w:hint="eastAsia" w:cs="Times New Roman"/>
                <w:color w:val="auto"/>
                <w:szCs w:val="24"/>
              </w:rPr>
              <w:t>该区总面积764.1km</w:t>
            </w:r>
            <w:r>
              <w:rPr>
                <w:rFonts w:hint="eastAsia" w:cs="Times New Roman"/>
                <w:color w:val="auto"/>
                <w:szCs w:val="24"/>
                <w:vertAlign w:val="superscript"/>
              </w:rPr>
              <w:t>2</w:t>
            </w:r>
            <w:r>
              <w:rPr>
                <w:rFonts w:hint="eastAsia" w:cs="Times New Roman"/>
                <w:color w:val="auto"/>
                <w:szCs w:val="24"/>
              </w:rPr>
              <w:t>，占全市土地面积的12.3％。范围包括上思县那琴乡、在妙镇、思阳镇、公正乡。以丘陵、盆地为主，海拔100～200m，土壤主要为水稻土、冲积土、赤红壤，光照充足，以发展农、林、果等农作物，主要种植的农作物有水稻、甘蔗、水果、玉米、木薯等，为主要产粮区和甘蔗产区。重点发展优质水稻，尤其是优质糯米，引进和推广良种甘蔗。本区主导生态服务功能为农林畜牧产品提供。</w:t>
            </w:r>
          </w:p>
          <w:p>
            <w:pPr>
              <w:ind w:firstLine="480"/>
              <w:rPr>
                <w:rFonts w:cs="Times New Roman"/>
                <w:color w:val="auto"/>
                <w:szCs w:val="24"/>
              </w:rPr>
            </w:pPr>
            <w:r>
              <w:rPr>
                <w:rFonts w:hint="eastAsia" w:cs="Times New Roman"/>
                <w:color w:val="auto"/>
                <w:szCs w:val="24"/>
              </w:rPr>
              <w:t>主要生态环境问题：本区域季节性干旱比较严重；长期大量的化肥使用造成土壤的板结，土地生产力下降；对水体存在一定的农业面源污染，特别是农药污染；农产品安全质量有待提高。</w:t>
            </w:r>
          </w:p>
          <w:p>
            <w:pPr>
              <w:ind w:firstLine="480"/>
              <w:rPr>
                <w:rFonts w:cs="Times New Roman"/>
                <w:color w:val="auto"/>
                <w:szCs w:val="24"/>
              </w:rPr>
            </w:pPr>
            <w:r>
              <w:rPr>
                <w:rFonts w:hint="eastAsia" w:cs="Times New Roman"/>
                <w:color w:val="auto"/>
                <w:szCs w:val="24"/>
              </w:rPr>
              <w:t>主要保护方向与措施：保护基本农田，建设生态农业，大力开展农田水利建设，加强水土流失的治理，提高农田质量；进行土地整理，实施分类经营，根据不同的地形、地貌和坡度规划发展农、林、果、牧等产业，发展绿色食品和有机食品的生产；加强农林业产品的市场监管，坚决禁止销售和使用已明令禁止的高毒高残留农药和兽药。</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w:instrText>
            </w:r>
            <w:r>
              <w:rPr>
                <w:rFonts w:hint="eastAsia" w:cs="Times New Roman"/>
                <w:b/>
                <w:color w:val="auto"/>
                <w:szCs w:val="24"/>
              </w:rPr>
              <w:instrText xml:space="preserve">= 3 \* GB3</w:instrText>
            </w:r>
            <w:r>
              <w:rPr>
                <w:rFonts w:cs="Times New Roman"/>
                <w:b/>
                <w:color w:val="auto"/>
                <w:szCs w:val="24"/>
              </w:rPr>
              <w:instrText xml:space="preserve"> </w:instrText>
            </w:r>
            <w:r>
              <w:rPr>
                <w:rFonts w:cs="Times New Roman"/>
                <w:b/>
                <w:color w:val="auto"/>
                <w:szCs w:val="24"/>
              </w:rPr>
              <w:fldChar w:fldCharType="separate"/>
            </w:r>
            <w:r>
              <w:rPr>
                <w:rFonts w:hint="eastAsia" w:cs="Times New Roman"/>
                <w:b/>
                <w:color w:val="auto"/>
                <w:szCs w:val="24"/>
              </w:rPr>
              <w:t>③</w:t>
            </w:r>
            <w:r>
              <w:rPr>
                <w:rFonts w:cs="Times New Roman"/>
                <w:b/>
                <w:color w:val="auto"/>
                <w:szCs w:val="24"/>
              </w:rPr>
              <w:fldChar w:fldCharType="end"/>
            </w:r>
            <w:r>
              <w:rPr>
                <w:rFonts w:hint="eastAsia" w:cs="Times New Roman"/>
                <w:b/>
                <w:color w:val="auto"/>
                <w:szCs w:val="24"/>
              </w:rPr>
              <w:t>中部农林牧畜产品提供功能区</w:t>
            </w:r>
          </w:p>
          <w:p>
            <w:pPr>
              <w:ind w:firstLine="480"/>
              <w:rPr>
                <w:rFonts w:cs="Times New Roman"/>
                <w:color w:val="auto"/>
                <w:szCs w:val="24"/>
              </w:rPr>
            </w:pPr>
            <w:r>
              <w:rPr>
                <w:rFonts w:hint="eastAsia" w:cs="Times New Roman"/>
                <w:color w:val="auto"/>
                <w:szCs w:val="24"/>
              </w:rPr>
              <w:t>该区总面积832.4 km</w:t>
            </w:r>
            <w:r>
              <w:rPr>
                <w:rFonts w:hint="eastAsia" w:cs="Times New Roman"/>
                <w:color w:val="auto"/>
                <w:szCs w:val="24"/>
                <w:vertAlign w:val="superscript"/>
              </w:rPr>
              <w:t>2</w:t>
            </w:r>
            <w:r>
              <w:rPr>
                <w:rFonts w:hint="eastAsia" w:cs="Times New Roman"/>
                <w:color w:val="auto"/>
                <w:szCs w:val="24"/>
              </w:rPr>
              <w:t>，占全市土地面积的13.4％。范围包括上思县平福乡、华兰乡、叫安乡、南屏瑶族乡。以丘陵、盆地，海拔75～150m，土壤以赤红壤为主，光照充足，以发展农、林、果等农作物，经济林以八角、肉桂为主，商品林以桉树、松树为主，果树林有龙眼、荔枝、柑橘等，林下又兼发展畜牧业。本区的主导生态服务功能为农林畜牧产品提供。</w:t>
            </w:r>
          </w:p>
          <w:p>
            <w:pPr>
              <w:ind w:firstLine="480"/>
              <w:rPr>
                <w:rFonts w:cs="Times New Roman"/>
                <w:color w:val="auto"/>
                <w:szCs w:val="24"/>
              </w:rPr>
            </w:pPr>
            <w:r>
              <w:rPr>
                <w:rFonts w:hint="eastAsia" w:cs="Times New Roman"/>
                <w:color w:val="auto"/>
                <w:szCs w:val="24"/>
              </w:rPr>
              <w:t>主要生态环境问题：旱地的开垦或经济果木林种植、抚育造成水土流失；桉树和经济林林种和群落结构单一，造成病虫害突发的可能性加大；天然林面积比重过少。</w:t>
            </w:r>
          </w:p>
          <w:p>
            <w:pPr>
              <w:ind w:firstLine="480"/>
              <w:rPr>
                <w:rFonts w:cs="Times New Roman"/>
                <w:color w:val="auto"/>
                <w:szCs w:val="24"/>
              </w:rPr>
            </w:pPr>
            <w:r>
              <w:rPr>
                <w:rFonts w:hint="eastAsia" w:cs="Times New Roman"/>
                <w:color w:val="auto"/>
                <w:szCs w:val="24"/>
              </w:rPr>
              <w:t>主要保护方向与措施：加强土地整理，合理利用土地资源，提高植被覆盖率，减少水土流失；充分利用农作物</w:t>
            </w:r>
            <w:r>
              <w:rPr>
                <w:rFonts w:hint="eastAsia" w:cs="Times New Roman"/>
                <w:color w:val="auto"/>
                <w:szCs w:val="24"/>
                <w:lang w:eastAsia="zh-CN"/>
              </w:rPr>
              <w:t>秸秆</w:t>
            </w:r>
            <w:r>
              <w:rPr>
                <w:rFonts w:hint="eastAsia" w:cs="Times New Roman"/>
                <w:color w:val="auto"/>
                <w:szCs w:val="24"/>
              </w:rPr>
              <w:t>、牲畜粪便，推广“养殖-沼气-种植”生态农业模式；针对本区域的特点，引进农林产品深加工产业，提高农林产品的附加值；大力推进无公害农产品、绿色食品、有机食品等特色</w:t>
            </w:r>
            <w:r>
              <w:rPr>
                <w:rFonts w:hint="eastAsia" w:cs="Times New Roman"/>
                <w:color w:val="auto"/>
                <w:szCs w:val="24"/>
                <w:lang w:eastAsia="zh-CN"/>
              </w:rPr>
              <w:t>生</w:t>
            </w:r>
            <w:r>
              <w:rPr>
                <w:rFonts w:hint="eastAsia" w:cs="Times New Roman"/>
                <w:color w:val="auto"/>
                <w:szCs w:val="24"/>
              </w:rPr>
              <w:t>态农业产业；改变林木品种单一化现状，减少森林虫害灾害；推广高效农业，提高土地的综合利用能力。</w:t>
            </w:r>
          </w:p>
          <w:p>
            <w:pPr>
              <w:ind w:firstLine="480"/>
              <w:rPr>
                <w:rFonts w:cs="Times New Roman"/>
                <w:color w:val="auto"/>
                <w:szCs w:val="24"/>
              </w:rPr>
            </w:pPr>
            <w:r>
              <w:rPr>
                <w:rFonts w:hint="eastAsia" w:cs="Times New Roman"/>
                <w:color w:val="auto"/>
                <w:szCs w:val="24"/>
              </w:rPr>
              <w:t>项目输电线路运行过程中无工艺废水和工艺废气产生，属于环境友好型项目。项目线路沿线塔基不涉及占用基本农田、饮用水源保护区、风景名胜区、生态保护红线等环境敏感区，项目建设中将尽可能直接利用或改造现有道路作为场内施工运输道路，以减少对林地的占用，项目永久占地（杆塔）占地面积小，对现有林地影响有限。通过采取严格水保、环保措施及施工期结束后强化林地的保护和恢复，项目建设不改变区域生态功能，符合《防城港市生态功能区划》要求。</w:t>
            </w:r>
          </w:p>
          <w:p>
            <w:pPr>
              <w:ind w:firstLine="482"/>
              <w:rPr>
                <w:rFonts w:cs="Times New Roman"/>
                <w:b/>
                <w:color w:val="auto"/>
                <w:szCs w:val="24"/>
              </w:rPr>
            </w:pPr>
            <w:r>
              <w:rPr>
                <w:rFonts w:hint="eastAsia" w:cs="Times New Roman"/>
                <w:b/>
                <w:color w:val="auto"/>
                <w:szCs w:val="24"/>
              </w:rPr>
              <w:t>（3）生态环境现状</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 1 \* GB3 </w:instrText>
            </w:r>
            <w:r>
              <w:rPr>
                <w:rFonts w:cs="Times New Roman"/>
                <w:b/>
                <w:color w:val="auto"/>
                <w:szCs w:val="24"/>
              </w:rPr>
              <w:fldChar w:fldCharType="separate"/>
            </w:r>
            <w:r>
              <w:rPr>
                <w:rFonts w:hint="eastAsia" w:cs="Times New Roman"/>
                <w:b/>
                <w:color w:val="auto"/>
                <w:szCs w:val="24"/>
              </w:rPr>
              <w:t>①</w:t>
            </w:r>
            <w:r>
              <w:rPr>
                <w:rFonts w:cs="Times New Roman"/>
                <w:color w:val="auto"/>
                <w:szCs w:val="24"/>
              </w:rPr>
              <w:fldChar w:fldCharType="end"/>
            </w:r>
            <w:r>
              <w:rPr>
                <w:rFonts w:hint="eastAsia" w:cs="Times New Roman"/>
                <w:b/>
                <w:color w:val="auto"/>
                <w:szCs w:val="24"/>
              </w:rPr>
              <w:t>土地利用类型</w:t>
            </w:r>
          </w:p>
          <w:p>
            <w:pPr>
              <w:ind w:firstLine="480"/>
              <w:rPr>
                <w:rFonts w:cs="Times New Roman"/>
                <w:color w:val="auto"/>
                <w:szCs w:val="24"/>
              </w:rPr>
            </w:pPr>
            <w:r>
              <w:rPr>
                <w:rFonts w:cs="Times New Roman"/>
                <w:color w:val="auto"/>
                <w:szCs w:val="24"/>
              </w:rPr>
              <w:t>本工程占地包括扩建间隔区、杆塔施工区、牵张场区和施工道路区</w:t>
            </w:r>
            <w:r>
              <w:rPr>
                <w:rFonts w:hint="eastAsia" w:cs="Times New Roman"/>
                <w:color w:val="auto"/>
                <w:szCs w:val="24"/>
              </w:rPr>
              <w:t>，扩建间隔在茶花变电站内预留的空地扩建，占地类型为公用设施用地，其他杆塔、牵张场等占地类型主要为其他林地、旱地、其他园地等。</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 2 \* GB3 </w:instrText>
            </w:r>
            <w:r>
              <w:rPr>
                <w:rFonts w:cs="Times New Roman"/>
                <w:b/>
                <w:color w:val="auto"/>
                <w:szCs w:val="24"/>
              </w:rPr>
              <w:fldChar w:fldCharType="separate"/>
            </w:r>
            <w:r>
              <w:rPr>
                <w:rFonts w:hint="eastAsia" w:cs="Times New Roman"/>
                <w:b/>
                <w:color w:val="auto"/>
                <w:szCs w:val="24"/>
              </w:rPr>
              <w:t>②</w:t>
            </w:r>
            <w:r>
              <w:rPr>
                <w:rFonts w:cs="Times New Roman"/>
                <w:color w:val="auto"/>
                <w:szCs w:val="24"/>
              </w:rPr>
              <w:fldChar w:fldCharType="end"/>
            </w:r>
            <w:r>
              <w:rPr>
                <w:rFonts w:hint="eastAsia" w:cs="Times New Roman"/>
                <w:b/>
                <w:color w:val="auto"/>
                <w:szCs w:val="24"/>
              </w:rPr>
              <w:t>植被类型</w:t>
            </w:r>
          </w:p>
          <w:p>
            <w:pPr>
              <w:ind w:firstLine="480"/>
              <w:rPr>
                <w:rFonts w:cs="Times New Roman"/>
                <w:color w:val="auto"/>
                <w:szCs w:val="24"/>
              </w:rPr>
            </w:pPr>
            <w:r>
              <w:rPr>
                <w:rFonts w:hint="eastAsia" w:cs="Times New Roman"/>
                <w:color w:val="auto"/>
                <w:szCs w:val="24"/>
              </w:rPr>
              <w:t>根据现场调查，本工程线路沿线主要为旱地、丘陵及山地，旱地主要种植甘蔗、玉米等，丘陵及山地地区植被茂密，主要为桉树、松树、灌木、杂树等植物，工程所属区域自然生态环境良好，沿线典型植被现状见下图3-1。</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0"/>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0" w:type="dxa"/>
                </w:tcPr>
                <w:p>
                  <w:pPr>
                    <w:ind w:firstLine="0" w:firstLineChars="0"/>
                    <w:rPr>
                      <w:rFonts w:cs="Times New Roman"/>
                      <w:color w:val="auto"/>
                      <w:szCs w:val="24"/>
                    </w:rPr>
                  </w:pPr>
                  <w:r>
                    <w:rPr>
                      <w:rFonts w:cs="Times New Roman"/>
                      <w:color w:val="auto"/>
                      <w:szCs w:val="24"/>
                    </w:rPr>
                    <w:drawing>
                      <wp:inline distT="0" distB="0" distL="0" distR="0">
                        <wp:extent cx="2505075" cy="1878330"/>
                        <wp:effectExtent l="0" t="0" r="0" b="7620"/>
                        <wp:docPr id="8" name="图片 8" descr="F:\01中企安信工作\2025年项目\66、华润电力上思在妙100MW农光互补发电项目送出线路工程（变更）\7、现场照片（包括项目照片、工程师照片）\7、现场照片（包括项目照片、工程师照片）IMG_20250804_14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01中企安信工作\2025年项目\66、华润电力上思在妙100MW农光互补发电项目送出线路工程（变更）\7、现场照片（包括项目照片、工程师照片）\7、现场照片（包括项目照片、工程师照片）IMG_20250804_143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07968" cy="1880976"/>
                                </a:xfrm>
                                <a:prstGeom prst="rect">
                                  <a:avLst/>
                                </a:prstGeom>
                                <a:noFill/>
                                <a:ln>
                                  <a:noFill/>
                                </a:ln>
                              </pic:spPr>
                            </pic:pic>
                          </a:graphicData>
                        </a:graphic>
                      </wp:inline>
                    </w:drawing>
                  </w:r>
                </w:p>
              </w:tc>
              <w:tc>
                <w:tcPr>
                  <w:tcW w:w="4016" w:type="dxa"/>
                </w:tcPr>
                <w:p>
                  <w:pPr>
                    <w:ind w:firstLine="0" w:firstLineChars="0"/>
                    <w:rPr>
                      <w:rFonts w:cs="Times New Roman"/>
                      <w:color w:val="auto"/>
                      <w:szCs w:val="24"/>
                    </w:rPr>
                  </w:pPr>
                  <w:r>
                    <w:drawing>
                      <wp:inline distT="0" distB="0" distL="0" distR="0">
                        <wp:extent cx="2486660" cy="189547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2494546" cy="190145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0" w:type="dxa"/>
                </w:tcPr>
                <w:p>
                  <w:pPr>
                    <w:ind w:firstLine="0" w:firstLineChars="0"/>
                    <w:rPr>
                      <w:rFonts w:cs="Times New Roman"/>
                      <w:color w:val="auto"/>
                      <w:szCs w:val="24"/>
                    </w:rPr>
                  </w:pPr>
                  <w:r>
                    <w:drawing>
                      <wp:inline distT="0" distB="0" distL="0" distR="0">
                        <wp:extent cx="2409825" cy="17240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2407893" cy="1722643"/>
                                </a:xfrm>
                                <a:prstGeom prst="rect">
                                  <a:avLst/>
                                </a:prstGeom>
                              </pic:spPr>
                            </pic:pic>
                          </a:graphicData>
                        </a:graphic>
                      </wp:inline>
                    </w:drawing>
                  </w:r>
                </w:p>
              </w:tc>
              <w:tc>
                <w:tcPr>
                  <w:tcW w:w="4016" w:type="dxa"/>
                </w:tcPr>
                <w:p>
                  <w:pPr>
                    <w:ind w:firstLine="0" w:firstLineChars="0"/>
                    <w:rPr>
                      <w:rFonts w:cs="Times New Roman"/>
                      <w:color w:val="auto"/>
                      <w:szCs w:val="24"/>
                    </w:rPr>
                  </w:pPr>
                  <w:r>
                    <w:drawing>
                      <wp:inline distT="0" distB="0" distL="0" distR="0">
                        <wp:extent cx="2357120" cy="175831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2357517" cy="1758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6" w:type="dxa"/>
                  <w:gridSpan w:val="2"/>
                </w:tcPr>
                <w:p>
                  <w:pPr>
                    <w:ind w:firstLine="0" w:firstLineChars="0"/>
                    <w:jc w:val="center"/>
                    <w:rPr>
                      <w:rFonts w:cs="Times New Roman"/>
                      <w:color w:val="auto"/>
                      <w:szCs w:val="24"/>
                    </w:rPr>
                  </w:pPr>
                  <w:r>
                    <w:rPr>
                      <w:rFonts w:hint="eastAsia" w:cs="Times New Roman"/>
                      <w:color w:val="auto"/>
                      <w:szCs w:val="24"/>
                    </w:rPr>
                    <w:t>图3-1 项目线路沿线植被情况</w:t>
                  </w:r>
                </w:p>
              </w:tc>
            </w:tr>
          </w:tbl>
          <w:p>
            <w:pPr>
              <w:ind w:firstLine="480"/>
              <w:rPr>
                <w:rFonts w:cs="Times New Roman"/>
                <w:color w:val="auto"/>
                <w:szCs w:val="24"/>
              </w:rPr>
            </w:pPr>
            <w:r>
              <w:rPr>
                <w:rFonts w:hint="eastAsia" w:cs="Times New Roman"/>
                <w:color w:val="auto"/>
                <w:szCs w:val="24"/>
              </w:rPr>
              <w:t>根据实地调查，按照现行的《中华人民共和国野生植物保护条例（</w:t>
            </w:r>
            <w:r>
              <w:rPr>
                <w:rFonts w:cs="Times New Roman"/>
                <w:color w:val="auto"/>
                <w:szCs w:val="24"/>
              </w:rPr>
              <w:t xml:space="preserve">2017 </w:t>
            </w:r>
            <w:r>
              <w:rPr>
                <w:rFonts w:hint="eastAsia" w:cs="Times New Roman"/>
                <w:color w:val="auto"/>
                <w:szCs w:val="24"/>
              </w:rPr>
              <w:t>年修订）》及《国家重点保护野生植物名录》（</w:t>
            </w:r>
            <w:r>
              <w:rPr>
                <w:rFonts w:cs="Times New Roman"/>
                <w:color w:val="auto"/>
                <w:szCs w:val="24"/>
              </w:rPr>
              <w:t xml:space="preserve">2021 </w:t>
            </w:r>
            <w:r>
              <w:rPr>
                <w:rFonts w:hint="eastAsia" w:cs="Times New Roman"/>
                <w:color w:val="auto"/>
                <w:szCs w:val="24"/>
              </w:rPr>
              <w:t>年第</w:t>
            </w:r>
            <w:r>
              <w:rPr>
                <w:rFonts w:cs="Times New Roman"/>
                <w:color w:val="auto"/>
                <w:szCs w:val="24"/>
              </w:rPr>
              <w:t xml:space="preserve"> 15 </w:t>
            </w:r>
            <w:r>
              <w:rPr>
                <w:rFonts w:hint="eastAsia" w:cs="Times New Roman"/>
                <w:color w:val="auto"/>
                <w:szCs w:val="24"/>
              </w:rPr>
              <w:t>号）及《广西壮族自治区重点保护野生植物名录》（桂政发〔</w:t>
            </w:r>
            <w:r>
              <w:rPr>
                <w:rFonts w:cs="Times New Roman"/>
                <w:color w:val="auto"/>
                <w:szCs w:val="24"/>
              </w:rPr>
              <w:t>20</w:t>
            </w:r>
            <w:r>
              <w:rPr>
                <w:rFonts w:hint="eastAsia" w:cs="Times New Roman"/>
                <w:color w:val="auto"/>
                <w:szCs w:val="24"/>
              </w:rPr>
              <w:t>23〕10号），项目沿线未发现国家及地方重点保护野生植物，无古树名木。</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 3 \* GB3 </w:instrText>
            </w:r>
            <w:r>
              <w:rPr>
                <w:rFonts w:cs="Times New Roman"/>
                <w:b/>
                <w:color w:val="auto"/>
                <w:szCs w:val="24"/>
              </w:rPr>
              <w:fldChar w:fldCharType="separate"/>
            </w:r>
            <w:r>
              <w:rPr>
                <w:rFonts w:hint="eastAsia" w:cs="Times New Roman"/>
                <w:b/>
                <w:color w:val="auto"/>
                <w:szCs w:val="24"/>
              </w:rPr>
              <w:t>③</w:t>
            </w:r>
            <w:r>
              <w:rPr>
                <w:rFonts w:cs="Times New Roman"/>
                <w:color w:val="auto"/>
                <w:szCs w:val="24"/>
              </w:rPr>
              <w:fldChar w:fldCharType="end"/>
            </w:r>
            <w:r>
              <w:rPr>
                <w:rFonts w:hint="eastAsia" w:cs="Times New Roman"/>
                <w:b/>
                <w:color w:val="auto"/>
                <w:szCs w:val="24"/>
              </w:rPr>
              <w:t>陆生生物现状</w:t>
            </w:r>
          </w:p>
          <w:p>
            <w:pPr>
              <w:ind w:firstLine="480"/>
              <w:rPr>
                <w:rFonts w:cs="Times New Roman"/>
                <w:color w:val="auto"/>
                <w:szCs w:val="24"/>
              </w:rPr>
            </w:pPr>
            <w:r>
              <w:rPr>
                <w:rFonts w:hint="eastAsia" w:cs="Times New Roman"/>
                <w:color w:val="auto"/>
                <w:szCs w:val="24"/>
              </w:rPr>
              <w:t>区域植被覆盖单一，生物多样性水平较低。本项目所在区域人类活动较为频繁，野生动物生境大多已遭到破坏，区域内野生动物资源较少，主要为适应人类活动的常见物种，如青蛙、蟾蜍、麻雀、野鸡等，调查期间未发现列入《国家重点保护野生动物名录》（国家林业和草原局农业农村部公告2021年第3号）和《广西壮族自治区级野生重点保护动物名录》的重点保护动物。</w:t>
            </w:r>
          </w:p>
          <w:p>
            <w:pPr>
              <w:ind w:firstLine="482"/>
              <w:rPr>
                <w:rFonts w:cs="Times New Roman"/>
                <w:b/>
                <w:color w:val="auto"/>
                <w:szCs w:val="24"/>
              </w:rPr>
            </w:pPr>
            <w:r>
              <w:rPr>
                <w:rFonts w:cs="Times New Roman"/>
                <w:b/>
                <w:color w:val="auto"/>
                <w:szCs w:val="24"/>
              </w:rPr>
              <w:fldChar w:fldCharType="begin"/>
            </w:r>
            <w:r>
              <w:rPr>
                <w:rFonts w:cs="Times New Roman"/>
                <w:b/>
                <w:color w:val="auto"/>
                <w:szCs w:val="24"/>
              </w:rPr>
              <w:instrText xml:space="preserve"> </w:instrText>
            </w:r>
            <w:r>
              <w:rPr>
                <w:rFonts w:hint="eastAsia" w:cs="Times New Roman"/>
                <w:b/>
                <w:color w:val="auto"/>
                <w:szCs w:val="24"/>
              </w:rPr>
              <w:instrText xml:space="preserve">= 4 \* GB3</w:instrText>
            </w:r>
            <w:r>
              <w:rPr>
                <w:rFonts w:cs="Times New Roman"/>
                <w:b/>
                <w:color w:val="auto"/>
                <w:szCs w:val="24"/>
              </w:rPr>
              <w:instrText xml:space="preserve"> </w:instrText>
            </w:r>
            <w:r>
              <w:rPr>
                <w:rFonts w:cs="Times New Roman"/>
                <w:b/>
                <w:color w:val="auto"/>
                <w:szCs w:val="24"/>
              </w:rPr>
              <w:fldChar w:fldCharType="separate"/>
            </w:r>
            <w:r>
              <w:rPr>
                <w:rFonts w:hint="eastAsia" w:cs="Times New Roman"/>
                <w:b/>
                <w:color w:val="auto"/>
                <w:szCs w:val="24"/>
              </w:rPr>
              <w:t>④</w:t>
            </w:r>
            <w:r>
              <w:rPr>
                <w:rFonts w:cs="Times New Roman"/>
                <w:b/>
                <w:color w:val="auto"/>
                <w:szCs w:val="24"/>
              </w:rPr>
              <w:fldChar w:fldCharType="end"/>
            </w:r>
            <w:r>
              <w:rPr>
                <w:rFonts w:cs="Times New Roman"/>
                <w:b/>
                <w:color w:val="auto"/>
                <w:szCs w:val="24"/>
              </w:rPr>
              <w:t>水生生态环境现状</w:t>
            </w:r>
          </w:p>
          <w:p>
            <w:pPr>
              <w:ind w:firstLine="480"/>
              <w:rPr>
                <w:rFonts w:cs="Times New Roman"/>
                <w:color w:val="auto"/>
                <w:szCs w:val="24"/>
              </w:rPr>
            </w:pPr>
            <w:r>
              <w:rPr>
                <w:rFonts w:hint="eastAsia" w:cs="Times New Roman"/>
                <w:color w:val="auto"/>
                <w:szCs w:val="24"/>
              </w:rPr>
              <w:t>区域地表水体主要为明江、百包河、念伦水库、那板水库和坑塘等，根据调查，项目所涉及的水塘中鱼类以鲤科种类为多，常见的有：罗非鱼、草鱼、鲫鱼、鲶鱼、泥鳅、黄鱔等，其他地表水体水生动物主要鱼类有罗非鱼、鲶鱼、塘角鱼等。因此，项目所在区域水塘及其他地表水体水生动物主要鱼类有罗非鱼、鲫鱼、鲶鱼、塘角鱼等，水生植物为少量水葫芦、藻类等，均为当地常见种。项目评价区域无国家级、自治区级保护的鱼类等水生生物。</w:t>
            </w:r>
          </w:p>
          <w:p>
            <w:pPr>
              <w:ind w:firstLine="482"/>
              <w:rPr>
                <w:rFonts w:cs="Times New Roman"/>
                <w:b/>
                <w:color w:val="auto"/>
                <w:szCs w:val="24"/>
              </w:rPr>
            </w:pPr>
            <w:r>
              <w:rPr>
                <w:rFonts w:hint="eastAsia" w:cs="Times New Roman"/>
                <w:b/>
                <w:color w:val="auto"/>
                <w:szCs w:val="24"/>
              </w:rPr>
              <w:t>（4）生态敏感区调查</w:t>
            </w:r>
          </w:p>
          <w:p>
            <w:pPr>
              <w:ind w:firstLine="480"/>
              <w:rPr>
                <w:rFonts w:cs="Times New Roman"/>
                <w:szCs w:val="24"/>
              </w:rPr>
            </w:pPr>
            <w:r>
              <w:rPr>
                <w:rFonts w:hint="eastAsia" w:cs="Times New Roman"/>
                <w:szCs w:val="24"/>
              </w:rPr>
              <w:t>项目新建塔基用地不在生态保护红线范围内，JA15+1~JA16输电线路跨越</w:t>
            </w:r>
            <w:bookmarkStart w:id="10" w:name="OLE_LINK8"/>
            <w:bookmarkStart w:id="11" w:name="OLE_LINK7"/>
            <w:r>
              <w:rPr>
                <w:rFonts w:hint="eastAsia" w:cs="Times New Roman"/>
                <w:szCs w:val="24"/>
              </w:rPr>
              <w:t>十万大山水源涵养与生物多样性维护生态保护红线</w:t>
            </w:r>
            <w:bookmarkEnd w:id="10"/>
            <w:bookmarkEnd w:id="11"/>
            <w:r>
              <w:rPr>
                <w:rFonts w:hint="eastAsia" w:cs="Times New Roman"/>
                <w:szCs w:val="24"/>
              </w:rPr>
              <w:t>。该保护区是森林生态系统类型自然保护区，主要保护对象包括珍贵稀有动植物资源及其栖息地、广西南部沿海地区主要的水源涵养林。项目塔基不在生态保护红线范围内建设，导线采取无人机牵引方式，施工人员及机械不进入生态保护红线内，属于无害施工，符合生态保护红线管理要求。</w:t>
            </w:r>
          </w:p>
          <w:p>
            <w:pPr>
              <w:ind w:firstLine="482"/>
              <w:rPr>
                <w:rFonts w:cs="Times New Roman"/>
                <w:b/>
                <w:color w:val="auto"/>
                <w:szCs w:val="24"/>
              </w:rPr>
            </w:pPr>
            <w:r>
              <w:rPr>
                <w:rFonts w:hint="eastAsia" w:cs="Times New Roman"/>
                <w:b/>
                <w:color w:val="auto"/>
                <w:szCs w:val="24"/>
              </w:rPr>
              <w:t>2、环境空气质量现状</w:t>
            </w:r>
          </w:p>
          <w:p>
            <w:pPr>
              <w:ind w:firstLine="480"/>
              <w:rPr>
                <w:rFonts w:cs="Times New Roman"/>
                <w:color w:val="auto"/>
                <w:szCs w:val="24"/>
              </w:rPr>
            </w:pPr>
            <w:r>
              <w:rPr>
                <w:rFonts w:hint="eastAsia" w:cs="Times New Roman"/>
                <w:color w:val="auto"/>
                <w:szCs w:val="24"/>
              </w:rPr>
              <w:t>项目位于防城港市上思县，属于环境空气二类功能区，环境空气质量执行《环境空气质量标准》（</w:t>
            </w:r>
            <w:r>
              <w:rPr>
                <w:rFonts w:cs="Times New Roman"/>
                <w:color w:val="auto"/>
                <w:szCs w:val="24"/>
              </w:rPr>
              <w:t>GB3095-2012</w:t>
            </w:r>
            <w:r>
              <w:rPr>
                <w:rFonts w:hint="eastAsia" w:cs="Times New Roman"/>
                <w:color w:val="auto"/>
                <w:szCs w:val="24"/>
              </w:rPr>
              <w:t>）二级标准。</w:t>
            </w:r>
          </w:p>
          <w:p>
            <w:pPr>
              <w:ind w:firstLine="480"/>
              <w:rPr>
                <w:rFonts w:cs="Times New Roman"/>
                <w:color w:val="auto"/>
                <w:szCs w:val="24"/>
              </w:rPr>
            </w:pPr>
            <w:r>
              <w:rPr>
                <w:rFonts w:hint="eastAsia" w:cs="Times New Roman"/>
                <w:color w:val="auto"/>
                <w:szCs w:val="24"/>
              </w:rPr>
              <w:t>根据广西壮族自治区生态环境厅公开的《自治区生态环境厅关于通报2024年设区市及各县（市、区）环境空气质量的函》（桂环函〔2025〕66号），2024年上思县环境空气中各污染物平均浓度均达到《环境空气质量标准》二级标准，项目所在区域为环境空气质量达标区。具体见下表3-1。</w:t>
            </w:r>
          </w:p>
          <w:p>
            <w:pPr>
              <w:spacing w:line="240" w:lineRule="auto"/>
              <w:ind w:firstLine="0" w:firstLineChars="0"/>
              <w:jc w:val="center"/>
              <w:rPr>
                <w:rFonts w:cs="Times New Roman"/>
                <w:b/>
                <w:bCs/>
                <w:color w:val="auto"/>
                <w:szCs w:val="24"/>
              </w:rPr>
            </w:pPr>
            <w:r>
              <w:rPr>
                <w:rFonts w:hint="eastAsia" w:cs="Times New Roman"/>
                <w:b/>
                <w:bCs/>
                <w:color w:val="auto"/>
                <w:szCs w:val="24"/>
              </w:rPr>
              <w:t>表</w:t>
            </w:r>
            <w:r>
              <w:rPr>
                <w:rFonts w:cs="Times New Roman"/>
                <w:b/>
                <w:bCs/>
                <w:color w:val="auto"/>
                <w:szCs w:val="24"/>
              </w:rPr>
              <w:t>3-</w:t>
            </w:r>
            <w:r>
              <w:rPr>
                <w:rFonts w:hint="eastAsia" w:cs="Times New Roman"/>
                <w:b/>
                <w:bCs/>
                <w:color w:val="auto"/>
                <w:szCs w:val="24"/>
              </w:rPr>
              <w:t>1</w:t>
            </w:r>
            <w:r>
              <w:rPr>
                <w:rFonts w:cs="Times New Roman"/>
                <w:b/>
                <w:bCs/>
                <w:color w:val="auto"/>
                <w:szCs w:val="24"/>
              </w:rPr>
              <w:t xml:space="preserve"> 202</w:t>
            </w:r>
            <w:r>
              <w:rPr>
                <w:rFonts w:hint="eastAsia" w:cs="Times New Roman"/>
                <w:b/>
                <w:bCs/>
                <w:color w:val="auto"/>
                <w:szCs w:val="24"/>
              </w:rPr>
              <w:t>4年上思县环境空气质量现状评价表</w:t>
            </w:r>
          </w:p>
          <w:tbl>
            <w:tblPr>
              <w:tblStyle w:val="1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49"/>
              <w:gridCol w:w="2330"/>
              <w:gridCol w:w="1286"/>
              <w:gridCol w:w="1224"/>
              <w:gridCol w:w="1079"/>
              <w:gridCol w:w="12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污染物</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年评价指标</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现状浓度</w:t>
                  </w:r>
                </w:p>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w:t>
                  </w:r>
                  <w:r>
                    <w:rPr>
                      <w:rFonts w:cs="Times New Roman"/>
                      <w:b/>
                      <w:bCs/>
                      <w:color w:val="auto"/>
                      <w:sz w:val="21"/>
                      <w:szCs w:val="21"/>
                    </w:rPr>
                    <w:t>µg/m</w:t>
                  </w:r>
                  <w:r>
                    <w:rPr>
                      <w:rFonts w:cs="Times New Roman"/>
                      <w:b/>
                      <w:bCs/>
                      <w:color w:val="auto"/>
                      <w:sz w:val="21"/>
                      <w:szCs w:val="21"/>
                      <w:vertAlign w:val="superscript"/>
                    </w:rPr>
                    <w:t>3</w:t>
                  </w:r>
                  <w:r>
                    <w:rPr>
                      <w:rFonts w:hint="eastAsia" w:cs="Times New Roman"/>
                      <w:b/>
                      <w:bCs/>
                      <w:color w:val="auto"/>
                      <w:sz w:val="21"/>
                      <w:szCs w:val="21"/>
                    </w:rPr>
                    <w:t>）</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标准值</w:t>
                  </w:r>
                </w:p>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w:t>
                  </w:r>
                  <w:r>
                    <w:rPr>
                      <w:rFonts w:cs="Times New Roman"/>
                      <w:b/>
                      <w:bCs/>
                      <w:color w:val="auto"/>
                      <w:sz w:val="21"/>
                      <w:szCs w:val="21"/>
                    </w:rPr>
                    <w:t>µg/m</w:t>
                  </w:r>
                  <w:r>
                    <w:rPr>
                      <w:rFonts w:cs="Times New Roman"/>
                      <w:b/>
                      <w:bCs/>
                      <w:color w:val="auto"/>
                      <w:sz w:val="21"/>
                      <w:szCs w:val="21"/>
                      <w:vertAlign w:val="superscript"/>
                    </w:rPr>
                    <w:t>3</w:t>
                  </w:r>
                  <w:r>
                    <w:rPr>
                      <w:rFonts w:hint="eastAsia" w:cs="Times New Roman"/>
                      <w:b/>
                      <w:bCs/>
                      <w:color w:val="auto"/>
                      <w:sz w:val="21"/>
                      <w:szCs w:val="21"/>
                    </w:rPr>
                    <w:t>）</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占标率（</w:t>
                  </w:r>
                  <w:r>
                    <w:rPr>
                      <w:rFonts w:cs="Times New Roman"/>
                      <w:b/>
                      <w:bCs/>
                      <w:color w:val="auto"/>
                      <w:sz w:val="21"/>
                      <w:szCs w:val="21"/>
                    </w:rPr>
                    <w:t>%</w:t>
                  </w:r>
                  <w:r>
                    <w:rPr>
                      <w:rFonts w:hint="eastAsia" w:cs="Times New Roman"/>
                      <w:b/>
                      <w:bCs/>
                      <w:color w:val="auto"/>
                      <w:sz w:val="21"/>
                      <w:szCs w:val="21"/>
                    </w:rPr>
                    <w:t>）</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b/>
                      <w:bCs/>
                      <w:color w:val="auto"/>
                      <w:sz w:val="21"/>
                      <w:szCs w:val="21"/>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SO</w:t>
                  </w:r>
                  <w:r>
                    <w:rPr>
                      <w:rFonts w:cs="Times New Roman"/>
                      <w:color w:val="auto"/>
                      <w:sz w:val="21"/>
                      <w:szCs w:val="21"/>
                      <w:vertAlign w:val="subscript"/>
                    </w:rPr>
                    <w:t>2</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年平均</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cs="Times New Roman"/>
                      <w:sz w:val="21"/>
                      <w:szCs w:val="21"/>
                    </w:rPr>
                    <w:t>6</w:t>
                  </w:r>
                  <w:r>
                    <w:rPr>
                      <w:rFonts w:hint="eastAsia" w:cs="Times New Roman"/>
                      <w:sz w:val="21"/>
                      <w:szCs w:val="21"/>
                    </w:rPr>
                    <w:t>0</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5.0</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NO</w:t>
                  </w:r>
                  <w:r>
                    <w:rPr>
                      <w:rFonts w:cs="Times New Roman"/>
                      <w:color w:val="auto"/>
                      <w:sz w:val="21"/>
                      <w:szCs w:val="21"/>
                      <w:vertAlign w:val="subscript"/>
                    </w:rPr>
                    <w:t>2</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年平均</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11</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cs="Times New Roman"/>
                      <w:sz w:val="21"/>
                      <w:szCs w:val="21"/>
                    </w:rPr>
                    <w:t>40</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27.5</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10</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年平均</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42</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cs="Times New Roman"/>
                      <w:sz w:val="21"/>
                      <w:szCs w:val="21"/>
                    </w:rPr>
                    <w:t>70</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60</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2.5</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年平均</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Cs/>
                      <w:sz w:val="21"/>
                      <w:szCs w:val="21"/>
                    </w:rPr>
                  </w:pPr>
                  <w:r>
                    <w:rPr>
                      <w:rFonts w:hint="eastAsia" w:cs="Times New Roman"/>
                      <w:bCs/>
                      <w:sz w:val="21"/>
                      <w:szCs w:val="21"/>
                    </w:rPr>
                    <w:t>24</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Cs/>
                      <w:sz w:val="21"/>
                      <w:szCs w:val="21"/>
                    </w:rPr>
                  </w:pPr>
                  <w:r>
                    <w:rPr>
                      <w:rFonts w:cs="Times New Roman"/>
                      <w:bCs/>
                      <w:sz w:val="21"/>
                      <w:szCs w:val="21"/>
                    </w:rPr>
                    <w:t>35</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Cs/>
                      <w:sz w:val="21"/>
                      <w:szCs w:val="21"/>
                    </w:rPr>
                  </w:pPr>
                  <w:r>
                    <w:rPr>
                      <w:rFonts w:hint="eastAsia" w:cs="Times New Roman"/>
                      <w:bCs/>
                      <w:sz w:val="21"/>
                      <w:szCs w:val="21"/>
                    </w:rPr>
                    <w:t>68.6</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b/>
                      <w:bCs/>
                      <w:color w:val="auto"/>
                      <w:sz w:val="21"/>
                      <w:szCs w:val="21"/>
                    </w:rPr>
                  </w:pPr>
                  <w:r>
                    <w:rPr>
                      <w:rFonts w:hint="eastAsia" w:cs="Times New Roman"/>
                      <w:color w:val="auto"/>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C</w:t>
                  </w:r>
                  <w:r>
                    <w:rPr>
                      <w:rFonts w:hint="eastAsia" w:cs="Times New Roman"/>
                      <w:color w:val="auto"/>
                      <w:sz w:val="21"/>
                      <w:szCs w:val="21"/>
                    </w:rPr>
                    <w:t>O</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24</w:t>
                  </w:r>
                  <w:r>
                    <w:rPr>
                      <w:rFonts w:hint="eastAsia" w:cs="Times New Roman"/>
                      <w:color w:val="auto"/>
                      <w:sz w:val="21"/>
                      <w:szCs w:val="21"/>
                    </w:rPr>
                    <w:t>小时平均第</w:t>
                  </w:r>
                  <w:r>
                    <w:rPr>
                      <w:rFonts w:cs="Times New Roman"/>
                      <w:color w:val="auto"/>
                      <w:sz w:val="21"/>
                      <w:szCs w:val="21"/>
                    </w:rPr>
                    <w:t>95</w:t>
                  </w:r>
                  <w:r>
                    <w:rPr>
                      <w:rFonts w:hint="eastAsia" w:cs="Times New Roman"/>
                      <w:color w:val="auto"/>
                      <w:sz w:val="21"/>
                      <w:szCs w:val="21"/>
                    </w:rPr>
                    <w:t>百分位数</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1.0</w:t>
                  </w:r>
                  <w:r>
                    <w:rPr>
                      <w:rFonts w:cs="Times New Roman"/>
                      <w:sz w:val="21"/>
                      <w:szCs w:val="21"/>
                    </w:rPr>
                    <w:t>mg/m</w:t>
                  </w:r>
                  <w:r>
                    <w:rPr>
                      <w:rFonts w:cs="Times New Roman"/>
                      <w:sz w:val="21"/>
                      <w:szCs w:val="21"/>
                      <w:vertAlign w:val="superscript"/>
                    </w:rPr>
                    <w:t>3</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cs="Times New Roman"/>
                      <w:sz w:val="21"/>
                      <w:szCs w:val="21"/>
                    </w:rPr>
                    <w:t>4.0 mg/m</w:t>
                  </w:r>
                  <w:r>
                    <w:rPr>
                      <w:rFonts w:cs="Times New Roman"/>
                      <w:sz w:val="21"/>
                      <w:szCs w:val="21"/>
                      <w:vertAlign w:val="superscript"/>
                    </w:rPr>
                    <w:t>3</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25.0</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28"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O</w:t>
                  </w:r>
                  <w:r>
                    <w:rPr>
                      <w:rFonts w:cs="Times New Roman"/>
                      <w:color w:val="auto"/>
                      <w:sz w:val="21"/>
                      <w:szCs w:val="21"/>
                      <w:vertAlign w:val="subscript"/>
                    </w:rPr>
                    <w:t>3</w:t>
                  </w:r>
                </w:p>
              </w:tc>
              <w:tc>
                <w:tcPr>
                  <w:tcW w:w="1449"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日最大</w:t>
                  </w:r>
                  <w:r>
                    <w:rPr>
                      <w:rFonts w:cs="Times New Roman"/>
                      <w:color w:val="auto"/>
                      <w:sz w:val="21"/>
                      <w:szCs w:val="21"/>
                    </w:rPr>
                    <w:t>8</w:t>
                  </w:r>
                  <w:r>
                    <w:rPr>
                      <w:rFonts w:hint="eastAsia" w:cs="Times New Roman"/>
                      <w:color w:val="auto"/>
                      <w:sz w:val="21"/>
                      <w:szCs w:val="21"/>
                    </w:rPr>
                    <w:t>小时滑动平均值的第</w:t>
                  </w:r>
                  <w:r>
                    <w:rPr>
                      <w:rFonts w:cs="Times New Roman"/>
                      <w:color w:val="auto"/>
                      <w:sz w:val="21"/>
                      <w:szCs w:val="21"/>
                    </w:rPr>
                    <w:t>90</w:t>
                  </w:r>
                  <w:r>
                    <w:rPr>
                      <w:rFonts w:hint="eastAsia" w:cs="Times New Roman"/>
                      <w:color w:val="auto"/>
                      <w:sz w:val="21"/>
                      <w:szCs w:val="21"/>
                    </w:rPr>
                    <w:t>百分位数</w:t>
                  </w:r>
                </w:p>
              </w:tc>
              <w:tc>
                <w:tcPr>
                  <w:tcW w:w="800"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128</w:t>
                  </w:r>
                </w:p>
              </w:tc>
              <w:tc>
                <w:tcPr>
                  <w:tcW w:w="76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cs="Times New Roman"/>
                      <w:sz w:val="21"/>
                      <w:szCs w:val="21"/>
                    </w:rPr>
                    <w:t>1</w:t>
                  </w:r>
                  <w:r>
                    <w:rPr>
                      <w:rFonts w:hint="eastAsia" w:cs="Times New Roman"/>
                      <w:sz w:val="21"/>
                      <w:szCs w:val="21"/>
                    </w:rPr>
                    <w:t>60</w:t>
                  </w:r>
                </w:p>
              </w:tc>
              <w:tc>
                <w:tcPr>
                  <w:tcW w:w="67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sz w:val="21"/>
                      <w:szCs w:val="21"/>
                    </w:rPr>
                  </w:pPr>
                  <w:r>
                    <w:rPr>
                      <w:rFonts w:hint="eastAsia" w:cs="Times New Roman"/>
                      <w:sz w:val="21"/>
                      <w:szCs w:val="21"/>
                    </w:rPr>
                    <w:t>80.0</w:t>
                  </w:r>
                </w:p>
              </w:tc>
              <w:tc>
                <w:tcPr>
                  <w:tcW w:w="791" w:type="pct"/>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达标</w:t>
                  </w:r>
                </w:p>
              </w:tc>
            </w:tr>
          </w:tbl>
          <w:p>
            <w:pPr>
              <w:ind w:firstLine="480"/>
              <w:rPr>
                <w:rFonts w:cs="Times New Roman"/>
                <w:color w:val="auto"/>
                <w:szCs w:val="24"/>
              </w:rPr>
            </w:pPr>
            <w:r>
              <w:rPr>
                <w:rFonts w:hint="eastAsia" w:cs="Times New Roman"/>
                <w:color w:val="auto"/>
                <w:szCs w:val="24"/>
              </w:rPr>
              <w:t>根据《环境影响评价技术导则大气环境》（</w:t>
            </w:r>
            <w:r>
              <w:rPr>
                <w:rFonts w:cs="Times New Roman"/>
                <w:color w:val="auto"/>
                <w:szCs w:val="24"/>
              </w:rPr>
              <w:t>HJ2.2-2018</w:t>
            </w:r>
            <w:r>
              <w:rPr>
                <w:rFonts w:hint="eastAsia" w:cs="Times New Roman"/>
                <w:color w:val="auto"/>
                <w:szCs w:val="24"/>
              </w:rPr>
              <w:t>）要求，城市环境空气达标情况评价指标为</w:t>
            </w:r>
            <w:r>
              <w:rPr>
                <w:rFonts w:cs="Times New Roman"/>
                <w:color w:val="auto"/>
                <w:szCs w:val="24"/>
              </w:rPr>
              <w:t>SO</w:t>
            </w:r>
            <w:r>
              <w:rPr>
                <w:rFonts w:cs="Times New Roman"/>
                <w:color w:val="auto"/>
                <w:szCs w:val="24"/>
                <w:vertAlign w:val="subscript"/>
              </w:rPr>
              <w:t>2</w:t>
            </w:r>
            <w:r>
              <w:rPr>
                <w:rFonts w:hint="eastAsia" w:cs="Times New Roman"/>
                <w:color w:val="auto"/>
                <w:szCs w:val="24"/>
              </w:rPr>
              <w:t>、</w:t>
            </w:r>
            <w:r>
              <w:rPr>
                <w:rFonts w:cs="Times New Roman"/>
                <w:color w:val="auto"/>
                <w:szCs w:val="24"/>
              </w:rPr>
              <w:t>NO</w:t>
            </w:r>
            <w:r>
              <w:rPr>
                <w:rFonts w:cs="Times New Roman"/>
                <w:color w:val="auto"/>
                <w:szCs w:val="24"/>
                <w:vertAlign w:val="subscript"/>
              </w:rPr>
              <w:t>2</w:t>
            </w:r>
            <w:r>
              <w:rPr>
                <w:rFonts w:hint="eastAsia" w:cs="Times New Roman"/>
                <w:color w:val="auto"/>
                <w:szCs w:val="24"/>
              </w:rPr>
              <w:t>、</w:t>
            </w:r>
            <w:r>
              <w:rPr>
                <w:rFonts w:cs="Times New Roman"/>
                <w:color w:val="auto"/>
                <w:szCs w:val="24"/>
              </w:rPr>
              <w:t>PM</w:t>
            </w:r>
            <w:r>
              <w:rPr>
                <w:rFonts w:cs="Times New Roman"/>
                <w:color w:val="auto"/>
                <w:szCs w:val="24"/>
                <w:vertAlign w:val="subscript"/>
              </w:rPr>
              <w:t>10</w:t>
            </w:r>
            <w:r>
              <w:rPr>
                <w:rFonts w:hint="eastAsia" w:cs="Times New Roman"/>
                <w:color w:val="auto"/>
                <w:szCs w:val="24"/>
              </w:rPr>
              <w:t>、</w:t>
            </w:r>
            <w:r>
              <w:rPr>
                <w:rFonts w:cs="Times New Roman"/>
                <w:color w:val="auto"/>
                <w:szCs w:val="24"/>
              </w:rPr>
              <w:t>PM</w:t>
            </w:r>
            <w:r>
              <w:rPr>
                <w:rFonts w:cs="Times New Roman"/>
                <w:color w:val="auto"/>
                <w:szCs w:val="24"/>
                <w:vertAlign w:val="subscript"/>
              </w:rPr>
              <w:t>2.5</w:t>
            </w:r>
            <w:r>
              <w:rPr>
                <w:rFonts w:hint="eastAsia" w:cs="Times New Roman"/>
                <w:color w:val="auto"/>
                <w:szCs w:val="24"/>
              </w:rPr>
              <w:t>、</w:t>
            </w:r>
            <w:r>
              <w:rPr>
                <w:rFonts w:cs="Times New Roman"/>
                <w:color w:val="auto"/>
                <w:szCs w:val="24"/>
              </w:rPr>
              <w:t>CO</w:t>
            </w:r>
            <w:r>
              <w:rPr>
                <w:rFonts w:hint="eastAsia" w:cs="Times New Roman"/>
                <w:color w:val="auto"/>
                <w:szCs w:val="24"/>
              </w:rPr>
              <w:t>和</w:t>
            </w:r>
            <w:r>
              <w:rPr>
                <w:rFonts w:cs="Times New Roman"/>
                <w:color w:val="auto"/>
                <w:szCs w:val="24"/>
              </w:rPr>
              <w:t>O</w:t>
            </w:r>
            <w:r>
              <w:rPr>
                <w:rFonts w:cs="Times New Roman"/>
                <w:color w:val="auto"/>
                <w:szCs w:val="24"/>
                <w:vertAlign w:val="subscript"/>
              </w:rPr>
              <w:t>3</w:t>
            </w:r>
            <w:r>
              <w:rPr>
                <w:rFonts w:hint="eastAsia" w:cs="Times New Roman"/>
                <w:color w:val="auto"/>
                <w:szCs w:val="24"/>
              </w:rPr>
              <w:t>，六项污染物全部达标即为城市环境空气质量达标。由上表</w:t>
            </w:r>
            <w:r>
              <w:rPr>
                <w:rFonts w:cs="Times New Roman"/>
                <w:color w:val="auto"/>
                <w:szCs w:val="24"/>
              </w:rPr>
              <w:t>3-</w:t>
            </w:r>
            <w:r>
              <w:rPr>
                <w:rFonts w:hint="eastAsia" w:cs="Times New Roman"/>
                <w:color w:val="auto"/>
                <w:szCs w:val="24"/>
              </w:rPr>
              <w:t>1可知，项目所在区域六项污染物环境质量现状均满足《环境空气质量标准》（</w:t>
            </w:r>
            <w:r>
              <w:rPr>
                <w:rFonts w:cs="Times New Roman"/>
                <w:color w:val="auto"/>
                <w:szCs w:val="24"/>
              </w:rPr>
              <w:t>GB3095-2012</w:t>
            </w:r>
            <w:r>
              <w:rPr>
                <w:rFonts w:hint="eastAsia" w:cs="Times New Roman"/>
                <w:color w:val="auto"/>
                <w:szCs w:val="24"/>
              </w:rPr>
              <w:t>）及其修改单的二级标准，区域为达标区。</w:t>
            </w:r>
          </w:p>
          <w:p>
            <w:pPr>
              <w:ind w:firstLine="482"/>
              <w:rPr>
                <w:rFonts w:cs="Times New Roman"/>
                <w:b/>
                <w:color w:val="auto"/>
                <w:szCs w:val="24"/>
              </w:rPr>
            </w:pPr>
            <w:r>
              <w:rPr>
                <w:rFonts w:cs="Times New Roman"/>
                <w:b/>
                <w:color w:val="auto"/>
                <w:szCs w:val="24"/>
              </w:rPr>
              <w:t>3</w:t>
            </w:r>
            <w:r>
              <w:rPr>
                <w:rFonts w:hint="eastAsia" w:cs="Times New Roman"/>
                <w:b/>
                <w:color w:val="auto"/>
                <w:szCs w:val="24"/>
              </w:rPr>
              <w:t>、地表水环境质量现状</w:t>
            </w:r>
          </w:p>
          <w:p>
            <w:pPr>
              <w:ind w:firstLine="480"/>
              <w:rPr>
                <w:rFonts w:cs="Times New Roman"/>
                <w:color w:val="auto"/>
                <w:szCs w:val="24"/>
              </w:rPr>
            </w:pPr>
            <w:r>
              <w:rPr>
                <w:rFonts w:hint="eastAsia" w:cs="Times New Roman"/>
                <w:color w:val="auto"/>
                <w:szCs w:val="24"/>
              </w:rPr>
              <w:t>项目所在区域地表水体主要为明江及其支流百包河、那板水库，根据防城港市生态环境局网站公布的防城港市2025年7月份生态环境质量状况，2025年7月地表水水质监测结果，明江那弄断面达到《地表水环境质量标准》(GB3838-2002）的Ⅱ类标准。</w:t>
            </w:r>
          </w:p>
          <w:p>
            <w:pPr>
              <w:ind w:firstLine="482"/>
              <w:rPr>
                <w:rFonts w:cs="Times New Roman"/>
                <w:b/>
                <w:color w:val="auto"/>
                <w:szCs w:val="24"/>
              </w:rPr>
            </w:pPr>
            <w:r>
              <w:rPr>
                <w:rFonts w:cs="Times New Roman"/>
                <w:b/>
                <w:color w:val="auto"/>
                <w:szCs w:val="24"/>
              </w:rPr>
              <w:t>4</w:t>
            </w:r>
            <w:r>
              <w:rPr>
                <w:rFonts w:hint="eastAsia" w:cs="Times New Roman"/>
                <w:b/>
                <w:color w:val="auto"/>
                <w:szCs w:val="24"/>
              </w:rPr>
              <w:t>、声环境质量现状</w:t>
            </w:r>
          </w:p>
          <w:p>
            <w:pPr>
              <w:ind w:firstLine="480"/>
              <w:rPr>
                <w:rFonts w:cs="Times New Roman"/>
                <w:color w:val="auto"/>
                <w:szCs w:val="24"/>
              </w:rPr>
            </w:pPr>
            <w:r>
              <w:rPr>
                <w:rFonts w:hint="eastAsia" w:cs="Times New Roman"/>
                <w:color w:val="auto"/>
                <w:szCs w:val="24"/>
              </w:rPr>
              <w:t>项目位于农村地区，属于</w:t>
            </w:r>
            <w:r>
              <w:rPr>
                <w:rFonts w:cs="Times New Roman"/>
                <w:color w:val="auto"/>
                <w:szCs w:val="24"/>
              </w:rPr>
              <w:t>1</w:t>
            </w:r>
            <w:r>
              <w:rPr>
                <w:rFonts w:hint="eastAsia" w:cs="Times New Roman"/>
                <w:color w:val="auto"/>
                <w:szCs w:val="24"/>
              </w:rPr>
              <w:t>类声环境功能区，执行《声环境质量标准》（</w:t>
            </w:r>
            <w:r>
              <w:rPr>
                <w:rFonts w:cs="Times New Roman"/>
                <w:color w:val="auto"/>
                <w:szCs w:val="24"/>
              </w:rPr>
              <w:t>GB3096-2008</w:t>
            </w:r>
            <w:r>
              <w:rPr>
                <w:rFonts w:hint="eastAsia" w:cs="Times New Roman"/>
                <w:color w:val="auto"/>
                <w:szCs w:val="24"/>
              </w:rPr>
              <w:t>）</w:t>
            </w:r>
            <w:r>
              <w:rPr>
                <w:rFonts w:cs="Times New Roman"/>
                <w:color w:val="auto"/>
                <w:szCs w:val="24"/>
              </w:rPr>
              <w:t>1</w:t>
            </w:r>
            <w:r>
              <w:rPr>
                <w:rFonts w:hint="eastAsia" w:cs="Times New Roman"/>
                <w:color w:val="auto"/>
                <w:szCs w:val="24"/>
              </w:rPr>
              <w:t>类标准。</w:t>
            </w:r>
          </w:p>
          <w:p>
            <w:pPr>
              <w:ind w:firstLine="480"/>
              <w:rPr>
                <w:rFonts w:cs="Times New Roman"/>
                <w:color w:val="auto"/>
                <w:szCs w:val="24"/>
              </w:rPr>
            </w:pPr>
            <w:r>
              <w:rPr>
                <w:rFonts w:hint="eastAsia" w:cs="Times New Roman"/>
                <w:color w:val="auto"/>
                <w:szCs w:val="24"/>
              </w:rPr>
              <w:t>根据《建设项目环评影响报告表编制技术指南》（生态影响类）（试行）的相关要求，为了解项目所在区域声环境质量，委托广西恒沁检测科技有限公司于</w:t>
            </w:r>
            <w:r>
              <w:rPr>
                <w:rFonts w:cs="Times New Roman"/>
                <w:color w:val="auto"/>
                <w:szCs w:val="24"/>
              </w:rPr>
              <w:t>202</w:t>
            </w:r>
            <w:r>
              <w:rPr>
                <w:rFonts w:hint="eastAsia" w:cs="Times New Roman"/>
                <w:color w:val="auto"/>
                <w:szCs w:val="24"/>
              </w:rPr>
              <w:t>5年8月17日对项目现场进行声环境质量现状监测，监测报告见附件10。</w:t>
            </w:r>
          </w:p>
          <w:p>
            <w:pPr>
              <w:ind w:firstLine="480"/>
              <w:rPr>
                <w:rFonts w:cs="Times New Roman"/>
                <w:color w:val="auto"/>
                <w:szCs w:val="24"/>
              </w:rPr>
            </w:pPr>
            <w:r>
              <w:rPr>
                <w:rFonts w:hint="eastAsia" w:cs="Times New Roman"/>
                <w:color w:val="auto"/>
                <w:szCs w:val="24"/>
              </w:rPr>
              <w:t>（</w:t>
            </w:r>
            <w:r>
              <w:rPr>
                <w:rFonts w:cs="Times New Roman"/>
                <w:color w:val="auto"/>
                <w:szCs w:val="24"/>
              </w:rPr>
              <w:t>1</w:t>
            </w:r>
            <w:r>
              <w:rPr>
                <w:rFonts w:hint="eastAsia" w:cs="Times New Roman"/>
                <w:color w:val="auto"/>
                <w:szCs w:val="24"/>
              </w:rPr>
              <w:t>）监测布点</w:t>
            </w:r>
          </w:p>
          <w:p>
            <w:pPr>
              <w:ind w:firstLine="480"/>
              <w:rPr>
                <w:rFonts w:cs="Times New Roman"/>
                <w:color w:val="auto"/>
                <w:szCs w:val="24"/>
              </w:rPr>
            </w:pPr>
            <w:r>
              <w:rPr>
                <w:rFonts w:hint="eastAsia" w:cs="Times New Roman"/>
                <w:color w:val="auto"/>
                <w:szCs w:val="24"/>
              </w:rPr>
              <w:t>根据项目输电线路及茶花变电站周边环境保护目标分布情况，本次评价设4个环境噪声监测点，</w:t>
            </w:r>
            <w:r>
              <w:rPr>
                <w:rFonts w:cs="Times New Roman"/>
                <w:color w:val="auto"/>
                <w:szCs w:val="24"/>
              </w:rPr>
              <w:t>详见下表</w:t>
            </w:r>
            <w:r>
              <w:rPr>
                <w:rFonts w:hint="eastAsia" w:cs="Times New Roman"/>
                <w:color w:val="auto"/>
                <w:szCs w:val="24"/>
              </w:rPr>
              <w:t>3-2。</w:t>
            </w:r>
          </w:p>
          <w:p>
            <w:pPr>
              <w:spacing w:line="240" w:lineRule="auto"/>
              <w:ind w:firstLine="0" w:firstLineChars="0"/>
              <w:jc w:val="center"/>
              <w:rPr>
                <w:rFonts w:cs="Times New Roman"/>
                <w:b/>
                <w:color w:val="auto"/>
                <w:sz w:val="21"/>
                <w:szCs w:val="21"/>
              </w:rPr>
            </w:pPr>
            <w:r>
              <w:rPr>
                <w:rFonts w:cs="Times New Roman"/>
                <w:b/>
                <w:color w:val="auto"/>
                <w:sz w:val="21"/>
                <w:szCs w:val="21"/>
              </w:rPr>
              <w:t>表</w:t>
            </w:r>
            <w:r>
              <w:rPr>
                <w:rFonts w:hint="eastAsia" w:cs="Times New Roman"/>
                <w:b/>
                <w:color w:val="auto"/>
                <w:sz w:val="21"/>
                <w:szCs w:val="21"/>
              </w:rPr>
              <w:t xml:space="preserve">3-2 </w:t>
            </w:r>
            <w:r>
              <w:rPr>
                <w:rFonts w:cs="Times New Roman"/>
                <w:b/>
                <w:color w:val="auto"/>
                <w:sz w:val="21"/>
                <w:szCs w:val="21"/>
              </w:rPr>
              <w:t>噪声监测点布设情况</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1"/>
              <w:gridCol w:w="4320"/>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编号</w:t>
                  </w:r>
                </w:p>
              </w:tc>
              <w:tc>
                <w:tcPr>
                  <w:tcW w:w="268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监测点位</w:t>
                  </w:r>
                </w:p>
              </w:tc>
              <w:tc>
                <w:tcPr>
                  <w:tcW w:w="140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监测项目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pct"/>
                  <w:vAlign w:val="center"/>
                </w:tcPr>
                <w:p>
                  <w:pPr>
                    <w:spacing w:line="240" w:lineRule="auto"/>
                    <w:ind w:firstLine="0" w:firstLineChars="0"/>
                    <w:jc w:val="center"/>
                    <w:rPr>
                      <w:rFonts w:cs="Times New Roman"/>
                      <w:sz w:val="21"/>
                      <w:szCs w:val="21"/>
                    </w:rPr>
                  </w:pPr>
                  <w:r>
                    <w:rPr>
                      <w:rFonts w:cs="Times New Roman"/>
                      <w:sz w:val="21"/>
                      <w:szCs w:val="21"/>
                    </w:rPr>
                    <w:t>N1</w:t>
                  </w:r>
                </w:p>
              </w:tc>
              <w:tc>
                <w:tcPr>
                  <w:tcW w:w="2685" w:type="pct"/>
                  <w:vAlign w:val="center"/>
                </w:tcPr>
                <w:p>
                  <w:pPr>
                    <w:spacing w:line="240" w:lineRule="auto"/>
                    <w:ind w:firstLine="0" w:firstLineChars="0"/>
                    <w:jc w:val="center"/>
                    <w:rPr>
                      <w:rFonts w:cs="Times New Roman"/>
                      <w:sz w:val="21"/>
                      <w:szCs w:val="21"/>
                    </w:rPr>
                  </w:pPr>
                  <w:r>
                    <w:rPr>
                      <w:rFonts w:cs="Times New Roman"/>
                      <w:sz w:val="21"/>
                      <w:szCs w:val="21"/>
                    </w:rPr>
                    <w:t>茶花变电站220kV备用间隔处</w:t>
                  </w:r>
                </w:p>
              </w:tc>
              <w:tc>
                <w:tcPr>
                  <w:tcW w:w="1407" w:type="pct"/>
                  <w:vMerge w:val="restar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等效连续A 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pct"/>
                  <w:vAlign w:val="center"/>
                </w:tcPr>
                <w:p>
                  <w:pPr>
                    <w:spacing w:line="240" w:lineRule="auto"/>
                    <w:ind w:firstLine="0" w:firstLineChars="0"/>
                    <w:jc w:val="center"/>
                    <w:rPr>
                      <w:rFonts w:cs="Times New Roman"/>
                      <w:sz w:val="21"/>
                      <w:szCs w:val="21"/>
                    </w:rPr>
                  </w:pPr>
                  <w:r>
                    <w:rPr>
                      <w:rFonts w:cs="Times New Roman"/>
                      <w:sz w:val="21"/>
                      <w:szCs w:val="21"/>
                    </w:rPr>
                    <w:t>N2</w:t>
                  </w:r>
                </w:p>
              </w:tc>
              <w:tc>
                <w:tcPr>
                  <w:tcW w:w="2685" w:type="pct"/>
                  <w:vAlign w:val="center"/>
                </w:tcPr>
                <w:p>
                  <w:pPr>
                    <w:spacing w:line="240" w:lineRule="auto"/>
                    <w:ind w:firstLine="0" w:firstLineChars="0"/>
                    <w:jc w:val="center"/>
                    <w:rPr>
                      <w:rFonts w:cs="Times New Roman"/>
                      <w:sz w:val="21"/>
                      <w:szCs w:val="21"/>
                    </w:rPr>
                  </w:pPr>
                  <w:r>
                    <w:rPr>
                      <w:rFonts w:cs="Times New Roman"/>
                      <w:sz w:val="21"/>
                      <w:szCs w:val="21"/>
                    </w:rPr>
                    <w:t>JA29塔基附近民房</w:t>
                  </w:r>
                </w:p>
              </w:tc>
              <w:tc>
                <w:tcPr>
                  <w:tcW w:w="1407" w:type="pct"/>
                  <w:vMerge w:val="continue"/>
                  <w:vAlign w:val="center"/>
                </w:tcPr>
                <w:p>
                  <w:pPr>
                    <w:spacing w:line="240" w:lineRule="auto"/>
                    <w:ind w:firstLine="0" w:firstLineChars="0"/>
                    <w:jc w:val="center"/>
                    <w:rPr>
                      <w:rFonts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08" w:type="pct"/>
                  <w:vAlign w:val="center"/>
                </w:tcPr>
                <w:p>
                  <w:pPr>
                    <w:spacing w:line="240" w:lineRule="auto"/>
                    <w:ind w:firstLine="0" w:firstLineChars="0"/>
                    <w:jc w:val="center"/>
                    <w:rPr>
                      <w:rFonts w:cs="Times New Roman"/>
                      <w:sz w:val="21"/>
                      <w:szCs w:val="21"/>
                    </w:rPr>
                  </w:pPr>
                  <w:r>
                    <w:rPr>
                      <w:rFonts w:cs="Times New Roman"/>
                      <w:sz w:val="21"/>
                      <w:szCs w:val="21"/>
                    </w:rPr>
                    <w:t>N3</w:t>
                  </w:r>
                </w:p>
              </w:tc>
              <w:tc>
                <w:tcPr>
                  <w:tcW w:w="2685" w:type="pct"/>
                  <w:vAlign w:val="center"/>
                </w:tcPr>
                <w:p>
                  <w:pPr>
                    <w:spacing w:line="240" w:lineRule="auto"/>
                    <w:ind w:firstLine="0" w:firstLineChars="0"/>
                    <w:jc w:val="center"/>
                    <w:rPr>
                      <w:rFonts w:cs="Times New Roman"/>
                      <w:sz w:val="21"/>
                      <w:szCs w:val="21"/>
                    </w:rPr>
                  </w:pPr>
                  <w:r>
                    <w:rPr>
                      <w:rFonts w:cs="Times New Roman"/>
                      <w:sz w:val="21"/>
                      <w:szCs w:val="21"/>
                    </w:rPr>
                    <w:t>JA15+2~JA16线路下方</w:t>
                  </w:r>
                </w:p>
              </w:tc>
              <w:tc>
                <w:tcPr>
                  <w:tcW w:w="1407" w:type="pct"/>
                  <w:vMerge w:val="continue"/>
                  <w:vAlign w:val="center"/>
                </w:tcPr>
                <w:p>
                  <w:pPr>
                    <w:spacing w:line="240" w:lineRule="auto"/>
                    <w:ind w:firstLine="0" w:firstLineChars="0"/>
                    <w:jc w:val="center"/>
                    <w:rPr>
                      <w:rFonts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8" w:type="pct"/>
                  <w:vAlign w:val="center"/>
                </w:tcPr>
                <w:p>
                  <w:pPr>
                    <w:spacing w:line="240" w:lineRule="auto"/>
                    <w:ind w:firstLine="0" w:firstLineChars="0"/>
                    <w:jc w:val="center"/>
                    <w:rPr>
                      <w:rFonts w:cs="Times New Roman"/>
                      <w:sz w:val="21"/>
                      <w:szCs w:val="21"/>
                    </w:rPr>
                  </w:pPr>
                  <w:r>
                    <w:rPr>
                      <w:rFonts w:cs="Times New Roman"/>
                      <w:sz w:val="21"/>
                      <w:szCs w:val="21"/>
                    </w:rPr>
                    <w:t>N4</w:t>
                  </w:r>
                </w:p>
              </w:tc>
              <w:tc>
                <w:tcPr>
                  <w:tcW w:w="2685" w:type="pct"/>
                  <w:vAlign w:val="center"/>
                </w:tcPr>
                <w:p>
                  <w:pPr>
                    <w:spacing w:line="240" w:lineRule="auto"/>
                    <w:ind w:firstLine="0" w:firstLineChars="0"/>
                    <w:jc w:val="center"/>
                    <w:rPr>
                      <w:rFonts w:cs="Times New Roman"/>
                      <w:sz w:val="21"/>
                      <w:szCs w:val="21"/>
                    </w:rPr>
                  </w:pPr>
                  <w:r>
                    <w:rPr>
                      <w:rFonts w:cs="Times New Roman"/>
                      <w:sz w:val="21"/>
                      <w:szCs w:val="21"/>
                    </w:rPr>
                    <w:t>在妙升压站出线间隔处</w:t>
                  </w:r>
                </w:p>
              </w:tc>
              <w:tc>
                <w:tcPr>
                  <w:tcW w:w="1407" w:type="pct"/>
                  <w:vMerge w:val="continue"/>
                  <w:vAlign w:val="center"/>
                </w:tcPr>
                <w:p>
                  <w:pPr>
                    <w:spacing w:line="240" w:lineRule="auto"/>
                    <w:ind w:firstLine="0" w:firstLineChars="0"/>
                    <w:jc w:val="center"/>
                    <w:rPr>
                      <w:rFonts w:cs="Times New Roman"/>
                      <w:color w:val="auto"/>
                      <w:sz w:val="21"/>
                      <w:szCs w:val="21"/>
                    </w:rPr>
                  </w:pPr>
                </w:p>
              </w:tc>
            </w:tr>
          </w:tbl>
          <w:p>
            <w:pPr>
              <w:ind w:firstLine="480"/>
              <w:rPr>
                <w:rFonts w:cs="Times New Roman"/>
                <w:color w:val="auto"/>
                <w:szCs w:val="24"/>
              </w:rPr>
            </w:pPr>
            <w:r>
              <w:rPr>
                <w:rFonts w:hint="eastAsia" w:cs="Times New Roman"/>
                <w:color w:val="auto"/>
                <w:szCs w:val="24"/>
              </w:rPr>
              <w:t>（</w:t>
            </w:r>
            <w:r>
              <w:rPr>
                <w:rFonts w:cs="Times New Roman"/>
                <w:color w:val="auto"/>
                <w:szCs w:val="24"/>
              </w:rPr>
              <w:t>2</w:t>
            </w:r>
            <w:r>
              <w:rPr>
                <w:rFonts w:hint="eastAsia" w:cs="Times New Roman"/>
                <w:color w:val="auto"/>
                <w:szCs w:val="24"/>
              </w:rPr>
              <w:t>）监测时间及频率</w:t>
            </w:r>
          </w:p>
          <w:p>
            <w:pPr>
              <w:ind w:firstLine="480"/>
              <w:rPr>
                <w:rFonts w:cs="Times New Roman"/>
                <w:color w:val="auto"/>
                <w:szCs w:val="24"/>
              </w:rPr>
            </w:pPr>
            <w:r>
              <w:rPr>
                <w:rFonts w:hint="eastAsia" w:cs="Times New Roman"/>
                <w:color w:val="auto"/>
                <w:szCs w:val="24"/>
              </w:rPr>
              <w:t>监</w:t>
            </w:r>
            <w:r>
              <w:rPr>
                <w:rFonts w:cs="Times New Roman"/>
                <w:color w:val="auto"/>
                <w:szCs w:val="24"/>
              </w:rPr>
              <w:t xml:space="preserve"> </w:t>
            </w:r>
            <w:r>
              <w:rPr>
                <w:rFonts w:hint="eastAsia" w:cs="Times New Roman"/>
                <w:color w:val="auto"/>
                <w:szCs w:val="24"/>
              </w:rPr>
              <w:t>测</w:t>
            </w:r>
            <w:r>
              <w:rPr>
                <w:rFonts w:cs="Times New Roman"/>
                <w:color w:val="auto"/>
                <w:szCs w:val="24"/>
              </w:rPr>
              <w:t>1</w:t>
            </w:r>
            <w:r>
              <w:rPr>
                <w:rFonts w:hint="eastAsia" w:cs="Times New Roman"/>
                <w:color w:val="auto"/>
                <w:szCs w:val="24"/>
              </w:rPr>
              <w:t>天，昼、夜各监测</w:t>
            </w:r>
            <w:r>
              <w:rPr>
                <w:rFonts w:cs="Times New Roman"/>
                <w:color w:val="auto"/>
                <w:szCs w:val="24"/>
              </w:rPr>
              <w:t xml:space="preserve"> 1 </w:t>
            </w:r>
            <w:r>
              <w:rPr>
                <w:rFonts w:hint="eastAsia" w:cs="Times New Roman"/>
                <w:color w:val="auto"/>
                <w:szCs w:val="24"/>
              </w:rPr>
              <w:t>次（昼间</w:t>
            </w:r>
            <w:r>
              <w:rPr>
                <w:rFonts w:cs="Times New Roman"/>
                <w:color w:val="auto"/>
                <w:szCs w:val="24"/>
              </w:rPr>
              <w:t xml:space="preserve"> 06:00~22:00</w:t>
            </w:r>
            <w:r>
              <w:rPr>
                <w:rFonts w:hint="eastAsia" w:cs="Times New Roman"/>
                <w:color w:val="auto"/>
                <w:szCs w:val="24"/>
              </w:rPr>
              <w:t>夜间</w:t>
            </w:r>
            <w:r>
              <w:rPr>
                <w:rFonts w:cs="Times New Roman"/>
                <w:color w:val="auto"/>
                <w:szCs w:val="24"/>
              </w:rPr>
              <w:t>22:00~</w:t>
            </w:r>
            <w:r>
              <w:rPr>
                <w:rFonts w:hint="eastAsia" w:cs="Times New Roman"/>
                <w:color w:val="auto"/>
                <w:szCs w:val="24"/>
              </w:rPr>
              <w:t>次日</w:t>
            </w:r>
            <w:r>
              <w:rPr>
                <w:rFonts w:cs="Times New Roman"/>
                <w:color w:val="auto"/>
                <w:szCs w:val="24"/>
              </w:rPr>
              <w:t xml:space="preserve"> 06:00</w:t>
            </w:r>
            <w:r>
              <w:rPr>
                <w:rFonts w:hint="eastAsia" w:cs="Times New Roman"/>
                <w:color w:val="auto"/>
                <w:szCs w:val="24"/>
              </w:rPr>
              <w:t>）。同时现场拍照，记录采样点情况，记录</w:t>
            </w:r>
            <w:r>
              <w:rPr>
                <w:rFonts w:cs="Times New Roman"/>
                <w:color w:val="auto"/>
                <w:szCs w:val="24"/>
              </w:rPr>
              <w:t>GPS</w:t>
            </w:r>
            <w:r>
              <w:rPr>
                <w:rFonts w:hint="eastAsia" w:cs="Times New Roman"/>
                <w:color w:val="auto"/>
                <w:szCs w:val="24"/>
              </w:rPr>
              <w:t>经纬度。</w:t>
            </w:r>
          </w:p>
          <w:p>
            <w:pPr>
              <w:ind w:firstLine="480"/>
              <w:rPr>
                <w:rFonts w:cs="Times New Roman"/>
                <w:color w:val="auto"/>
                <w:szCs w:val="24"/>
              </w:rPr>
            </w:pPr>
            <w:r>
              <w:rPr>
                <w:rFonts w:hint="eastAsia" w:cs="Times New Roman"/>
                <w:color w:val="auto"/>
                <w:szCs w:val="24"/>
              </w:rPr>
              <w:t>（</w:t>
            </w:r>
            <w:r>
              <w:rPr>
                <w:rFonts w:cs="Times New Roman"/>
                <w:color w:val="auto"/>
                <w:szCs w:val="24"/>
              </w:rPr>
              <w:t>3</w:t>
            </w:r>
            <w:r>
              <w:rPr>
                <w:rFonts w:hint="eastAsia" w:cs="Times New Roman"/>
                <w:color w:val="auto"/>
                <w:szCs w:val="24"/>
              </w:rPr>
              <w:t>）监测结果</w:t>
            </w:r>
          </w:p>
          <w:p>
            <w:pPr>
              <w:ind w:firstLine="480"/>
              <w:rPr>
                <w:rFonts w:cs="Times New Roman"/>
                <w:color w:val="auto"/>
                <w:szCs w:val="24"/>
              </w:rPr>
            </w:pPr>
            <w:r>
              <w:rPr>
                <w:rFonts w:hint="eastAsia" w:cs="Times New Roman"/>
                <w:color w:val="auto"/>
                <w:szCs w:val="24"/>
              </w:rPr>
              <w:t>项目环境噪声监测结果见表</w:t>
            </w:r>
            <w:r>
              <w:rPr>
                <w:rFonts w:cs="Times New Roman"/>
                <w:color w:val="auto"/>
                <w:szCs w:val="24"/>
              </w:rPr>
              <w:t>3-</w:t>
            </w:r>
            <w:r>
              <w:rPr>
                <w:rFonts w:hint="eastAsia" w:cs="Times New Roman"/>
                <w:color w:val="auto"/>
                <w:szCs w:val="24"/>
              </w:rPr>
              <w:t>3。</w:t>
            </w:r>
          </w:p>
          <w:p>
            <w:pPr>
              <w:spacing w:line="240" w:lineRule="auto"/>
              <w:ind w:firstLine="0" w:firstLineChars="0"/>
              <w:jc w:val="center"/>
              <w:rPr>
                <w:rFonts w:cs="Times New Roman"/>
                <w:color w:val="auto"/>
                <w:szCs w:val="24"/>
              </w:rPr>
            </w:pPr>
            <w:r>
              <w:rPr>
                <w:rFonts w:hint="eastAsia" w:cs="Times New Roman"/>
                <w:b/>
                <w:color w:val="auto"/>
                <w:szCs w:val="24"/>
              </w:rPr>
              <w:t>表</w:t>
            </w:r>
            <w:r>
              <w:rPr>
                <w:rFonts w:cs="Times New Roman"/>
                <w:b/>
                <w:color w:val="auto"/>
                <w:szCs w:val="24"/>
              </w:rPr>
              <w:t>3-</w:t>
            </w:r>
            <w:r>
              <w:rPr>
                <w:rFonts w:hint="eastAsia" w:cs="Times New Roman"/>
                <w:b/>
                <w:color w:val="auto"/>
                <w:szCs w:val="24"/>
              </w:rPr>
              <w:t>3噪声环境现状监测结果</w:t>
            </w:r>
            <w:r>
              <w:rPr>
                <w:rFonts w:cs="Times New Roman"/>
                <w:b/>
                <w:color w:val="auto"/>
                <w:szCs w:val="24"/>
              </w:rPr>
              <w:t xml:space="preserve"> </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221"/>
              <w:gridCol w:w="847"/>
              <w:gridCol w:w="1809"/>
              <w:gridCol w:w="117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72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监测日期</w:t>
                  </w:r>
                </w:p>
              </w:tc>
              <w:tc>
                <w:tcPr>
                  <w:tcW w:w="138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监测点位</w:t>
                  </w: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监测</w:t>
                  </w:r>
                </w:p>
                <w:p>
                  <w:pPr>
                    <w:spacing w:line="240" w:lineRule="auto"/>
                    <w:ind w:firstLine="0" w:firstLineChars="0"/>
                    <w:jc w:val="center"/>
                    <w:rPr>
                      <w:rFonts w:cs="Times New Roman"/>
                      <w:color w:val="auto"/>
                      <w:sz w:val="21"/>
                      <w:szCs w:val="21"/>
                    </w:rPr>
                  </w:pPr>
                  <w:r>
                    <w:rPr>
                      <w:rFonts w:cs="Times New Roman"/>
                      <w:color w:val="auto"/>
                      <w:sz w:val="21"/>
                      <w:szCs w:val="21"/>
                    </w:rPr>
                    <w:t>时段</w:t>
                  </w:r>
                </w:p>
              </w:tc>
              <w:tc>
                <w:tcPr>
                  <w:tcW w:w="1124"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等效连续A声级（</w:t>
                  </w:r>
                  <w:r>
                    <w:rPr>
                      <w:rFonts w:cs="Times New Roman"/>
                      <w:i/>
                      <w:iCs/>
                      <w:color w:val="auto"/>
                      <w:sz w:val="21"/>
                      <w:szCs w:val="21"/>
                    </w:rPr>
                    <w:t>L</w:t>
                  </w:r>
                  <w:r>
                    <w:rPr>
                      <w:rFonts w:cs="Times New Roman"/>
                      <w:color w:val="auto"/>
                      <w:sz w:val="21"/>
                      <w:szCs w:val="21"/>
                      <w:vertAlign w:val="subscript"/>
                    </w:rPr>
                    <w:t>eq</w:t>
                  </w:r>
                  <w:r>
                    <w:rPr>
                      <w:rFonts w:cs="Times New Roman"/>
                      <w:color w:val="auto"/>
                      <w:sz w:val="21"/>
                      <w:szCs w:val="21"/>
                    </w:rPr>
                    <w:t>）（dB(A)）</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标准限值（dB(A)）</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721" w:type="pct"/>
                  <w:vMerge w:val="restar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2025.8.17</w:t>
                  </w:r>
                </w:p>
              </w:tc>
              <w:tc>
                <w:tcPr>
                  <w:tcW w:w="1380" w:type="pct"/>
                  <w:vMerge w:val="restart"/>
                  <w:vAlign w:val="center"/>
                </w:tcPr>
                <w:p>
                  <w:pPr>
                    <w:spacing w:line="240" w:lineRule="auto"/>
                    <w:ind w:firstLine="0" w:firstLineChars="0"/>
                    <w:jc w:val="center"/>
                    <w:rPr>
                      <w:rFonts w:cs="Times New Roman"/>
                      <w:sz w:val="21"/>
                      <w:szCs w:val="21"/>
                    </w:rPr>
                  </w:pPr>
                  <w:r>
                    <w:rPr>
                      <w:rFonts w:cs="Times New Roman"/>
                      <w:sz w:val="21"/>
                      <w:szCs w:val="21"/>
                    </w:rPr>
                    <w:t>茶花变电站220kV备用间隔处</w:t>
                  </w: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46.4</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continue"/>
                  <w:vAlign w:val="center"/>
                </w:tcPr>
                <w:p>
                  <w:pPr>
                    <w:spacing w:line="240" w:lineRule="auto"/>
                    <w:ind w:firstLine="0" w:firstLineChars="0"/>
                    <w:jc w:val="center"/>
                    <w:rPr>
                      <w:rFonts w:cs="Times New Roman"/>
                      <w:bCs/>
                      <w:color w:val="auto"/>
                      <w:sz w:val="21"/>
                      <w:szCs w:val="21"/>
                    </w:rPr>
                  </w:pP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夜间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43.2</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5"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restart"/>
                  <w:vAlign w:val="center"/>
                </w:tcPr>
                <w:p>
                  <w:pPr>
                    <w:spacing w:line="240" w:lineRule="auto"/>
                    <w:ind w:firstLine="0" w:firstLineChars="0"/>
                    <w:jc w:val="center"/>
                    <w:rPr>
                      <w:rFonts w:cs="Times New Roman"/>
                      <w:sz w:val="21"/>
                      <w:szCs w:val="21"/>
                    </w:rPr>
                  </w:pPr>
                  <w:r>
                    <w:rPr>
                      <w:rFonts w:hint="eastAsia" w:cs="Times New Roman"/>
                      <w:sz w:val="21"/>
                      <w:szCs w:val="21"/>
                    </w:rPr>
                    <w:t>JA29塔基附近民房</w:t>
                  </w: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45.5</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continue"/>
                  <w:vAlign w:val="center"/>
                </w:tcPr>
                <w:p>
                  <w:pPr>
                    <w:spacing w:line="240" w:lineRule="auto"/>
                    <w:ind w:firstLine="0" w:firstLineChars="0"/>
                    <w:jc w:val="center"/>
                    <w:rPr>
                      <w:rFonts w:cs="Times New Roman"/>
                      <w:bCs/>
                      <w:color w:val="auto"/>
                      <w:sz w:val="21"/>
                      <w:szCs w:val="21"/>
                    </w:rPr>
                  </w:pP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夜间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42.7</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restart"/>
                  <w:vAlign w:val="center"/>
                </w:tcPr>
                <w:p>
                  <w:pPr>
                    <w:spacing w:line="240" w:lineRule="auto"/>
                    <w:ind w:firstLine="0" w:firstLineChars="0"/>
                    <w:rPr>
                      <w:rFonts w:cs="Times New Roman"/>
                      <w:sz w:val="21"/>
                      <w:szCs w:val="21"/>
                    </w:rPr>
                  </w:pPr>
                  <w:r>
                    <w:rPr>
                      <w:rFonts w:cs="Times New Roman"/>
                      <w:sz w:val="21"/>
                      <w:szCs w:val="21"/>
                    </w:rPr>
                    <w:t>JA15+2~JA16线路下方</w:t>
                  </w: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46.5</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continue"/>
                  <w:vAlign w:val="center"/>
                </w:tcPr>
                <w:p>
                  <w:pPr>
                    <w:spacing w:line="240" w:lineRule="auto"/>
                    <w:ind w:firstLine="0" w:firstLineChars="0"/>
                    <w:jc w:val="center"/>
                    <w:rPr>
                      <w:rFonts w:cs="Times New Roman"/>
                      <w:bCs/>
                      <w:color w:val="auto"/>
                      <w:sz w:val="21"/>
                      <w:szCs w:val="21"/>
                    </w:rPr>
                  </w:pP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夜间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42.1</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79"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restart"/>
                  <w:vAlign w:val="center"/>
                </w:tcPr>
                <w:p>
                  <w:pPr>
                    <w:spacing w:line="240" w:lineRule="auto"/>
                    <w:ind w:firstLine="0" w:firstLineChars="0"/>
                    <w:rPr>
                      <w:rFonts w:cs="Times New Roman"/>
                      <w:sz w:val="21"/>
                      <w:szCs w:val="21"/>
                    </w:rPr>
                  </w:pPr>
                  <w:r>
                    <w:rPr>
                      <w:rFonts w:cs="Times New Roman"/>
                      <w:sz w:val="21"/>
                      <w:szCs w:val="21"/>
                    </w:rPr>
                    <w:t>在妙升压站出线间隔处</w:t>
                  </w: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45.4</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1" w:type="pct"/>
                  <w:vMerge w:val="continue"/>
                  <w:vAlign w:val="center"/>
                </w:tcPr>
                <w:p>
                  <w:pPr>
                    <w:spacing w:line="240" w:lineRule="auto"/>
                    <w:ind w:firstLine="0" w:firstLineChars="0"/>
                    <w:jc w:val="center"/>
                    <w:rPr>
                      <w:rFonts w:cs="Times New Roman"/>
                      <w:color w:val="auto"/>
                      <w:sz w:val="21"/>
                      <w:szCs w:val="21"/>
                    </w:rPr>
                  </w:pPr>
                </w:p>
              </w:tc>
              <w:tc>
                <w:tcPr>
                  <w:tcW w:w="1380" w:type="pct"/>
                  <w:vMerge w:val="continue"/>
                  <w:vAlign w:val="center"/>
                </w:tcPr>
                <w:p>
                  <w:pPr>
                    <w:spacing w:line="240" w:lineRule="auto"/>
                    <w:ind w:firstLine="0" w:firstLineChars="0"/>
                    <w:jc w:val="center"/>
                    <w:rPr>
                      <w:rFonts w:cs="Times New Roman"/>
                      <w:sz w:val="21"/>
                      <w:szCs w:val="21"/>
                    </w:rPr>
                  </w:pPr>
                </w:p>
              </w:tc>
              <w:tc>
                <w:tcPr>
                  <w:tcW w:w="526"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夜间</w:t>
                  </w:r>
                </w:p>
              </w:tc>
              <w:tc>
                <w:tcPr>
                  <w:tcW w:w="112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41.8</w:t>
                  </w:r>
                </w:p>
              </w:tc>
              <w:tc>
                <w:tcPr>
                  <w:tcW w:w="73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w:t>
                  </w:r>
                </w:p>
              </w:tc>
              <w:tc>
                <w:tcPr>
                  <w:tcW w:w="51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达标</w:t>
                  </w:r>
                </w:p>
              </w:tc>
            </w:tr>
          </w:tbl>
          <w:p>
            <w:pPr>
              <w:ind w:firstLine="480"/>
              <w:rPr>
                <w:rFonts w:cs="Times New Roman"/>
                <w:color w:val="auto"/>
                <w:szCs w:val="24"/>
              </w:rPr>
            </w:pPr>
            <w:r>
              <w:rPr>
                <w:rFonts w:hint="eastAsia" w:cs="Times New Roman"/>
                <w:color w:val="auto"/>
                <w:szCs w:val="24"/>
              </w:rPr>
              <w:t>根据表3-3表明，项目线路附近敏感目标及茶花变电站声环境质量现状符合《声环境质量标准》（</w:t>
            </w:r>
            <w:r>
              <w:rPr>
                <w:rFonts w:cs="Times New Roman"/>
                <w:color w:val="auto"/>
                <w:szCs w:val="24"/>
              </w:rPr>
              <w:t>GB3096-2008</w:t>
            </w:r>
            <w:r>
              <w:rPr>
                <w:rFonts w:hint="eastAsia" w:cs="Times New Roman"/>
                <w:color w:val="auto"/>
                <w:szCs w:val="24"/>
              </w:rPr>
              <w:t>）</w:t>
            </w:r>
            <w:r>
              <w:rPr>
                <w:rFonts w:cs="Times New Roman"/>
                <w:color w:val="auto"/>
                <w:szCs w:val="24"/>
              </w:rPr>
              <w:t xml:space="preserve">1 </w:t>
            </w:r>
            <w:r>
              <w:rPr>
                <w:rFonts w:hint="eastAsia" w:cs="Times New Roman"/>
                <w:color w:val="auto"/>
                <w:szCs w:val="24"/>
              </w:rPr>
              <w:t>类标准限值，即昼间≤</w:t>
            </w:r>
            <w:r>
              <w:rPr>
                <w:rFonts w:cs="Times New Roman"/>
                <w:color w:val="auto"/>
                <w:szCs w:val="24"/>
              </w:rPr>
              <w:t xml:space="preserve"> 55dB(A)</w:t>
            </w:r>
            <w:r>
              <w:rPr>
                <w:rFonts w:hint="eastAsia" w:cs="Times New Roman"/>
                <w:color w:val="auto"/>
                <w:szCs w:val="24"/>
              </w:rPr>
              <w:t>、夜间≤</w:t>
            </w:r>
            <w:r>
              <w:rPr>
                <w:rFonts w:cs="Times New Roman"/>
                <w:color w:val="auto"/>
                <w:szCs w:val="24"/>
              </w:rPr>
              <w:t xml:space="preserve"> 45dB(A)</w:t>
            </w:r>
            <w:r>
              <w:rPr>
                <w:rFonts w:hint="eastAsia" w:cs="Times New Roman"/>
                <w:color w:val="auto"/>
                <w:szCs w:val="24"/>
              </w:rPr>
              <w:t>，项目周边区域声环境质量总体上较好。</w:t>
            </w:r>
          </w:p>
          <w:p>
            <w:pPr>
              <w:ind w:firstLine="482"/>
              <w:rPr>
                <w:rFonts w:cs="Times New Roman"/>
                <w:b/>
                <w:color w:val="auto"/>
                <w:szCs w:val="24"/>
              </w:rPr>
            </w:pPr>
            <w:r>
              <w:rPr>
                <w:rFonts w:cs="Times New Roman"/>
                <w:b/>
                <w:color w:val="auto"/>
                <w:szCs w:val="24"/>
              </w:rPr>
              <w:t>5</w:t>
            </w:r>
            <w:r>
              <w:rPr>
                <w:rFonts w:hint="eastAsia" w:cs="Times New Roman"/>
                <w:b/>
                <w:color w:val="auto"/>
                <w:szCs w:val="24"/>
              </w:rPr>
              <w:t>、电磁环境质量现状</w:t>
            </w:r>
          </w:p>
          <w:p>
            <w:pPr>
              <w:ind w:firstLine="480"/>
              <w:rPr>
                <w:rFonts w:cs="Times New Roman"/>
                <w:color w:val="auto"/>
                <w:szCs w:val="24"/>
              </w:rPr>
            </w:pPr>
            <w:r>
              <w:rPr>
                <w:rFonts w:hint="eastAsia" w:cs="Times New Roman"/>
                <w:color w:val="auto"/>
                <w:szCs w:val="24"/>
              </w:rPr>
              <w:t>为调查本项目线路附近环境及茶花变电站电磁环境现状，特委托广西恒沁检测技术有限公司于</w:t>
            </w:r>
            <w:r>
              <w:rPr>
                <w:rFonts w:cs="Times New Roman"/>
                <w:color w:val="auto"/>
                <w:szCs w:val="24"/>
              </w:rPr>
              <w:t xml:space="preserve"> 202</w:t>
            </w:r>
            <w:r>
              <w:rPr>
                <w:rFonts w:hint="eastAsia" w:cs="Times New Roman"/>
                <w:color w:val="auto"/>
                <w:szCs w:val="24"/>
              </w:rPr>
              <w:t>5年8月17日，按照《环境影响评价技术导则输变电》（</w:t>
            </w:r>
            <w:r>
              <w:rPr>
                <w:rFonts w:cs="Times New Roman"/>
                <w:color w:val="auto"/>
                <w:szCs w:val="24"/>
              </w:rPr>
              <w:t>HJ24-2020</w:t>
            </w:r>
            <w:r>
              <w:rPr>
                <w:rFonts w:hint="eastAsia" w:cs="Times New Roman"/>
                <w:color w:val="auto"/>
                <w:szCs w:val="24"/>
              </w:rPr>
              <w:t>）有关规定，对本项目拟建线路及茶花变电站厂界电磁环境质量现状进行了实地监测，监测报告见附件11。</w:t>
            </w:r>
          </w:p>
          <w:p>
            <w:pPr>
              <w:ind w:firstLine="480"/>
              <w:rPr>
                <w:rFonts w:cs="Times New Roman"/>
                <w:color w:val="auto"/>
                <w:szCs w:val="24"/>
              </w:rPr>
            </w:pPr>
            <w:r>
              <w:rPr>
                <w:rFonts w:hint="eastAsia" w:cs="Times New Roman"/>
                <w:color w:val="auto"/>
                <w:szCs w:val="24"/>
              </w:rPr>
              <w:t>根据现状监测结果知220kV茶花变电站厂界及拟建输电线路周边环境敏感目标工频电场强度、工频磁感应强度均低于《电磁环境控制限值》（</w:t>
            </w:r>
            <w:r>
              <w:rPr>
                <w:rFonts w:cs="Times New Roman"/>
                <w:color w:val="auto"/>
                <w:szCs w:val="24"/>
              </w:rPr>
              <w:t>GB8702-2014</w:t>
            </w:r>
            <w:r>
              <w:rPr>
                <w:rFonts w:hint="eastAsia" w:cs="Times New Roman"/>
                <w:color w:val="auto"/>
                <w:szCs w:val="24"/>
              </w:rPr>
              <w:t>）中</w:t>
            </w:r>
            <w:r>
              <w:rPr>
                <w:rFonts w:cs="Times New Roman"/>
                <w:color w:val="auto"/>
                <w:szCs w:val="24"/>
              </w:rPr>
              <w:t>4000V/m</w:t>
            </w:r>
            <w:r>
              <w:rPr>
                <w:rFonts w:hint="eastAsia" w:cs="Times New Roman"/>
                <w:color w:val="auto"/>
                <w:szCs w:val="24"/>
              </w:rPr>
              <w:t>、</w:t>
            </w:r>
            <w:r>
              <w:rPr>
                <w:rFonts w:cs="Times New Roman"/>
                <w:color w:val="auto"/>
                <w:szCs w:val="24"/>
              </w:rPr>
              <w:t xml:space="preserve">100μT </w:t>
            </w:r>
            <w:r>
              <w:rPr>
                <w:rFonts w:hint="eastAsia" w:cs="Times New Roman"/>
                <w:color w:val="auto"/>
                <w:szCs w:val="24"/>
              </w:rPr>
              <w:t>的控制限制，项目区域电磁环境现状良好。具体内容详见“电磁环境影响评价专题”。</w:t>
            </w:r>
          </w:p>
          <w:p>
            <w:pPr>
              <w:ind w:firstLine="482"/>
              <w:rPr>
                <w:rFonts w:cs="Times New Roman"/>
                <w:b/>
                <w:color w:val="auto"/>
                <w:szCs w:val="24"/>
              </w:rPr>
            </w:pPr>
            <w:r>
              <w:rPr>
                <w:rFonts w:cs="Times New Roman"/>
                <w:b/>
                <w:color w:val="auto"/>
                <w:szCs w:val="24"/>
              </w:rPr>
              <w:t>6</w:t>
            </w:r>
            <w:r>
              <w:rPr>
                <w:rFonts w:hint="eastAsia" w:cs="Times New Roman"/>
                <w:b/>
                <w:color w:val="auto"/>
                <w:szCs w:val="24"/>
              </w:rPr>
              <w:t>、土壤环境质量状况</w:t>
            </w:r>
          </w:p>
          <w:p>
            <w:pPr>
              <w:ind w:firstLine="480"/>
              <w:rPr>
                <w:rFonts w:cs="Times New Roman"/>
                <w:color w:val="auto"/>
                <w:szCs w:val="24"/>
              </w:rPr>
            </w:pPr>
            <w:r>
              <w:rPr>
                <w:rFonts w:cs="Times New Roman"/>
                <w:color w:val="auto"/>
                <w:szCs w:val="24"/>
              </w:rPr>
              <w:t>根据《环境影响评价技术导则 土壤环境（试行）》（HJ964-2018）土壤环境影响评价项目类别附录 A，本项目属于“电力热力燃气及水生产和供应业-其他”，为Ⅳ类建设项目，根据《环境影响评价技术导则 土壤环境》（HJ964-2018）4.2.2 可知，Ⅳ类建设项目可不展开土壤环境影响评价。</w:t>
            </w:r>
          </w:p>
          <w:p>
            <w:pPr>
              <w:ind w:firstLine="482"/>
              <w:rPr>
                <w:rFonts w:cs="Times New Roman"/>
                <w:b/>
                <w:color w:val="auto"/>
                <w:szCs w:val="24"/>
              </w:rPr>
            </w:pPr>
            <w:r>
              <w:rPr>
                <w:rFonts w:cs="Times New Roman"/>
                <w:b/>
                <w:color w:val="auto"/>
                <w:szCs w:val="24"/>
              </w:rPr>
              <w:t>7</w:t>
            </w:r>
            <w:r>
              <w:rPr>
                <w:rFonts w:hint="eastAsia" w:cs="Times New Roman"/>
                <w:b/>
                <w:color w:val="auto"/>
                <w:szCs w:val="24"/>
              </w:rPr>
              <w:t>、地下水环境质量情况</w:t>
            </w:r>
          </w:p>
          <w:p>
            <w:pPr>
              <w:ind w:firstLine="480"/>
              <w:rPr>
                <w:rFonts w:cs="Times New Roman"/>
                <w:color w:val="auto"/>
                <w:szCs w:val="24"/>
              </w:rPr>
            </w:pPr>
            <w:r>
              <w:rPr>
                <w:rFonts w:cs="Times New Roman"/>
                <w:color w:val="auto"/>
                <w:szCs w:val="24"/>
              </w:rPr>
              <w:t>根据《环境影响评价技术导则 地下水环境》（HJ610-2016）附录 A，本项目属于</w:t>
            </w:r>
            <w:r>
              <w:rPr>
                <w:rFonts w:hint="eastAsia" w:cs="Times New Roman"/>
                <w:color w:val="auto"/>
                <w:szCs w:val="24"/>
              </w:rPr>
              <w:t>“</w:t>
            </w:r>
            <w:r>
              <w:rPr>
                <w:rFonts w:cs="Times New Roman"/>
                <w:color w:val="auto"/>
                <w:szCs w:val="24"/>
              </w:rPr>
              <w:t>E 电力-3</w:t>
            </w:r>
            <w:r>
              <w:rPr>
                <w:rFonts w:hint="eastAsia" w:cs="Times New Roman"/>
                <w:color w:val="auto"/>
                <w:szCs w:val="24"/>
              </w:rPr>
              <w:t>5 送（输）变电工程”</w:t>
            </w:r>
            <w:r>
              <w:rPr>
                <w:rFonts w:cs="Times New Roman"/>
                <w:color w:val="auto"/>
                <w:szCs w:val="24"/>
              </w:rPr>
              <w:t>，为Ⅳ类建设项目，不展开地下水环境影响评价。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tcPr>
          <w:p>
            <w:pPr>
              <w:spacing w:line="240" w:lineRule="auto"/>
              <w:ind w:firstLine="0" w:firstLineChars="0"/>
              <w:jc w:val="center"/>
              <w:rPr>
                <w:rFonts w:cs="Times New Roman"/>
                <w:color w:val="auto"/>
                <w:szCs w:val="24"/>
              </w:rPr>
            </w:pPr>
            <w:r>
              <w:rPr>
                <w:rFonts w:cs="Times New Roman"/>
                <w:color w:val="auto"/>
                <w:szCs w:val="24"/>
              </w:rPr>
              <w:t>与项目有关的原有环境污染和生态破坏问题</w:t>
            </w:r>
          </w:p>
        </w:tc>
        <w:tc>
          <w:tcPr>
            <w:tcW w:w="4739" w:type="pct"/>
          </w:tcPr>
          <w:p>
            <w:pPr>
              <w:ind w:firstLine="480"/>
              <w:rPr>
                <w:rFonts w:cs="Times New Roman"/>
                <w:color w:val="auto"/>
                <w:szCs w:val="24"/>
              </w:rPr>
            </w:pPr>
            <w:r>
              <w:rPr>
                <w:rFonts w:hint="eastAsia" w:cs="Times New Roman"/>
                <w:color w:val="auto"/>
                <w:szCs w:val="24"/>
              </w:rPr>
              <w:t>新建输电线路不存在原有污染环境问题，线路沿线环境良好。</w:t>
            </w:r>
          </w:p>
          <w:p>
            <w:pPr>
              <w:ind w:firstLine="480"/>
              <w:rPr>
                <w:rFonts w:cs="Times New Roman"/>
                <w:color w:val="auto"/>
                <w:szCs w:val="24"/>
              </w:rPr>
            </w:pPr>
            <w:r>
              <w:rPr>
                <w:rFonts w:hint="eastAsia" w:cs="Times New Roman"/>
                <w:color w:val="auto"/>
                <w:szCs w:val="24"/>
              </w:rPr>
              <w:t>与本项目有关的原有工程为 220kV 茶花变电站一期工程。</w:t>
            </w:r>
          </w:p>
          <w:p>
            <w:pPr>
              <w:ind w:firstLine="480"/>
              <w:rPr>
                <w:rFonts w:cs="Times New Roman"/>
                <w:color w:val="auto"/>
                <w:szCs w:val="24"/>
              </w:rPr>
            </w:pPr>
            <w:r>
              <w:rPr>
                <w:rFonts w:hint="eastAsia" w:cs="Times New Roman"/>
                <w:color w:val="auto"/>
                <w:szCs w:val="24"/>
              </w:rPr>
              <w:t>（1）原有工程环保手续履行情况</w:t>
            </w:r>
          </w:p>
          <w:p>
            <w:pPr>
              <w:ind w:firstLine="480"/>
              <w:rPr>
                <w:rFonts w:cs="Times New Roman"/>
                <w:color w:val="auto"/>
                <w:szCs w:val="24"/>
              </w:rPr>
            </w:pPr>
            <w:r>
              <w:rPr>
                <w:rFonts w:hint="eastAsia" w:cs="Times New Roman"/>
                <w:color w:val="auto"/>
                <w:szCs w:val="24"/>
              </w:rPr>
              <w:t>220kV 茶花变电站属于 220kV 茶花（上思）送变电工程建设内容，2017 年 7月，原广西壮族自治区环境保护厅以《广西壮族自治区环境保护厅关于广西电网有限责任公司 220kV 茶花（上思）送变电工程环境影响报告表的批复》（桂环审〔2017〕64 号）对项目环境影响评价文件予以批复；2020 年 5 月，广西壮族自治区生态环境厅以《广西壮族自治区生态环境厅关于广西电网有限责任公司220kV茶花（上思）送变电工程（变动）环境影响报告表的批复》（桂环审〔2020〕130 号）对项目变动部分环境影响评价文件予以批复。项目于2020 年7 月开工建设，2022 年1 月项目主体工程竣工并投入调试运行，并于2022 年8 月通过了广西电网有限责任公司建设分公司的自主竣工环境保护验收。</w:t>
            </w:r>
          </w:p>
          <w:p>
            <w:pPr>
              <w:ind w:firstLine="480"/>
              <w:rPr>
                <w:rFonts w:cs="Times New Roman"/>
                <w:color w:val="auto"/>
                <w:szCs w:val="24"/>
              </w:rPr>
            </w:pPr>
            <w:r>
              <w:rPr>
                <w:rFonts w:hint="eastAsia" w:cs="Times New Roman"/>
                <w:color w:val="auto"/>
                <w:szCs w:val="24"/>
              </w:rPr>
              <w:t>（2）原有环境污染和生态破坏问题。根据 220kV 茶花（上思）送变电工程竣工环境保护验收意见：通过现场调查，项目建设与环境保护设施调试期落实了生态环境保护措施，未对生态环境造成不利影响；变电站围墙外工频电场强度、工频磁感应强度符合相应验收标准要求；变电站厂界噪声符合相应标准要求；施工期及环境保护设施调试期产生的固体废物得到妥善处置，电站修建有容量满足要求的事故油池，事故状态下可能产生的废油经收集后交由有资质单位处置，环境风险可控；项目施工期未对大气环境、水环境产生不利影响；环境保护设施调试期，变电站值守人员产生的生活污水经站内污水处理系统处理后定期清理，不外排。220kV茶花（上思）送变电工程落实了环评报告表及批复文件的要求，在设计、施工和环境保护设施调试期阶段均采取了有效措施控制对环境的影响，符合环境保护验收条件，同意该项目通过竣工环境保护验收。</w:t>
            </w:r>
          </w:p>
          <w:p>
            <w:pPr>
              <w:ind w:firstLine="480"/>
              <w:rPr>
                <w:rFonts w:cs="Times New Roman"/>
                <w:color w:val="auto"/>
                <w:szCs w:val="24"/>
              </w:rPr>
            </w:pPr>
            <w:r>
              <w:rPr>
                <w:rFonts w:hint="eastAsia" w:cs="Times New Roman"/>
                <w:color w:val="auto"/>
                <w:szCs w:val="24"/>
              </w:rPr>
              <w:t>220kV 茶花变电站目前运行正常，运行过程中未发生环境污染事故和环保纠纷及投诉等问题。</w:t>
            </w:r>
          </w:p>
          <w:p>
            <w:pPr>
              <w:ind w:firstLine="480"/>
              <w:rPr>
                <w:rFonts w:cs="Times New Roman"/>
                <w:color w:val="auto"/>
                <w:szCs w:val="24"/>
              </w:rPr>
            </w:pPr>
            <w:r>
              <w:rPr>
                <w:rFonts w:hint="eastAsia" w:cs="Times New Roman"/>
                <w:color w:val="auto"/>
                <w:szCs w:val="24"/>
              </w:rPr>
              <w:t>根据现场调查及现状监测结果，本项目评价范围内电磁环境及声环境均符合相应评价标准要求，无原有环境污染和生态破坏问题。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spacing w:line="240" w:lineRule="auto"/>
              <w:ind w:firstLine="0" w:firstLineChars="0"/>
              <w:jc w:val="center"/>
              <w:rPr>
                <w:rFonts w:cs="Times New Roman"/>
                <w:color w:val="auto"/>
                <w:szCs w:val="24"/>
              </w:rPr>
            </w:pPr>
            <w:r>
              <w:rPr>
                <w:rFonts w:cs="Times New Roman"/>
                <w:color w:val="auto"/>
                <w:szCs w:val="24"/>
              </w:rPr>
              <w:t>生态环境保护目标</w:t>
            </w:r>
          </w:p>
        </w:tc>
        <w:tc>
          <w:tcPr>
            <w:tcW w:w="4739" w:type="pct"/>
          </w:tcPr>
          <w:p>
            <w:pPr>
              <w:adjustRightInd w:val="0"/>
              <w:snapToGrid w:val="0"/>
              <w:ind w:firstLine="482"/>
              <w:rPr>
                <w:rFonts w:eastAsia="宋体" w:cs="Times New Roman"/>
                <w:b/>
                <w:color w:val="auto"/>
                <w:kern w:val="0"/>
                <w:szCs w:val="24"/>
              </w:rPr>
            </w:pPr>
            <w:r>
              <w:rPr>
                <w:rFonts w:eastAsia="宋体" w:cs="Times New Roman"/>
                <w:b/>
                <w:color w:val="auto"/>
                <w:kern w:val="0"/>
                <w:szCs w:val="24"/>
              </w:rPr>
              <w:t>1、生态环境保护目标</w:t>
            </w:r>
          </w:p>
          <w:p>
            <w:pPr>
              <w:adjustRightInd w:val="0"/>
              <w:snapToGrid w:val="0"/>
              <w:ind w:firstLine="480"/>
              <w:rPr>
                <w:rFonts w:eastAsia="宋体" w:cs="Times New Roman"/>
                <w:color w:val="auto"/>
                <w:kern w:val="0"/>
                <w:szCs w:val="24"/>
              </w:rPr>
            </w:pPr>
            <w:r>
              <w:rPr>
                <w:rFonts w:eastAsia="宋体" w:cs="Times New Roman"/>
                <w:color w:val="auto"/>
                <w:kern w:val="0"/>
                <w:szCs w:val="24"/>
              </w:rPr>
              <w:t>本项目线路边导线地面投影外两侧各300m内的带状区域及电站扩建间隔边界外500m范围内不涉及</w:t>
            </w:r>
            <w:r>
              <w:rPr>
                <w:rFonts w:hint="eastAsia" w:eastAsia="宋体" w:cs="Times New Roman"/>
                <w:color w:val="auto"/>
                <w:kern w:val="0"/>
                <w:szCs w:val="24"/>
              </w:rPr>
              <w:t>国家公园、自然保护区、自然公园等自然保护地、世界自然遗产、重要生境等，也不涉及森林公园、地质公园、风景名胜区</w:t>
            </w:r>
            <w:r>
              <w:rPr>
                <w:rFonts w:eastAsia="宋体" w:cs="Times New Roman"/>
                <w:color w:val="auto"/>
                <w:kern w:val="0"/>
                <w:szCs w:val="24"/>
              </w:rPr>
              <w:t>等特殊生态敏感区、重要生态敏感区。项目线路</w:t>
            </w:r>
            <w:r>
              <w:rPr>
                <w:rFonts w:hint="eastAsia" w:eastAsia="宋体" w:cs="Times New Roman"/>
                <w:color w:val="auto"/>
                <w:kern w:val="0"/>
                <w:szCs w:val="24"/>
              </w:rPr>
              <w:t>两侧300m内涉及的生态环境敏感区见下表3-4。</w:t>
            </w:r>
          </w:p>
          <w:p>
            <w:pPr>
              <w:adjustRightInd w:val="0"/>
              <w:snapToGrid w:val="0"/>
              <w:spacing w:line="240" w:lineRule="auto"/>
              <w:ind w:firstLine="0" w:firstLineChars="0"/>
              <w:jc w:val="center"/>
              <w:rPr>
                <w:rFonts w:eastAsia="宋体" w:cs="Times New Roman"/>
                <w:b/>
                <w:color w:val="auto"/>
                <w:kern w:val="0"/>
                <w:sz w:val="21"/>
                <w:szCs w:val="21"/>
              </w:rPr>
            </w:pPr>
            <w:r>
              <w:rPr>
                <w:rFonts w:hint="eastAsia" w:eastAsia="宋体" w:cs="Times New Roman"/>
                <w:b/>
                <w:color w:val="auto"/>
                <w:kern w:val="0"/>
                <w:sz w:val="21"/>
                <w:szCs w:val="21"/>
              </w:rPr>
              <w:t>表3-4 生态环境保护目标</w:t>
            </w:r>
          </w:p>
          <w:tbl>
            <w:tblPr>
              <w:tblStyle w:val="26"/>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02"/>
              <w:gridCol w:w="2290"/>
              <w:gridCol w:w="32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57" w:type="pct"/>
                  <w:vAlign w:val="center"/>
                </w:tcPr>
                <w:p>
                  <w:pPr>
                    <w:pStyle w:val="28"/>
                    <w:jc w:val="center"/>
                    <w:rPr>
                      <w:rFonts w:hint="default" w:ascii="Times New Roman" w:hAnsi="Times New Roman"/>
                      <w:spacing w:val="8"/>
                      <w:kern w:val="0"/>
                      <w:sz w:val="21"/>
                      <w:szCs w:val="21"/>
                    </w:rPr>
                  </w:pPr>
                  <w:r>
                    <w:rPr>
                      <w:rFonts w:ascii="Times New Roman" w:hAnsi="Times New Roman"/>
                      <w:spacing w:val="8"/>
                      <w:kern w:val="0"/>
                      <w:sz w:val="21"/>
                      <w:szCs w:val="21"/>
                    </w:rPr>
                    <w:t>环境保护目标名称</w:t>
                  </w:r>
                </w:p>
              </w:tc>
              <w:tc>
                <w:tcPr>
                  <w:tcW w:w="1424" w:type="pct"/>
                  <w:vAlign w:val="center"/>
                </w:tcPr>
                <w:p>
                  <w:pPr>
                    <w:pStyle w:val="28"/>
                    <w:jc w:val="center"/>
                    <w:rPr>
                      <w:rFonts w:hint="default" w:ascii="Times New Roman" w:hAnsi="Times New Roman"/>
                      <w:spacing w:val="8"/>
                      <w:kern w:val="0"/>
                      <w:sz w:val="21"/>
                      <w:szCs w:val="21"/>
                    </w:rPr>
                  </w:pPr>
                  <w:r>
                    <w:rPr>
                      <w:rFonts w:ascii="Times New Roman" w:hAnsi="Times New Roman"/>
                      <w:spacing w:val="8"/>
                      <w:kern w:val="0"/>
                      <w:sz w:val="21"/>
                      <w:szCs w:val="21"/>
                    </w:rPr>
                    <w:t>方位及最近距离</w:t>
                  </w:r>
                </w:p>
              </w:tc>
              <w:tc>
                <w:tcPr>
                  <w:tcW w:w="2018" w:type="pct"/>
                  <w:vAlign w:val="center"/>
                </w:tcPr>
                <w:p>
                  <w:pPr>
                    <w:pStyle w:val="28"/>
                    <w:jc w:val="center"/>
                    <w:rPr>
                      <w:rFonts w:hint="default" w:ascii="Times New Roman" w:hAnsi="Times New Roman"/>
                      <w:spacing w:val="8"/>
                      <w:kern w:val="0"/>
                      <w:sz w:val="21"/>
                      <w:szCs w:val="21"/>
                    </w:rPr>
                  </w:pPr>
                  <w:r>
                    <w:rPr>
                      <w:rFonts w:ascii="Times New Roman" w:hAnsi="Times New Roman"/>
                      <w:spacing w:val="8"/>
                      <w:kern w:val="0"/>
                      <w:sz w:val="21"/>
                      <w:szCs w:val="21"/>
                    </w:rPr>
                    <w:t>生态主导功能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557" w:type="pct"/>
                  <w:vAlign w:val="center"/>
                </w:tcPr>
                <w:p>
                  <w:pPr>
                    <w:pStyle w:val="28"/>
                    <w:jc w:val="center"/>
                    <w:rPr>
                      <w:rFonts w:hint="default" w:ascii="Times New Roman" w:hAnsi="Times New Roman"/>
                      <w:spacing w:val="8"/>
                      <w:kern w:val="0"/>
                      <w:sz w:val="21"/>
                      <w:szCs w:val="21"/>
                    </w:rPr>
                  </w:pPr>
                  <w:r>
                    <w:rPr>
                      <w:kern w:val="0"/>
                      <w:sz w:val="21"/>
                      <w:szCs w:val="21"/>
                    </w:rPr>
                    <w:t>十万大山水源涵养与生物多样性维护生态保护红线</w:t>
                  </w:r>
                </w:p>
              </w:tc>
              <w:tc>
                <w:tcPr>
                  <w:tcW w:w="1424" w:type="pct"/>
                  <w:vAlign w:val="center"/>
                </w:tcPr>
                <w:p>
                  <w:pPr>
                    <w:pStyle w:val="28"/>
                    <w:jc w:val="center"/>
                    <w:rPr>
                      <w:rFonts w:hint="default" w:ascii="Times New Roman" w:hAnsi="Times New Roman"/>
                      <w:spacing w:val="8"/>
                      <w:kern w:val="0"/>
                      <w:sz w:val="21"/>
                      <w:szCs w:val="21"/>
                    </w:rPr>
                  </w:pPr>
                  <w:r>
                    <w:rPr>
                      <w:rFonts w:ascii="Times New Roman" w:hAnsi="Times New Roman"/>
                      <w:spacing w:val="8"/>
                      <w:kern w:val="0"/>
                      <w:sz w:val="21"/>
                      <w:szCs w:val="21"/>
                    </w:rPr>
                    <w:t>跨越，跨越路径长度约700m.</w:t>
                  </w:r>
                </w:p>
              </w:tc>
              <w:tc>
                <w:tcPr>
                  <w:tcW w:w="2018" w:type="pct"/>
                  <w:vAlign w:val="center"/>
                </w:tcPr>
                <w:p>
                  <w:pPr>
                    <w:pStyle w:val="28"/>
                    <w:jc w:val="center"/>
                    <w:rPr>
                      <w:rFonts w:hint="default" w:ascii="Times New Roman" w:hAnsi="Times New Roman"/>
                      <w:spacing w:val="8"/>
                      <w:kern w:val="0"/>
                      <w:sz w:val="21"/>
                      <w:szCs w:val="21"/>
                    </w:rPr>
                  </w:pPr>
                  <w:r>
                    <w:rPr>
                      <w:rFonts w:ascii="Times New Roman" w:hAnsi="Times New Roman"/>
                      <w:spacing w:val="8"/>
                      <w:kern w:val="0"/>
                      <w:sz w:val="21"/>
                      <w:szCs w:val="21"/>
                    </w:rPr>
                    <w:t>主要生态功能为水源涵养核心功能、生物多样性维护系统功能</w:t>
                  </w:r>
                </w:p>
              </w:tc>
            </w:tr>
          </w:tbl>
          <w:p>
            <w:pPr>
              <w:adjustRightInd w:val="0"/>
              <w:snapToGrid w:val="0"/>
              <w:ind w:firstLine="480"/>
              <w:rPr>
                <w:rFonts w:eastAsia="宋体" w:cs="Times New Roman"/>
                <w:color w:val="auto"/>
                <w:kern w:val="0"/>
                <w:szCs w:val="24"/>
              </w:rPr>
            </w:pPr>
          </w:p>
          <w:p>
            <w:pPr>
              <w:adjustRightInd w:val="0"/>
              <w:snapToGrid w:val="0"/>
              <w:ind w:firstLine="482"/>
              <w:rPr>
                <w:rFonts w:eastAsia="宋体" w:cs="Times New Roman"/>
                <w:b/>
                <w:color w:val="auto"/>
                <w:kern w:val="0"/>
                <w:szCs w:val="24"/>
              </w:rPr>
            </w:pPr>
            <w:r>
              <w:rPr>
                <w:rFonts w:hint="eastAsia" w:eastAsia="宋体" w:cs="Times New Roman"/>
                <w:b/>
                <w:color w:val="auto"/>
                <w:kern w:val="0"/>
                <w:szCs w:val="24"/>
              </w:rPr>
              <w:t>2、声环境保护目标、</w:t>
            </w:r>
          </w:p>
          <w:p>
            <w:pPr>
              <w:adjustRightInd w:val="0"/>
              <w:snapToGrid w:val="0"/>
              <w:ind w:firstLine="480"/>
              <w:rPr>
                <w:rFonts w:eastAsia="宋体" w:cs="Times New Roman"/>
                <w:color w:val="auto"/>
                <w:kern w:val="0"/>
                <w:szCs w:val="24"/>
              </w:rPr>
            </w:pPr>
            <w:r>
              <w:rPr>
                <w:rFonts w:eastAsia="宋体" w:cs="Times New Roman"/>
                <w:color w:val="auto"/>
                <w:kern w:val="0"/>
                <w:szCs w:val="24"/>
              </w:rPr>
              <w:t>项目</w:t>
            </w:r>
            <w:r>
              <w:rPr>
                <w:rFonts w:hint="eastAsia" w:eastAsia="宋体" w:cs="Times New Roman"/>
                <w:color w:val="auto"/>
                <w:kern w:val="0"/>
                <w:szCs w:val="24"/>
              </w:rPr>
              <w:t>茶花变电</w:t>
            </w:r>
            <w:r>
              <w:rPr>
                <w:rFonts w:eastAsia="宋体" w:cs="Times New Roman"/>
                <w:color w:val="auto"/>
                <w:kern w:val="0"/>
                <w:szCs w:val="24"/>
              </w:rPr>
              <w:t>站场</w:t>
            </w:r>
            <w:r>
              <w:rPr>
                <w:rFonts w:hint="eastAsia" w:cs="Times New Roman"/>
                <w:color w:val="auto"/>
                <w:szCs w:val="24"/>
              </w:rPr>
              <w:t>扩建间隔侧</w:t>
            </w:r>
            <w:r>
              <w:rPr>
                <w:rFonts w:eastAsia="宋体" w:cs="Times New Roman"/>
                <w:color w:val="auto"/>
                <w:kern w:val="0"/>
                <w:szCs w:val="24"/>
              </w:rPr>
              <w:t>边界外200范围内</w:t>
            </w:r>
            <w:r>
              <w:rPr>
                <w:rFonts w:hint="eastAsia" w:eastAsia="宋体" w:cs="Times New Roman"/>
                <w:color w:val="auto"/>
                <w:kern w:val="0"/>
                <w:szCs w:val="24"/>
              </w:rPr>
              <w:t>无</w:t>
            </w:r>
            <w:r>
              <w:rPr>
                <w:rFonts w:eastAsia="宋体" w:cs="Times New Roman"/>
                <w:color w:val="auto"/>
                <w:kern w:val="0"/>
                <w:szCs w:val="24"/>
              </w:rPr>
              <w:t>声环境敏感目标</w:t>
            </w:r>
            <w:r>
              <w:rPr>
                <w:rFonts w:hint="eastAsia" w:eastAsia="宋体" w:cs="Times New Roman"/>
                <w:color w:val="auto"/>
                <w:kern w:val="0"/>
                <w:szCs w:val="24"/>
              </w:rPr>
              <w:t>。</w:t>
            </w:r>
          </w:p>
          <w:p>
            <w:pPr>
              <w:adjustRightInd w:val="0"/>
              <w:snapToGrid w:val="0"/>
              <w:ind w:firstLine="480"/>
              <w:rPr>
                <w:rFonts w:eastAsia="宋体" w:cs="Times New Roman"/>
                <w:color w:val="auto"/>
                <w:kern w:val="0"/>
                <w:sz w:val="21"/>
                <w:szCs w:val="21"/>
              </w:rPr>
            </w:pPr>
            <w:r>
              <w:rPr>
                <w:rFonts w:eastAsia="宋体" w:cs="Times New Roman"/>
                <w:color w:val="auto"/>
                <w:kern w:val="0"/>
                <w:szCs w:val="24"/>
              </w:rPr>
              <w:t>项目输电线路边导线地面投影外两侧各</w:t>
            </w:r>
            <w:r>
              <w:rPr>
                <w:rFonts w:hint="eastAsia" w:eastAsia="宋体" w:cs="Times New Roman"/>
                <w:color w:val="auto"/>
                <w:kern w:val="0"/>
                <w:szCs w:val="24"/>
              </w:rPr>
              <w:t>4</w:t>
            </w:r>
            <w:r>
              <w:rPr>
                <w:rFonts w:eastAsia="宋体" w:cs="Times New Roman"/>
                <w:color w:val="auto"/>
                <w:kern w:val="0"/>
                <w:szCs w:val="24"/>
              </w:rPr>
              <w:t>0m范围内声环境保护目标详见下表</w:t>
            </w:r>
            <w:r>
              <w:rPr>
                <w:rFonts w:hint="eastAsia" w:eastAsia="宋体" w:cs="Times New Roman"/>
                <w:color w:val="auto"/>
                <w:kern w:val="0"/>
                <w:szCs w:val="24"/>
              </w:rPr>
              <w:t>3-5 。</w:t>
            </w:r>
            <w:r>
              <w:rPr>
                <w:rFonts w:eastAsia="宋体" w:cs="Times New Roman"/>
                <w:color w:val="auto"/>
                <w:kern w:val="0"/>
                <w:sz w:val="21"/>
                <w:szCs w:val="21"/>
              </w:rPr>
              <w:t xml:space="preserve"> </w:t>
            </w:r>
          </w:p>
          <w:p>
            <w:pPr>
              <w:adjustRightInd w:val="0"/>
              <w:snapToGrid w:val="0"/>
              <w:ind w:firstLine="420"/>
              <w:rPr>
                <w:rFonts w:eastAsia="宋体" w:cs="Times New Roman"/>
                <w:color w:val="auto"/>
                <w:kern w:val="0"/>
                <w:sz w:val="21"/>
                <w:szCs w:val="21"/>
              </w:rPr>
            </w:pPr>
          </w:p>
          <w:p>
            <w:pPr>
              <w:adjustRightInd w:val="0"/>
              <w:snapToGrid w:val="0"/>
              <w:ind w:firstLine="420"/>
              <w:rPr>
                <w:rFonts w:eastAsia="宋体" w:cs="Times New Roman"/>
                <w:color w:val="auto"/>
                <w:kern w:val="0"/>
                <w:sz w:val="21"/>
                <w:szCs w:val="21"/>
              </w:rPr>
            </w:pPr>
          </w:p>
          <w:p>
            <w:pPr>
              <w:adjustRightInd w:val="0"/>
              <w:snapToGrid w:val="0"/>
              <w:spacing w:line="240" w:lineRule="auto"/>
              <w:ind w:firstLine="0" w:firstLineChars="0"/>
              <w:jc w:val="center"/>
              <w:rPr>
                <w:rFonts w:eastAsia="宋体" w:cs="Times New Roman"/>
                <w:b/>
                <w:color w:val="auto"/>
                <w:kern w:val="0"/>
                <w:sz w:val="21"/>
                <w:szCs w:val="21"/>
              </w:rPr>
            </w:pPr>
            <w:r>
              <w:rPr>
                <w:rFonts w:hint="eastAsia" w:eastAsia="宋体" w:cs="Times New Roman"/>
                <w:b/>
                <w:color w:val="auto"/>
                <w:kern w:val="0"/>
                <w:sz w:val="21"/>
                <w:szCs w:val="21"/>
              </w:rPr>
              <w:t>表3-5 项目线路边导线两侧40m声环境、电磁环境保护目标</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398"/>
              <w:gridCol w:w="636"/>
              <w:gridCol w:w="1398"/>
              <w:gridCol w:w="764"/>
              <w:gridCol w:w="1493"/>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spacing w:line="240" w:lineRule="auto"/>
                    <w:ind w:firstLine="0" w:firstLineChars="0"/>
                    <w:jc w:val="center"/>
                    <w:rPr>
                      <w:rFonts w:cs="Times New Roman"/>
                      <w:sz w:val="21"/>
                      <w:szCs w:val="21"/>
                    </w:rPr>
                  </w:pPr>
                  <w:r>
                    <w:rPr>
                      <w:rFonts w:cs="Times New Roman"/>
                      <w:sz w:val="21"/>
                      <w:szCs w:val="21"/>
                    </w:rPr>
                    <w:t>名称</w:t>
                  </w:r>
                </w:p>
              </w:tc>
              <w:tc>
                <w:tcPr>
                  <w:tcW w:w="869" w:type="pct"/>
                  <w:vAlign w:val="center"/>
                </w:tcPr>
                <w:p>
                  <w:pPr>
                    <w:spacing w:line="240" w:lineRule="auto"/>
                    <w:ind w:firstLine="0" w:firstLineChars="0"/>
                    <w:jc w:val="center"/>
                    <w:rPr>
                      <w:rFonts w:cs="Times New Roman"/>
                      <w:sz w:val="21"/>
                      <w:szCs w:val="21"/>
                    </w:rPr>
                  </w:pPr>
                  <w:r>
                    <w:rPr>
                      <w:rFonts w:cs="Times New Roman"/>
                      <w:sz w:val="21"/>
                      <w:szCs w:val="21"/>
                    </w:rPr>
                    <w:t>功能</w:t>
                  </w:r>
                </w:p>
              </w:tc>
              <w:tc>
                <w:tcPr>
                  <w:tcW w:w="395" w:type="pct"/>
                  <w:vAlign w:val="center"/>
                </w:tcPr>
                <w:p>
                  <w:pPr>
                    <w:spacing w:line="240" w:lineRule="auto"/>
                    <w:ind w:firstLine="0" w:firstLineChars="0"/>
                    <w:jc w:val="center"/>
                    <w:rPr>
                      <w:rFonts w:cs="Times New Roman"/>
                      <w:sz w:val="21"/>
                      <w:szCs w:val="21"/>
                    </w:rPr>
                  </w:pPr>
                  <w:r>
                    <w:rPr>
                      <w:rFonts w:cs="Times New Roman"/>
                      <w:sz w:val="21"/>
                      <w:szCs w:val="21"/>
                    </w:rPr>
                    <w:t>数量</w:t>
                  </w:r>
                </w:p>
              </w:tc>
              <w:tc>
                <w:tcPr>
                  <w:tcW w:w="869" w:type="pct"/>
                  <w:vAlign w:val="center"/>
                </w:tcPr>
                <w:p>
                  <w:pPr>
                    <w:spacing w:line="240" w:lineRule="auto"/>
                    <w:ind w:firstLine="0" w:firstLineChars="0"/>
                    <w:jc w:val="center"/>
                    <w:rPr>
                      <w:rFonts w:cs="Times New Roman"/>
                      <w:sz w:val="21"/>
                      <w:szCs w:val="21"/>
                    </w:rPr>
                  </w:pPr>
                  <w:r>
                    <w:rPr>
                      <w:rFonts w:cs="Times New Roman"/>
                      <w:sz w:val="21"/>
                      <w:szCs w:val="21"/>
                    </w:rPr>
                    <w:t>建筑物楼层</w:t>
                  </w:r>
                </w:p>
              </w:tc>
              <w:tc>
                <w:tcPr>
                  <w:tcW w:w="475" w:type="pct"/>
                  <w:vAlign w:val="center"/>
                </w:tcPr>
                <w:p>
                  <w:pPr>
                    <w:spacing w:line="240" w:lineRule="auto"/>
                    <w:ind w:firstLine="0" w:firstLineChars="0"/>
                    <w:jc w:val="center"/>
                    <w:rPr>
                      <w:rFonts w:cs="Times New Roman"/>
                      <w:sz w:val="21"/>
                      <w:szCs w:val="21"/>
                    </w:rPr>
                  </w:pPr>
                  <w:r>
                    <w:rPr>
                      <w:rFonts w:cs="Times New Roman"/>
                      <w:sz w:val="21"/>
                      <w:szCs w:val="21"/>
                    </w:rPr>
                    <w:t>高度</w:t>
                  </w:r>
                  <w:r>
                    <w:rPr>
                      <w:rFonts w:hint="eastAsia" w:cs="Times New Roman"/>
                      <w:sz w:val="21"/>
                      <w:szCs w:val="21"/>
                    </w:rPr>
                    <w:t>m</w:t>
                  </w:r>
                </w:p>
              </w:tc>
              <w:tc>
                <w:tcPr>
                  <w:tcW w:w="928" w:type="pct"/>
                  <w:vAlign w:val="center"/>
                </w:tcPr>
                <w:p>
                  <w:pPr>
                    <w:spacing w:line="240" w:lineRule="auto"/>
                    <w:ind w:firstLine="0" w:firstLineChars="0"/>
                    <w:jc w:val="center"/>
                    <w:rPr>
                      <w:rFonts w:cs="Times New Roman"/>
                      <w:sz w:val="21"/>
                      <w:szCs w:val="21"/>
                    </w:rPr>
                  </w:pPr>
                  <w:r>
                    <w:rPr>
                      <w:rFonts w:cs="Times New Roman"/>
                      <w:sz w:val="21"/>
                      <w:szCs w:val="21"/>
                    </w:rPr>
                    <w:t>相对位置</w:t>
                  </w:r>
                </w:p>
              </w:tc>
              <w:tc>
                <w:tcPr>
                  <w:tcW w:w="926" w:type="pct"/>
                  <w:vAlign w:val="center"/>
                </w:tcPr>
                <w:p>
                  <w:pPr>
                    <w:spacing w:line="240" w:lineRule="auto"/>
                    <w:ind w:firstLine="0" w:firstLineChars="0"/>
                    <w:jc w:val="center"/>
                    <w:rPr>
                      <w:rFonts w:cs="Times New Roman"/>
                      <w:sz w:val="21"/>
                      <w:szCs w:val="21"/>
                    </w:rPr>
                  </w:pPr>
                  <w:r>
                    <w:rPr>
                      <w:rFonts w:cs="Times New Roman"/>
                      <w:sz w:val="21"/>
                      <w:szCs w:val="21"/>
                    </w:rPr>
                    <w:t>执行标准</w:t>
                  </w:r>
                  <w:r>
                    <w:rPr>
                      <w:rFonts w:hint="eastAsia" w:cs="Times New Roman"/>
                      <w:sz w:val="21"/>
                      <w:szCs w:val="21"/>
                    </w:rPr>
                    <w:t>/功能区类别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spacing w:line="240" w:lineRule="auto"/>
                    <w:ind w:firstLine="0" w:firstLineChars="0"/>
                    <w:jc w:val="center"/>
                    <w:rPr>
                      <w:rFonts w:cs="Times New Roman"/>
                      <w:sz w:val="21"/>
                      <w:szCs w:val="21"/>
                    </w:rPr>
                  </w:pPr>
                  <w:r>
                    <w:rPr>
                      <w:rFonts w:cs="Times New Roman"/>
                      <w:sz w:val="21"/>
                      <w:szCs w:val="21"/>
                    </w:rPr>
                    <w:t>渌雇屯民房</w:t>
                  </w:r>
                </w:p>
              </w:tc>
              <w:tc>
                <w:tcPr>
                  <w:tcW w:w="869" w:type="pct"/>
                  <w:vAlign w:val="center"/>
                </w:tcPr>
                <w:p>
                  <w:pPr>
                    <w:spacing w:line="240" w:lineRule="auto"/>
                    <w:ind w:firstLine="0" w:firstLineChars="0"/>
                    <w:jc w:val="center"/>
                    <w:rPr>
                      <w:rFonts w:cs="Times New Roman"/>
                      <w:sz w:val="21"/>
                      <w:szCs w:val="21"/>
                    </w:rPr>
                  </w:pPr>
                  <w:r>
                    <w:rPr>
                      <w:rFonts w:cs="Times New Roman"/>
                      <w:sz w:val="21"/>
                      <w:szCs w:val="21"/>
                    </w:rPr>
                    <w:t>民宅</w:t>
                  </w:r>
                </w:p>
              </w:tc>
              <w:tc>
                <w:tcPr>
                  <w:tcW w:w="395" w:type="pct"/>
                  <w:vAlign w:val="center"/>
                </w:tcPr>
                <w:p>
                  <w:pPr>
                    <w:spacing w:line="240" w:lineRule="auto"/>
                    <w:ind w:firstLine="0" w:firstLineChars="0"/>
                    <w:jc w:val="center"/>
                    <w:rPr>
                      <w:rFonts w:cs="Times New Roman"/>
                      <w:sz w:val="21"/>
                      <w:szCs w:val="21"/>
                    </w:rPr>
                  </w:pPr>
                  <w:r>
                    <w:rPr>
                      <w:rFonts w:hint="eastAsia" w:cs="Times New Roman"/>
                      <w:sz w:val="21"/>
                      <w:szCs w:val="21"/>
                    </w:rPr>
                    <w:t>1</w:t>
                  </w:r>
                </w:p>
              </w:tc>
              <w:tc>
                <w:tcPr>
                  <w:tcW w:w="869" w:type="pct"/>
                  <w:vAlign w:val="center"/>
                </w:tcPr>
                <w:p>
                  <w:pPr>
                    <w:spacing w:line="240" w:lineRule="auto"/>
                    <w:ind w:firstLine="0" w:firstLineChars="0"/>
                    <w:jc w:val="center"/>
                    <w:rPr>
                      <w:rFonts w:cs="Times New Roman"/>
                      <w:sz w:val="21"/>
                      <w:szCs w:val="21"/>
                    </w:rPr>
                  </w:pPr>
                  <w:r>
                    <w:rPr>
                      <w:rFonts w:hint="eastAsia" w:cs="Times New Roman"/>
                      <w:sz w:val="21"/>
                      <w:szCs w:val="21"/>
                    </w:rPr>
                    <w:t>1~2层</w:t>
                  </w:r>
                </w:p>
              </w:tc>
              <w:tc>
                <w:tcPr>
                  <w:tcW w:w="475" w:type="pct"/>
                  <w:vAlign w:val="center"/>
                </w:tcPr>
                <w:p>
                  <w:pPr>
                    <w:spacing w:line="240" w:lineRule="auto"/>
                    <w:ind w:firstLine="0" w:firstLineChars="0"/>
                    <w:jc w:val="center"/>
                    <w:rPr>
                      <w:rFonts w:cs="Times New Roman"/>
                      <w:sz w:val="21"/>
                      <w:szCs w:val="21"/>
                    </w:rPr>
                  </w:pPr>
                  <w:r>
                    <w:rPr>
                      <w:rFonts w:hint="eastAsia" w:cs="Times New Roman"/>
                      <w:sz w:val="21"/>
                      <w:szCs w:val="21"/>
                    </w:rPr>
                    <w:t>6</w:t>
                  </w:r>
                </w:p>
              </w:tc>
              <w:tc>
                <w:tcPr>
                  <w:tcW w:w="928" w:type="pct"/>
                  <w:vAlign w:val="center"/>
                </w:tcPr>
                <w:p>
                  <w:pPr>
                    <w:spacing w:line="240" w:lineRule="auto"/>
                    <w:ind w:firstLine="0" w:firstLineChars="0"/>
                    <w:jc w:val="center"/>
                    <w:rPr>
                      <w:rFonts w:cs="Times New Roman"/>
                      <w:sz w:val="21"/>
                      <w:szCs w:val="21"/>
                    </w:rPr>
                  </w:pPr>
                  <w:r>
                    <w:rPr>
                      <w:rFonts w:hint="eastAsia" w:cs="Times New Roman"/>
                      <w:sz w:val="21"/>
                      <w:szCs w:val="21"/>
                    </w:rPr>
                    <w:t>JA27塔南侧约34m</w:t>
                  </w:r>
                </w:p>
              </w:tc>
              <w:tc>
                <w:tcPr>
                  <w:tcW w:w="926" w:type="pct"/>
                  <w:vAlign w:val="center"/>
                </w:tcPr>
                <w:p>
                  <w:pPr>
                    <w:spacing w:line="240" w:lineRule="auto"/>
                    <w:ind w:firstLine="0" w:firstLineChars="0"/>
                    <w:jc w:val="center"/>
                    <w:rPr>
                      <w:rFonts w:cs="Times New Roman"/>
                      <w:sz w:val="21"/>
                      <w:szCs w:val="21"/>
                    </w:rPr>
                  </w:pPr>
                  <w:r>
                    <w:rPr>
                      <w:rFonts w:hint="eastAsia" w:cs="Times New Roman"/>
                      <w:sz w:val="21"/>
                      <w:szCs w:val="21"/>
                    </w:rPr>
                    <w:t>1</w:t>
                  </w:r>
                </w:p>
              </w:tc>
            </w:tr>
          </w:tbl>
          <w:p>
            <w:pPr>
              <w:adjustRightInd w:val="0"/>
              <w:snapToGrid w:val="0"/>
              <w:ind w:firstLine="482"/>
              <w:rPr>
                <w:rFonts w:eastAsia="宋体" w:cs="Times New Roman"/>
                <w:b/>
                <w:color w:val="auto"/>
                <w:kern w:val="0"/>
                <w:szCs w:val="24"/>
              </w:rPr>
            </w:pPr>
            <w:r>
              <w:rPr>
                <w:rFonts w:hint="eastAsia" w:eastAsia="宋体" w:cs="Times New Roman"/>
                <w:b/>
                <w:color w:val="auto"/>
                <w:kern w:val="0"/>
                <w:szCs w:val="24"/>
              </w:rPr>
              <w:t>3、电磁环境保护目标</w:t>
            </w:r>
          </w:p>
          <w:p>
            <w:pPr>
              <w:adjustRightInd w:val="0"/>
              <w:snapToGrid w:val="0"/>
              <w:ind w:firstLine="480"/>
              <w:rPr>
                <w:rFonts w:eastAsia="宋体" w:cs="Times New Roman"/>
                <w:color w:val="auto"/>
                <w:kern w:val="0"/>
                <w:szCs w:val="24"/>
              </w:rPr>
            </w:pPr>
            <w:r>
              <w:rPr>
                <w:rFonts w:eastAsia="宋体" w:cs="Times New Roman"/>
                <w:color w:val="auto"/>
                <w:kern w:val="0"/>
                <w:szCs w:val="24"/>
              </w:rPr>
              <w:t>项目</w:t>
            </w:r>
            <w:r>
              <w:rPr>
                <w:rFonts w:hint="eastAsia" w:eastAsia="宋体" w:cs="Times New Roman"/>
                <w:color w:val="auto"/>
                <w:kern w:val="0"/>
                <w:szCs w:val="24"/>
              </w:rPr>
              <w:t>茶花变电站</w:t>
            </w:r>
            <w:r>
              <w:rPr>
                <w:rFonts w:eastAsia="宋体" w:cs="Times New Roman"/>
                <w:color w:val="auto"/>
                <w:kern w:val="0"/>
                <w:szCs w:val="24"/>
              </w:rPr>
              <w:t>扩建间隔侧边界外</w:t>
            </w:r>
            <w:r>
              <w:rPr>
                <w:rFonts w:hint="eastAsia" w:eastAsia="宋体" w:cs="Times New Roman"/>
                <w:color w:val="auto"/>
                <w:kern w:val="0"/>
                <w:szCs w:val="24"/>
              </w:rPr>
              <w:t>4</w:t>
            </w:r>
            <w:r>
              <w:rPr>
                <w:rFonts w:eastAsia="宋体" w:cs="Times New Roman"/>
                <w:color w:val="auto"/>
                <w:kern w:val="0"/>
                <w:szCs w:val="24"/>
              </w:rPr>
              <w:t>0范围内无电磁环境敏感目标，输电线路边导线地面投影外两侧各</w:t>
            </w:r>
            <w:r>
              <w:rPr>
                <w:rFonts w:hint="eastAsia" w:eastAsia="宋体" w:cs="Times New Roman"/>
                <w:color w:val="auto"/>
                <w:kern w:val="0"/>
                <w:szCs w:val="24"/>
              </w:rPr>
              <w:t>4</w:t>
            </w:r>
            <w:r>
              <w:rPr>
                <w:rFonts w:eastAsia="宋体" w:cs="Times New Roman"/>
                <w:color w:val="auto"/>
                <w:kern w:val="0"/>
                <w:szCs w:val="24"/>
              </w:rPr>
              <w:t>0m范围内电磁环境敏感目标见下表</w:t>
            </w:r>
            <w:r>
              <w:rPr>
                <w:rFonts w:hint="eastAsia" w:eastAsia="宋体" w:cs="Times New Roman"/>
                <w:color w:val="auto"/>
                <w:kern w:val="0"/>
                <w:szCs w:val="24"/>
              </w:rPr>
              <w:t>3-6</w:t>
            </w:r>
            <w:r>
              <w:rPr>
                <w:rFonts w:eastAsia="宋体" w:cs="Times New Roman"/>
                <w:color w:val="auto"/>
                <w:kern w:val="0"/>
                <w:szCs w:val="24"/>
              </w:rPr>
              <w:t>。</w:t>
            </w:r>
          </w:p>
          <w:p>
            <w:pPr>
              <w:spacing w:line="240" w:lineRule="auto"/>
              <w:ind w:firstLine="0" w:firstLineChars="0"/>
              <w:jc w:val="center"/>
              <w:rPr>
                <w:rFonts w:cs="Times New Roman"/>
                <w:b/>
                <w:color w:val="auto"/>
                <w:sz w:val="21"/>
                <w:szCs w:val="21"/>
              </w:rPr>
            </w:pPr>
            <w:r>
              <w:rPr>
                <w:rFonts w:cs="Times New Roman"/>
                <w:b/>
                <w:color w:val="auto"/>
                <w:sz w:val="21"/>
                <w:szCs w:val="21"/>
              </w:rPr>
              <w:t>表</w:t>
            </w:r>
            <w:r>
              <w:rPr>
                <w:rFonts w:hint="eastAsia" w:cs="Times New Roman"/>
                <w:b/>
                <w:color w:val="auto"/>
                <w:sz w:val="21"/>
                <w:szCs w:val="21"/>
              </w:rPr>
              <w:t>3</w:t>
            </w:r>
            <w:r>
              <w:rPr>
                <w:rFonts w:cs="Times New Roman"/>
                <w:b/>
                <w:color w:val="auto"/>
                <w:sz w:val="21"/>
                <w:szCs w:val="21"/>
              </w:rPr>
              <w:t>-</w:t>
            </w:r>
            <w:r>
              <w:rPr>
                <w:rFonts w:hint="eastAsia" w:cs="Times New Roman"/>
                <w:b/>
                <w:color w:val="auto"/>
                <w:sz w:val="21"/>
                <w:szCs w:val="21"/>
              </w:rPr>
              <w:t>6</w:t>
            </w:r>
            <w:r>
              <w:rPr>
                <w:rFonts w:cs="Times New Roman"/>
                <w:b/>
                <w:color w:val="auto"/>
                <w:sz w:val="21"/>
                <w:szCs w:val="21"/>
              </w:rPr>
              <w:t xml:space="preserve"> 本项目电磁环境敏感目标一览表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710"/>
              <w:gridCol w:w="665"/>
              <w:gridCol w:w="1035"/>
              <w:gridCol w:w="993"/>
              <w:gridCol w:w="184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名称</w:t>
                  </w:r>
                </w:p>
              </w:tc>
              <w:tc>
                <w:tcPr>
                  <w:tcW w:w="44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功能</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数量</w:t>
                  </w:r>
                </w:p>
              </w:tc>
              <w:tc>
                <w:tcPr>
                  <w:tcW w:w="64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建筑物楼层</w:t>
                  </w:r>
                </w:p>
              </w:tc>
              <w:tc>
                <w:tcPr>
                  <w:tcW w:w="61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高度</w:t>
                  </w:r>
                  <w:r>
                    <w:rPr>
                      <w:rFonts w:hint="eastAsia" w:cs="Times New Roman"/>
                      <w:color w:val="auto"/>
                      <w:sz w:val="21"/>
                      <w:szCs w:val="21"/>
                    </w:rPr>
                    <w:t>m</w:t>
                  </w:r>
                </w:p>
              </w:tc>
              <w:tc>
                <w:tcPr>
                  <w:tcW w:w="114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相对位置</w:t>
                  </w:r>
                </w:p>
              </w:tc>
              <w:tc>
                <w:tcPr>
                  <w:tcW w:w="70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导线对地高度</w:t>
                  </w:r>
                  <w:r>
                    <w:rPr>
                      <w:rFonts w:hint="eastAsia" w:cs="Times New Roman"/>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vAlign w:val="center"/>
                </w:tcPr>
                <w:p>
                  <w:pPr>
                    <w:spacing w:line="240" w:lineRule="auto"/>
                    <w:ind w:firstLine="0" w:firstLineChars="0"/>
                    <w:jc w:val="center"/>
                    <w:rPr>
                      <w:rFonts w:cs="Times New Roman"/>
                      <w:sz w:val="21"/>
                      <w:szCs w:val="21"/>
                    </w:rPr>
                  </w:pPr>
                  <w:r>
                    <w:rPr>
                      <w:rFonts w:cs="Times New Roman"/>
                      <w:sz w:val="21"/>
                      <w:szCs w:val="21"/>
                    </w:rPr>
                    <w:t>渌雇屯民房</w:t>
                  </w:r>
                </w:p>
              </w:tc>
              <w:tc>
                <w:tcPr>
                  <w:tcW w:w="441" w:type="pct"/>
                  <w:vAlign w:val="center"/>
                </w:tcPr>
                <w:p>
                  <w:pPr>
                    <w:spacing w:line="240" w:lineRule="auto"/>
                    <w:ind w:firstLine="0" w:firstLineChars="0"/>
                    <w:jc w:val="center"/>
                    <w:rPr>
                      <w:rFonts w:cs="Times New Roman"/>
                      <w:sz w:val="21"/>
                      <w:szCs w:val="21"/>
                    </w:rPr>
                  </w:pPr>
                  <w:r>
                    <w:rPr>
                      <w:rFonts w:cs="Times New Roman"/>
                      <w:sz w:val="21"/>
                      <w:szCs w:val="21"/>
                    </w:rPr>
                    <w:t>民宅</w:t>
                  </w:r>
                </w:p>
              </w:tc>
              <w:tc>
                <w:tcPr>
                  <w:tcW w:w="413" w:type="pct"/>
                  <w:vAlign w:val="center"/>
                </w:tcPr>
                <w:p>
                  <w:pPr>
                    <w:spacing w:line="240" w:lineRule="auto"/>
                    <w:ind w:firstLine="0" w:firstLineChars="0"/>
                    <w:jc w:val="center"/>
                    <w:rPr>
                      <w:rFonts w:cs="Times New Roman"/>
                      <w:sz w:val="21"/>
                      <w:szCs w:val="21"/>
                    </w:rPr>
                  </w:pPr>
                  <w:r>
                    <w:rPr>
                      <w:rFonts w:hint="eastAsia" w:cs="Times New Roman"/>
                      <w:sz w:val="21"/>
                      <w:szCs w:val="21"/>
                    </w:rPr>
                    <w:t>1</w:t>
                  </w:r>
                </w:p>
              </w:tc>
              <w:tc>
                <w:tcPr>
                  <w:tcW w:w="643" w:type="pct"/>
                  <w:vAlign w:val="center"/>
                </w:tcPr>
                <w:p>
                  <w:pPr>
                    <w:spacing w:line="240" w:lineRule="auto"/>
                    <w:ind w:firstLine="0" w:firstLineChars="0"/>
                    <w:jc w:val="center"/>
                    <w:rPr>
                      <w:rFonts w:cs="Times New Roman"/>
                      <w:sz w:val="21"/>
                      <w:szCs w:val="21"/>
                    </w:rPr>
                  </w:pPr>
                  <w:r>
                    <w:rPr>
                      <w:rFonts w:hint="eastAsia" w:cs="Times New Roman"/>
                      <w:sz w:val="21"/>
                      <w:szCs w:val="21"/>
                    </w:rPr>
                    <w:t>1~2层</w:t>
                  </w:r>
                </w:p>
              </w:tc>
              <w:tc>
                <w:tcPr>
                  <w:tcW w:w="617" w:type="pct"/>
                  <w:vAlign w:val="center"/>
                </w:tcPr>
                <w:p>
                  <w:pPr>
                    <w:spacing w:line="240" w:lineRule="auto"/>
                    <w:ind w:firstLine="0" w:firstLineChars="0"/>
                    <w:jc w:val="center"/>
                    <w:rPr>
                      <w:rFonts w:cs="Times New Roman"/>
                      <w:sz w:val="21"/>
                      <w:szCs w:val="21"/>
                    </w:rPr>
                  </w:pPr>
                  <w:r>
                    <w:rPr>
                      <w:rFonts w:hint="eastAsia" w:cs="Times New Roman"/>
                      <w:sz w:val="21"/>
                      <w:szCs w:val="21"/>
                    </w:rPr>
                    <w:t>6</w:t>
                  </w:r>
                </w:p>
              </w:tc>
              <w:tc>
                <w:tcPr>
                  <w:tcW w:w="1145" w:type="pct"/>
                  <w:vAlign w:val="center"/>
                </w:tcPr>
                <w:p>
                  <w:pPr>
                    <w:spacing w:line="240" w:lineRule="auto"/>
                    <w:ind w:firstLine="0" w:firstLineChars="0"/>
                    <w:jc w:val="center"/>
                    <w:rPr>
                      <w:rFonts w:cs="Times New Roman"/>
                      <w:sz w:val="21"/>
                      <w:szCs w:val="21"/>
                    </w:rPr>
                  </w:pPr>
                  <w:r>
                    <w:rPr>
                      <w:rFonts w:hint="eastAsia" w:cs="Times New Roman"/>
                      <w:sz w:val="21"/>
                      <w:szCs w:val="21"/>
                    </w:rPr>
                    <w:t>线路南侧约34m</w:t>
                  </w:r>
                </w:p>
              </w:tc>
              <w:tc>
                <w:tcPr>
                  <w:tcW w:w="70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木板厂房</w:t>
                  </w:r>
                  <w:r>
                    <w:rPr>
                      <w:rFonts w:hint="eastAsia" w:cs="Times New Roman"/>
                      <w:color w:val="auto"/>
                      <w:sz w:val="21"/>
                      <w:szCs w:val="21"/>
                    </w:rPr>
                    <w:t>1</w:t>
                  </w:r>
                </w:p>
              </w:tc>
              <w:tc>
                <w:tcPr>
                  <w:tcW w:w="44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厂房</w:t>
                  </w:r>
                </w:p>
              </w:tc>
              <w:tc>
                <w:tcPr>
                  <w:tcW w:w="41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64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1层</w:t>
                  </w:r>
                </w:p>
              </w:tc>
              <w:tc>
                <w:tcPr>
                  <w:tcW w:w="617"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1145"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线路西侧约17</w:t>
                  </w:r>
                  <w:r>
                    <w:rPr>
                      <w:rFonts w:hint="eastAsia" w:cs="Times New Roman"/>
                      <w:sz w:val="21"/>
                      <w:szCs w:val="21"/>
                    </w:rPr>
                    <w:t xml:space="preserve"> m</w:t>
                  </w:r>
                </w:p>
              </w:tc>
              <w:tc>
                <w:tcPr>
                  <w:tcW w:w="70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木板厂房</w:t>
                  </w:r>
                  <w:r>
                    <w:rPr>
                      <w:rFonts w:hint="eastAsia" w:cs="Times New Roman"/>
                      <w:color w:val="auto"/>
                      <w:sz w:val="21"/>
                      <w:szCs w:val="21"/>
                    </w:rPr>
                    <w:t>2</w:t>
                  </w:r>
                </w:p>
              </w:tc>
              <w:tc>
                <w:tcPr>
                  <w:tcW w:w="441"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厂房</w:t>
                  </w:r>
                </w:p>
              </w:tc>
              <w:tc>
                <w:tcPr>
                  <w:tcW w:w="41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64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1层</w:t>
                  </w:r>
                </w:p>
              </w:tc>
              <w:tc>
                <w:tcPr>
                  <w:tcW w:w="617"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114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线路东侧约</w:t>
                  </w:r>
                  <w:r>
                    <w:rPr>
                      <w:rFonts w:hint="eastAsia" w:cs="Times New Roman"/>
                      <w:color w:val="auto"/>
                      <w:sz w:val="21"/>
                      <w:szCs w:val="21"/>
                    </w:rPr>
                    <w:t>24</w:t>
                  </w:r>
                  <w:r>
                    <w:rPr>
                      <w:rFonts w:hint="eastAsia" w:cs="Times New Roman"/>
                      <w:sz w:val="21"/>
                      <w:szCs w:val="21"/>
                    </w:rPr>
                    <w:t xml:space="preserve"> m</w:t>
                  </w:r>
                </w:p>
              </w:tc>
              <w:tc>
                <w:tcPr>
                  <w:tcW w:w="70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木板厂房</w:t>
                  </w:r>
                  <w:r>
                    <w:rPr>
                      <w:rFonts w:hint="eastAsia" w:cs="Times New Roman"/>
                      <w:color w:val="auto"/>
                      <w:sz w:val="21"/>
                      <w:szCs w:val="21"/>
                    </w:rPr>
                    <w:t>3</w:t>
                  </w:r>
                </w:p>
              </w:tc>
              <w:tc>
                <w:tcPr>
                  <w:tcW w:w="441" w:type="pct"/>
                  <w:vAlign w:val="center"/>
                </w:tcPr>
                <w:p>
                  <w:pPr>
                    <w:spacing w:line="240" w:lineRule="auto"/>
                    <w:ind w:firstLine="0" w:firstLineChars="0"/>
                    <w:jc w:val="center"/>
                    <w:rPr>
                      <w:rFonts w:cs="Times New Roman"/>
                      <w:color w:val="auto"/>
                      <w:sz w:val="21"/>
                    </w:rPr>
                  </w:pPr>
                  <w:r>
                    <w:rPr>
                      <w:rFonts w:hint="eastAsia" w:cs="Times New Roman"/>
                      <w:color w:val="auto"/>
                      <w:sz w:val="21"/>
                    </w:rPr>
                    <w:t>厂房</w:t>
                  </w:r>
                </w:p>
              </w:tc>
              <w:tc>
                <w:tcPr>
                  <w:tcW w:w="41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64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1层</w:t>
                  </w:r>
                </w:p>
              </w:tc>
              <w:tc>
                <w:tcPr>
                  <w:tcW w:w="617"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114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线路西侧约</w:t>
                  </w:r>
                  <w:r>
                    <w:rPr>
                      <w:rFonts w:hint="eastAsia" w:cs="Times New Roman"/>
                      <w:color w:val="auto"/>
                      <w:sz w:val="21"/>
                      <w:szCs w:val="21"/>
                    </w:rPr>
                    <w:t>19</w:t>
                  </w:r>
                  <w:r>
                    <w:rPr>
                      <w:rFonts w:hint="eastAsia" w:cs="Times New Roman"/>
                      <w:sz w:val="21"/>
                      <w:szCs w:val="21"/>
                    </w:rPr>
                    <w:t xml:space="preserve"> m</w:t>
                  </w:r>
                </w:p>
              </w:tc>
              <w:tc>
                <w:tcPr>
                  <w:tcW w:w="70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木板厂房</w:t>
                  </w:r>
                  <w:r>
                    <w:rPr>
                      <w:rFonts w:hint="eastAsia" w:cs="Times New Roman"/>
                      <w:color w:val="auto"/>
                      <w:sz w:val="21"/>
                      <w:szCs w:val="21"/>
                    </w:rPr>
                    <w:t>4</w:t>
                  </w:r>
                </w:p>
              </w:tc>
              <w:tc>
                <w:tcPr>
                  <w:tcW w:w="441" w:type="pct"/>
                  <w:vAlign w:val="center"/>
                </w:tcPr>
                <w:p>
                  <w:pPr>
                    <w:spacing w:line="240" w:lineRule="auto"/>
                    <w:ind w:firstLine="0" w:firstLineChars="0"/>
                    <w:jc w:val="center"/>
                    <w:rPr>
                      <w:rFonts w:cs="Times New Roman"/>
                      <w:color w:val="auto"/>
                      <w:sz w:val="21"/>
                    </w:rPr>
                  </w:pPr>
                  <w:r>
                    <w:rPr>
                      <w:rFonts w:cs="Times New Roman"/>
                      <w:color w:val="auto"/>
                      <w:sz w:val="21"/>
                    </w:rPr>
                    <w:t>厂房</w:t>
                  </w:r>
                </w:p>
              </w:tc>
              <w:tc>
                <w:tcPr>
                  <w:tcW w:w="41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w:t>
                  </w:r>
                </w:p>
              </w:tc>
              <w:tc>
                <w:tcPr>
                  <w:tcW w:w="643"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1层</w:t>
                  </w:r>
                </w:p>
              </w:tc>
              <w:tc>
                <w:tcPr>
                  <w:tcW w:w="617"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w:t>
                  </w:r>
                </w:p>
              </w:tc>
              <w:tc>
                <w:tcPr>
                  <w:tcW w:w="1145"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线路西侧约</w:t>
                  </w:r>
                  <w:r>
                    <w:rPr>
                      <w:rFonts w:hint="eastAsia" w:cs="Times New Roman"/>
                      <w:color w:val="auto"/>
                      <w:sz w:val="21"/>
                      <w:szCs w:val="21"/>
                    </w:rPr>
                    <w:t>32</w:t>
                  </w:r>
                  <w:r>
                    <w:rPr>
                      <w:rFonts w:hint="eastAsia" w:cs="Times New Roman"/>
                      <w:sz w:val="21"/>
                      <w:szCs w:val="21"/>
                    </w:rPr>
                    <w:t xml:space="preserve"> m</w:t>
                  </w:r>
                </w:p>
              </w:tc>
              <w:tc>
                <w:tcPr>
                  <w:tcW w:w="701"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44</w:t>
                  </w:r>
                </w:p>
              </w:tc>
            </w:tr>
          </w:tbl>
          <w:p>
            <w:pPr>
              <w:ind w:firstLine="482"/>
              <w:rPr>
                <w:rFonts w:eastAsia="宋体" w:cs="Times New Roman"/>
                <w:b/>
                <w:color w:val="auto"/>
                <w:szCs w:val="24"/>
              </w:rPr>
            </w:pPr>
            <w:r>
              <w:rPr>
                <w:rFonts w:hint="eastAsia" w:eastAsia="宋体" w:cs="Times New Roman"/>
                <w:b/>
                <w:color w:val="auto"/>
                <w:szCs w:val="24"/>
              </w:rPr>
              <w:t>4、地表水环境保护目标</w:t>
            </w:r>
          </w:p>
          <w:p>
            <w:pPr>
              <w:ind w:firstLine="480"/>
              <w:rPr>
                <w:rFonts w:eastAsia="宋体" w:cs="Times New Roman"/>
                <w:color w:val="auto"/>
                <w:szCs w:val="24"/>
              </w:rPr>
            </w:pPr>
            <w:r>
              <w:rPr>
                <w:rFonts w:eastAsia="宋体" w:cs="Times New Roman"/>
                <w:color w:val="auto"/>
                <w:szCs w:val="24"/>
              </w:rPr>
              <w:t>项目占地</w:t>
            </w:r>
            <w:r>
              <w:rPr>
                <w:rFonts w:hint="eastAsia" w:eastAsia="宋体" w:cs="Times New Roman"/>
                <w:color w:val="auto"/>
                <w:szCs w:val="24"/>
              </w:rPr>
              <w:t>不</w:t>
            </w:r>
            <w:r>
              <w:rPr>
                <w:rFonts w:eastAsia="宋体" w:cs="Times New Roman"/>
                <w:color w:val="auto"/>
                <w:szCs w:val="24"/>
              </w:rPr>
              <w:t>涉及饮用水源保护区，项目附近饮用水源保护区为那板水库饮用水源保护区，</w:t>
            </w:r>
            <w:r>
              <w:rPr>
                <w:rFonts w:hint="eastAsia" w:eastAsia="宋体" w:cs="Times New Roman"/>
                <w:color w:val="auto"/>
                <w:szCs w:val="24"/>
              </w:rPr>
              <w:t>那板水库水源保护区为上思县现用饮用水源，为水库型水源地，服务范围覆盖上思县县城及周边村民，设计取水量 912.5 万 t/a，实际取水量为793万t/a。取水口位于县城上游东南面约 4km 的那板水库水面，划分为一级保护区和二级保护区，其划定范围及与项目位置关系见表3-7</w:t>
            </w:r>
            <w:r>
              <w:rPr>
                <w:rFonts w:eastAsia="宋体" w:cs="Times New Roman"/>
                <w:color w:val="auto"/>
                <w:szCs w:val="24"/>
              </w:rPr>
              <w:t>。</w:t>
            </w:r>
          </w:p>
          <w:p>
            <w:pPr>
              <w:spacing w:line="240" w:lineRule="auto"/>
              <w:ind w:firstLine="0" w:firstLineChars="0"/>
              <w:jc w:val="center"/>
              <w:rPr>
                <w:rFonts w:eastAsia="宋体" w:cs="Times New Roman"/>
                <w:color w:val="auto"/>
                <w:szCs w:val="24"/>
              </w:rPr>
            </w:pPr>
            <w:r>
              <w:rPr>
                <w:rFonts w:cs="Times New Roman"/>
                <w:b/>
                <w:color w:val="auto"/>
                <w:sz w:val="21"/>
                <w:szCs w:val="21"/>
              </w:rPr>
              <w:t>表</w:t>
            </w:r>
            <w:r>
              <w:rPr>
                <w:rFonts w:hint="eastAsia" w:cs="Times New Roman"/>
                <w:b/>
                <w:color w:val="auto"/>
                <w:sz w:val="21"/>
                <w:szCs w:val="21"/>
              </w:rPr>
              <w:t>3</w:t>
            </w:r>
            <w:r>
              <w:rPr>
                <w:rFonts w:cs="Times New Roman"/>
                <w:b/>
                <w:color w:val="auto"/>
                <w:sz w:val="21"/>
                <w:szCs w:val="21"/>
              </w:rPr>
              <w:t>-</w:t>
            </w:r>
            <w:r>
              <w:rPr>
                <w:rFonts w:hint="eastAsia" w:cs="Times New Roman"/>
                <w:b/>
                <w:color w:val="auto"/>
                <w:sz w:val="21"/>
                <w:szCs w:val="21"/>
              </w:rPr>
              <w:t>7</w:t>
            </w:r>
            <w:r>
              <w:rPr>
                <w:rFonts w:cs="Times New Roman"/>
                <w:b/>
                <w:color w:val="auto"/>
                <w:sz w:val="21"/>
                <w:szCs w:val="21"/>
              </w:rPr>
              <w:t xml:space="preserve"> </w:t>
            </w:r>
            <w:r>
              <w:rPr>
                <w:rFonts w:hint="eastAsia" w:cs="Times New Roman"/>
                <w:b/>
                <w:color w:val="auto"/>
                <w:sz w:val="21"/>
                <w:szCs w:val="21"/>
              </w:rPr>
              <w:t>那板</w:t>
            </w:r>
            <w:r>
              <w:rPr>
                <w:rFonts w:cs="Times New Roman"/>
                <w:b/>
                <w:color w:val="auto"/>
                <w:sz w:val="21"/>
                <w:szCs w:val="21"/>
              </w:rPr>
              <w:t>水库饮用水源保护区划定范围及与项目位置关系</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4536"/>
              <w:gridCol w:w="1133"/>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pPr>
                    <w:adjustRightInd w:val="0"/>
                    <w:spacing w:line="240" w:lineRule="auto"/>
                    <w:ind w:firstLine="0" w:firstLineChars="0"/>
                    <w:jc w:val="center"/>
                    <w:rPr>
                      <w:rFonts w:eastAsia="宋体" w:cs="Times New Roman"/>
                      <w:b/>
                      <w:sz w:val="21"/>
                      <w:szCs w:val="21"/>
                    </w:rPr>
                  </w:pPr>
                  <w:r>
                    <w:rPr>
                      <w:rFonts w:hint="eastAsia" w:eastAsia="宋体" w:cs="Times New Roman"/>
                      <w:b/>
                      <w:sz w:val="21"/>
                      <w:szCs w:val="21"/>
                    </w:rPr>
                    <w:t>保护</w:t>
                  </w:r>
                  <w:r>
                    <w:rPr>
                      <w:rFonts w:eastAsia="宋体" w:cs="Times New Roman"/>
                      <w:b/>
                      <w:sz w:val="21"/>
                      <w:szCs w:val="21"/>
                    </w:rPr>
                    <w:t>级别</w:t>
                  </w:r>
                </w:p>
              </w:tc>
              <w:tc>
                <w:tcPr>
                  <w:tcW w:w="2819" w:type="pct"/>
                  <w:vAlign w:val="center"/>
                </w:tcPr>
                <w:p>
                  <w:pPr>
                    <w:adjustRightInd w:val="0"/>
                    <w:spacing w:line="240" w:lineRule="auto"/>
                    <w:ind w:firstLine="0" w:firstLineChars="0"/>
                    <w:jc w:val="center"/>
                    <w:rPr>
                      <w:rFonts w:eastAsia="宋体" w:cs="Times New Roman"/>
                      <w:b/>
                      <w:sz w:val="21"/>
                      <w:szCs w:val="21"/>
                    </w:rPr>
                  </w:pPr>
                  <w:r>
                    <w:rPr>
                      <w:rFonts w:hint="eastAsia" w:eastAsia="宋体" w:cs="Times New Roman"/>
                      <w:b/>
                      <w:sz w:val="21"/>
                      <w:szCs w:val="21"/>
                    </w:rPr>
                    <w:t>划定</w:t>
                  </w:r>
                  <w:r>
                    <w:rPr>
                      <w:rFonts w:eastAsia="宋体" w:cs="Times New Roman"/>
                      <w:b/>
                      <w:sz w:val="21"/>
                      <w:szCs w:val="21"/>
                    </w:rPr>
                    <w:t>范围</w:t>
                  </w:r>
                </w:p>
              </w:tc>
              <w:tc>
                <w:tcPr>
                  <w:tcW w:w="704" w:type="pct"/>
                  <w:vAlign w:val="center"/>
                </w:tcPr>
                <w:p>
                  <w:pPr>
                    <w:adjustRightInd w:val="0"/>
                    <w:spacing w:line="240" w:lineRule="auto"/>
                    <w:ind w:firstLine="0" w:firstLineChars="0"/>
                    <w:jc w:val="center"/>
                    <w:rPr>
                      <w:rFonts w:eastAsia="宋体" w:cs="Times New Roman"/>
                      <w:b/>
                      <w:sz w:val="21"/>
                      <w:szCs w:val="21"/>
                    </w:rPr>
                  </w:pPr>
                  <w:r>
                    <w:rPr>
                      <w:rFonts w:hint="eastAsia" w:eastAsia="宋体" w:cs="Times New Roman"/>
                      <w:b/>
                      <w:sz w:val="21"/>
                      <w:szCs w:val="21"/>
                    </w:rPr>
                    <w:t>面积km</w:t>
                  </w:r>
                  <w:r>
                    <w:rPr>
                      <w:rFonts w:hint="eastAsia" w:eastAsia="宋体" w:cs="Times New Roman"/>
                      <w:b/>
                      <w:sz w:val="21"/>
                      <w:szCs w:val="21"/>
                      <w:vertAlign w:val="superscript"/>
                    </w:rPr>
                    <w:t>2</w:t>
                  </w:r>
                </w:p>
              </w:tc>
              <w:tc>
                <w:tcPr>
                  <w:tcW w:w="789" w:type="pct"/>
                  <w:vAlign w:val="center"/>
                </w:tcPr>
                <w:p>
                  <w:pPr>
                    <w:adjustRightInd w:val="0"/>
                    <w:spacing w:line="240" w:lineRule="auto"/>
                    <w:ind w:firstLine="0" w:firstLineChars="0"/>
                    <w:jc w:val="center"/>
                    <w:rPr>
                      <w:rFonts w:eastAsia="宋体" w:cs="Times New Roman"/>
                      <w:b/>
                      <w:sz w:val="21"/>
                      <w:szCs w:val="21"/>
                    </w:rPr>
                  </w:pPr>
                  <w:r>
                    <w:rPr>
                      <w:rFonts w:hint="eastAsia" w:eastAsia="宋体" w:cs="Times New Roman"/>
                      <w:b/>
                      <w:sz w:val="21"/>
                      <w:szCs w:val="21"/>
                    </w:rPr>
                    <w:t xml:space="preserve"> 与项目位置关系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pPr>
                    <w:adjustRightInd w:val="0"/>
                    <w:spacing w:line="240" w:lineRule="auto"/>
                    <w:ind w:firstLine="0" w:firstLineChars="0"/>
                    <w:jc w:val="center"/>
                    <w:rPr>
                      <w:rFonts w:eastAsia="宋体" w:cs="Times New Roman"/>
                      <w:sz w:val="21"/>
                      <w:szCs w:val="21"/>
                    </w:rPr>
                  </w:pPr>
                  <w:r>
                    <w:rPr>
                      <w:rFonts w:eastAsia="宋体" w:cs="Times New Roman"/>
                      <w:sz w:val="21"/>
                      <w:szCs w:val="21"/>
                    </w:rPr>
                    <w:t>一级保护区</w:t>
                  </w:r>
                </w:p>
              </w:tc>
              <w:tc>
                <w:tcPr>
                  <w:tcW w:w="2819" w:type="pct"/>
                  <w:vAlign w:val="center"/>
                </w:tcPr>
                <w:p>
                  <w:pPr>
                    <w:adjustRightInd w:val="0"/>
                    <w:spacing w:line="240" w:lineRule="auto"/>
                    <w:ind w:firstLine="0" w:firstLineChars="0"/>
                    <w:rPr>
                      <w:rFonts w:eastAsia="宋体" w:cs="Times New Roman"/>
                      <w:sz w:val="21"/>
                      <w:szCs w:val="21"/>
                    </w:rPr>
                  </w:pPr>
                  <w:r>
                    <w:rPr>
                      <w:rFonts w:hint="eastAsia" w:eastAsia="宋体" w:cs="Times New Roman"/>
                      <w:sz w:val="21"/>
                      <w:szCs w:val="21"/>
                    </w:rPr>
                    <w:t xml:space="preserve">水域范围：以县自来水厂取水口为半径 2000m 范围内的水域  </w:t>
                  </w:r>
                </w:p>
              </w:tc>
              <w:tc>
                <w:tcPr>
                  <w:tcW w:w="704"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1.71</w:t>
                  </w:r>
                </w:p>
              </w:tc>
              <w:tc>
                <w:tcPr>
                  <w:tcW w:w="789" w:type="pct"/>
                  <w:vMerge w:val="restar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跨越，JA16~ZA67段约有30m线路跨越二级陆域保护区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adjustRightInd w:val="0"/>
                    <w:spacing w:line="240" w:lineRule="auto"/>
                    <w:ind w:firstLine="0" w:firstLineChars="0"/>
                    <w:jc w:val="center"/>
                    <w:rPr>
                      <w:rFonts w:eastAsia="宋体" w:cs="Times New Roman"/>
                      <w:sz w:val="21"/>
                      <w:szCs w:val="21"/>
                    </w:rPr>
                  </w:pPr>
                </w:p>
              </w:tc>
              <w:tc>
                <w:tcPr>
                  <w:tcW w:w="2819"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陆域范围：县自来水厂取水口侧正常水位以上 200m 范围内的陆域，或一定高程线以下的陆域，但不超过流域分水岭范围。</w:t>
                  </w:r>
                </w:p>
              </w:tc>
              <w:tc>
                <w:tcPr>
                  <w:tcW w:w="704"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2.85</w:t>
                  </w:r>
                </w:p>
              </w:tc>
              <w:tc>
                <w:tcPr>
                  <w:tcW w:w="789" w:type="pct"/>
                  <w:vMerge w:val="continue"/>
                  <w:vAlign w:val="center"/>
                </w:tcPr>
                <w:p>
                  <w:pPr>
                    <w:adjustRightInd w:val="0"/>
                    <w:spacing w:line="240" w:lineRule="auto"/>
                    <w:ind w:firstLine="0" w:firstLineChars="0"/>
                    <w:jc w:val="center"/>
                    <w:rPr>
                      <w:rFonts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pPr>
                    <w:adjustRightInd w:val="0"/>
                    <w:spacing w:line="240" w:lineRule="auto"/>
                    <w:ind w:firstLine="0" w:firstLineChars="0"/>
                    <w:jc w:val="center"/>
                    <w:rPr>
                      <w:rFonts w:eastAsia="宋体" w:cs="Times New Roman"/>
                      <w:sz w:val="21"/>
                      <w:szCs w:val="21"/>
                    </w:rPr>
                  </w:pPr>
                  <w:r>
                    <w:rPr>
                      <w:rFonts w:eastAsia="宋体" w:cs="Times New Roman"/>
                      <w:sz w:val="21"/>
                      <w:szCs w:val="21"/>
                    </w:rPr>
                    <w:t>二级保护区</w:t>
                  </w:r>
                </w:p>
              </w:tc>
              <w:tc>
                <w:tcPr>
                  <w:tcW w:w="2819"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水域范围：一级保护区外径向主水道 8000m 范围内的水域。</w:t>
                  </w:r>
                </w:p>
              </w:tc>
              <w:tc>
                <w:tcPr>
                  <w:tcW w:w="704"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8.80</w:t>
                  </w:r>
                </w:p>
              </w:tc>
              <w:tc>
                <w:tcPr>
                  <w:tcW w:w="789" w:type="pct"/>
                  <w:vMerge w:val="continue"/>
                  <w:vAlign w:val="center"/>
                </w:tcPr>
                <w:p>
                  <w:pPr>
                    <w:adjustRightInd w:val="0"/>
                    <w:spacing w:line="240" w:lineRule="auto"/>
                    <w:ind w:firstLine="0" w:firstLineChars="0"/>
                    <w:jc w:val="center"/>
                    <w:rPr>
                      <w:rFonts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pPr>
                    <w:adjustRightInd w:val="0"/>
                    <w:spacing w:line="240" w:lineRule="auto"/>
                    <w:ind w:firstLine="0" w:firstLineChars="0"/>
                    <w:jc w:val="center"/>
                    <w:rPr>
                      <w:rFonts w:eastAsia="宋体" w:cs="Times New Roman"/>
                      <w:sz w:val="21"/>
                      <w:szCs w:val="21"/>
                    </w:rPr>
                  </w:pPr>
                </w:p>
              </w:tc>
              <w:tc>
                <w:tcPr>
                  <w:tcW w:w="2819"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陆域范围：二级保护区陆域边界不超过相应的流域分水岭范围。</w:t>
                  </w:r>
                </w:p>
              </w:tc>
              <w:tc>
                <w:tcPr>
                  <w:tcW w:w="704" w:type="pct"/>
                  <w:vAlign w:val="center"/>
                </w:tcPr>
                <w:p>
                  <w:pPr>
                    <w:adjustRightInd w:val="0"/>
                    <w:spacing w:line="240" w:lineRule="auto"/>
                    <w:ind w:firstLine="0" w:firstLineChars="0"/>
                    <w:jc w:val="center"/>
                    <w:rPr>
                      <w:rFonts w:eastAsia="宋体" w:cs="Times New Roman"/>
                      <w:sz w:val="21"/>
                      <w:szCs w:val="21"/>
                    </w:rPr>
                  </w:pPr>
                  <w:r>
                    <w:rPr>
                      <w:rFonts w:hint="eastAsia" w:eastAsia="宋体" w:cs="Times New Roman"/>
                      <w:sz w:val="21"/>
                      <w:szCs w:val="21"/>
                    </w:rPr>
                    <w:t>52.11</w:t>
                  </w:r>
                </w:p>
              </w:tc>
              <w:tc>
                <w:tcPr>
                  <w:tcW w:w="789" w:type="pct"/>
                  <w:vMerge w:val="continue"/>
                  <w:vAlign w:val="center"/>
                </w:tcPr>
                <w:p>
                  <w:pPr>
                    <w:adjustRightInd w:val="0"/>
                    <w:spacing w:line="240" w:lineRule="auto"/>
                    <w:ind w:firstLine="0" w:firstLineChars="0"/>
                    <w:jc w:val="center"/>
                    <w:rPr>
                      <w:rFonts w:eastAsia="宋体" w:cs="Times New Roman"/>
                      <w:sz w:val="21"/>
                      <w:szCs w:val="21"/>
                    </w:rPr>
                  </w:pPr>
                </w:p>
              </w:tc>
            </w:tr>
          </w:tbl>
          <w:p>
            <w:pPr>
              <w:spacing w:line="240" w:lineRule="auto"/>
              <w:ind w:firstLine="0" w:firstLineChars="0"/>
              <w:rPr>
                <w:rFonts w:cs="Times New Roman"/>
                <w:color w:val="auto"/>
                <w:sz w:val="18"/>
                <w:szCs w:val="18"/>
              </w:rPr>
            </w:pPr>
          </w:p>
          <w:p>
            <w:pPr>
              <w:spacing w:line="240" w:lineRule="auto"/>
              <w:ind w:firstLine="0" w:firstLineChars="0"/>
              <w:rPr>
                <w:rFonts w:cs="Times New Roman"/>
                <w:color w:val="auto"/>
                <w:sz w:val="18"/>
                <w:szCs w:val="18"/>
              </w:rPr>
            </w:pPr>
          </w:p>
          <w:p>
            <w:pPr>
              <w:ind w:firstLine="0" w:firstLineChars="0"/>
              <w:rPr>
                <w:rFonts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spacing w:line="240" w:lineRule="auto"/>
              <w:ind w:firstLine="0" w:firstLineChars="0"/>
              <w:jc w:val="center"/>
              <w:rPr>
                <w:rFonts w:cs="Times New Roman"/>
                <w:color w:val="auto"/>
                <w:szCs w:val="24"/>
              </w:rPr>
            </w:pPr>
            <w:r>
              <w:rPr>
                <w:rFonts w:cs="Times New Roman"/>
                <w:color w:val="auto"/>
                <w:szCs w:val="24"/>
              </w:rPr>
              <w:t>评价标准</w:t>
            </w:r>
          </w:p>
        </w:tc>
        <w:tc>
          <w:tcPr>
            <w:tcW w:w="4739" w:type="pct"/>
          </w:tcPr>
          <w:p>
            <w:pPr>
              <w:adjustRightInd w:val="0"/>
              <w:snapToGrid w:val="0"/>
              <w:ind w:firstLine="482"/>
              <w:rPr>
                <w:rFonts w:eastAsia="宋体" w:cs="Times New Roman"/>
                <w:b/>
                <w:color w:val="auto"/>
                <w:kern w:val="0"/>
                <w:szCs w:val="24"/>
              </w:rPr>
            </w:pPr>
            <w:r>
              <w:rPr>
                <w:rFonts w:eastAsia="宋体" w:cs="Times New Roman"/>
                <w:b/>
                <w:color w:val="auto"/>
                <w:kern w:val="0"/>
                <w:szCs w:val="24"/>
              </w:rPr>
              <w:t>1、环境质量标准</w:t>
            </w:r>
          </w:p>
          <w:p>
            <w:pPr>
              <w:adjustRightInd w:val="0"/>
              <w:snapToGrid w:val="0"/>
              <w:ind w:firstLine="480"/>
              <w:rPr>
                <w:rFonts w:eastAsia="宋体" w:cs="Times New Roman"/>
                <w:color w:val="auto"/>
                <w:szCs w:val="24"/>
              </w:rPr>
            </w:pPr>
            <w:r>
              <w:rPr>
                <w:rFonts w:eastAsia="宋体" w:cs="Times New Roman"/>
                <w:color w:val="auto"/>
                <w:szCs w:val="24"/>
              </w:rPr>
              <w:t>（1）环境空气质量标准</w:t>
            </w:r>
          </w:p>
          <w:p>
            <w:pPr>
              <w:adjustRightInd w:val="0"/>
              <w:snapToGrid w:val="0"/>
              <w:ind w:firstLine="480"/>
              <w:rPr>
                <w:rFonts w:eastAsia="宋体" w:cs="Times New Roman"/>
                <w:color w:val="auto"/>
                <w:szCs w:val="24"/>
              </w:rPr>
            </w:pPr>
            <w:r>
              <w:rPr>
                <w:rFonts w:eastAsia="宋体" w:cs="Times New Roman"/>
                <w:color w:val="auto"/>
                <w:szCs w:val="24"/>
              </w:rPr>
              <w:t>项目位于农村地区，属于环境空气二类功能区，环境空气质量执行《环境空气质量标准》（GB3095-2012）中二级标准及其修改单。</w:t>
            </w:r>
          </w:p>
          <w:p>
            <w:pPr>
              <w:adjustRightInd w:val="0"/>
              <w:snapToGrid w:val="0"/>
              <w:spacing w:line="240" w:lineRule="auto"/>
              <w:ind w:firstLine="0" w:firstLineChars="0"/>
              <w:jc w:val="center"/>
              <w:rPr>
                <w:rFonts w:eastAsia="宋体" w:cs="Times New Roman"/>
                <w:b/>
                <w:color w:val="auto"/>
                <w:kern w:val="24"/>
                <w:sz w:val="21"/>
                <w:szCs w:val="20"/>
              </w:rPr>
            </w:pPr>
            <w:r>
              <w:rPr>
                <w:rFonts w:eastAsia="宋体" w:cs="Times New Roman"/>
                <w:b/>
                <w:color w:val="auto"/>
                <w:kern w:val="24"/>
                <w:sz w:val="21"/>
                <w:szCs w:val="20"/>
              </w:rPr>
              <w:t>表3-</w:t>
            </w:r>
            <w:r>
              <w:rPr>
                <w:rFonts w:hint="eastAsia" w:eastAsia="宋体" w:cs="Times New Roman"/>
                <w:b/>
                <w:color w:val="auto"/>
                <w:kern w:val="24"/>
                <w:sz w:val="21"/>
                <w:szCs w:val="20"/>
              </w:rPr>
              <w:t>8</w:t>
            </w:r>
            <w:r>
              <w:rPr>
                <w:rFonts w:eastAsia="宋体" w:cs="Times New Roman"/>
                <w:b/>
                <w:color w:val="auto"/>
                <w:kern w:val="24"/>
                <w:sz w:val="21"/>
                <w:szCs w:val="20"/>
              </w:rPr>
              <w:t>《环境空气质量标准》（GB3095-2012）</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3047"/>
              <w:gridCol w:w="2005"/>
              <w:gridCol w:w="1072"/>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序号</w:t>
                  </w:r>
                </w:p>
              </w:tc>
              <w:tc>
                <w:tcPr>
                  <w:tcW w:w="189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污染物项目</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平均时间</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浓度限值</w:t>
                  </w:r>
                </w:p>
              </w:tc>
              <w:tc>
                <w:tcPr>
                  <w:tcW w:w="74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w:t>
                  </w:r>
                </w:p>
              </w:tc>
              <w:tc>
                <w:tcPr>
                  <w:tcW w:w="1894"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二氧化硫（SO</w:t>
                  </w:r>
                  <w:r>
                    <w:rPr>
                      <w:rFonts w:eastAsia="宋体" w:cs="Times New Roman"/>
                      <w:color w:val="auto"/>
                      <w:kern w:val="24"/>
                      <w:sz w:val="21"/>
                      <w:szCs w:val="24"/>
                      <w:vertAlign w:val="subscript"/>
                      <w:lang w:val="fr-FR"/>
                    </w:rPr>
                    <w:t>2</w:t>
                  </w:r>
                  <w:r>
                    <w:rPr>
                      <w:rFonts w:eastAsia="宋体" w:cs="Times New Roman"/>
                      <w:color w:val="auto"/>
                      <w:kern w:val="24"/>
                      <w:sz w:val="21"/>
                      <w:szCs w:val="24"/>
                      <w:lang w:val="fr-FR"/>
                    </w:rPr>
                    <w:t>）</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年平均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60</w:t>
                  </w:r>
                </w:p>
              </w:tc>
              <w:tc>
                <w:tcPr>
                  <w:tcW w:w="741"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μg/m</w:t>
                  </w:r>
                  <w:r>
                    <w:rPr>
                      <w:rFonts w:eastAsia="宋体" w:cs="Times New Roman"/>
                      <w:color w:val="auto"/>
                      <w:kern w:val="24"/>
                      <w:sz w:val="21"/>
                      <w:szCs w:val="24"/>
                      <w:vertAlign w:val="superscript"/>
                      <w:lang w:val="fr-F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894"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24小时平均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150</w:t>
                  </w:r>
                </w:p>
              </w:tc>
              <w:tc>
                <w:tcPr>
                  <w:tcW w:w="741"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894"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500</w:t>
                  </w:r>
                </w:p>
              </w:tc>
              <w:tc>
                <w:tcPr>
                  <w:tcW w:w="741"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w:t>
                  </w:r>
                </w:p>
              </w:tc>
              <w:tc>
                <w:tcPr>
                  <w:tcW w:w="1894"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二氧化氮（NO</w:t>
                  </w:r>
                  <w:r>
                    <w:rPr>
                      <w:rFonts w:eastAsia="宋体" w:cs="Times New Roman"/>
                      <w:color w:val="auto"/>
                      <w:kern w:val="24"/>
                      <w:sz w:val="21"/>
                      <w:szCs w:val="24"/>
                      <w:vertAlign w:val="subscript"/>
                      <w:lang w:val="fr-FR"/>
                    </w:rPr>
                    <w:t>2</w:t>
                  </w:r>
                  <w:r>
                    <w:rPr>
                      <w:rFonts w:eastAsia="宋体" w:cs="Times New Roman"/>
                      <w:color w:val="auto"/>
                      <w:kern w:val="24"/>
                      <w:sz w:val="21"/>
                      <w:szCs w:val="24"/>
                      <w:lang w:val="fr-FR"/>
                    </w:rPr>
                    <w:t>）</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年平均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40</w:t>
                  </w:r>
                </w:p>
              </w:tc>
              <w:tc>
                <w:tcPr>
                  <w:tcW w:w="741"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894"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24小时平均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80</w:t>
                  </w:r>
                </w:p>
              </w:tc>
              <w:tc>
                <w:tcPr>
                  <w:tcW w:w="741" w:type="pct"/>
                  <w:vMerge w:val="continue"/>
                  <w:tcBorders>
                    <w:left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894"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200</w:t>
                  </w:r>
                </w:p>
              </w:tc>
              <w:tc>
                <w:tcPr>
                  <w:tcW w:w="741"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3</w:t>
                  </w:r>
                </w:p>
              </w:tc>
              <w:tc>
                <w:tcPr>
                  <w:tcW w:w="1894"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一氧化碳（CO）</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24小时平均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4</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mg/m</w:t>
                  </w:r>
                  <w:r>
                    <w:rPr>
                      <w:rFonts w:eastAsia="宋体" w:cs="Times New Roman"/>
                      <w:color w:val="auto"/>
                      <w:kern w:val="24"/>
                      <w:sz w:val="21"/>
                      <w:szCs w:val="24"/>
                      <w:vertAlign w:val="superscript"/>
                      <w:lang w:val="fr-F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89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1小时平均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10</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4</w:t>
                  </w:r>
                </w:p>
              </w:tc>
              <w:tc>
                <w:tcPr>
                  <w:tcW w:w="1894"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臭氧（O</w:t>
                  </w:r>
                  <w:r>
                    <w:rPr>
                      <w:rFonts w:eastAsia="宋体" w:cs="Times New Roman"/>
                      <w:color w:val="auto"/>
                      <w:kern w:val="24"/>
                      <w:sz w:val="21"/>
                      <w:szCs w:val="24"/>
                      <w:vertAlign w:val="subscript"/>
                      <w:lang w:val="fr-FR"/>
                    </w:rPr>
                    <w:t>3</w:t>
                  </w:r>
                  <w:r>
                    <w:rPr>
                      <w:rFonts w:eastAsia="宋体" w:cs="Times New Roman"/>
                      <w:color w:val="auto"/>
                      <w:kern w:val="24"/>
                      <w:sz w:val="21"/>
                      <w:szCs w:val="24"/>
                      <w:lang w:val="fr-FR"/>
                    </w:rPr>
                    <w:t>）</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日最大8小时平均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160</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μg/m</w:t>
                  </w:r>
                  <w:r>
                    <w:rPr>
                      <w:rFonts w:eastAsia="宋体" w:cs="Times New Roman"/>
                      <w:color w:val="auto"/>
                      <w:kern w:val="24"/>
                      <w:sz w:val="21"/>
                      <w:szCs w:val="24"/>
                      <w:vertAlign w:val="superscript"/>
                      <w:lang w:val="fr-F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89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1小时平均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200</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5</w:t>
                  </w:r>
                </w:p>
              </w:tc>
              <w:tc>
                <w:tcPr>
                  <w:tcW w:w="1894"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颗粒物（粒径小于等于10m）</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年平均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70</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894"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24小时平均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150</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6</w:t>
                  </w:r>
                </w:p>
              </w:tc>
              <w:tc>
                <w:tcPr>
                  <w:tcW w:w="1894"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颗粒物（粒径小于等于2.5m）</w:t>
                  </w: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年平均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35</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894"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24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24小时平均</w:t>
                  </w:r>
                </w:p>
              </w:tc>
              <w:tc>
                <w:tcPr>
                  <w:tcW w:w="6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75</w:t>
                  </w:r>
                </w:p>
              </w:tc>
              <w:tc>
                <w:tcPr>
                  <w:tcW w:w="74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color w:val="auto"/>
                      <w:kern w:val="24"/>
                      <w:sz w:val="21"/>
                      <w:szCs w:val="24"/>
                      <w:lang w:val="fr-FR"/>
                    </w:rPr>
                  </w:pPr>
                </w:p>
              </w:tc>
            </w:tr>
          </w:tbl>
          <w:p>
            <w:pPr>
              <w:adjustRightInd w:val="0"/>
              <w:snapToGrid w:val="0"/>
              <w:ind w:firstLine="480"/>
              <w:rPr>
                <w:rFonts w:eastAsia="宋体" w:cs="Times New Roman"/>
                <w:color w:val="auto"/>
                <w:szCs w:val="24"/>
              </w:rPr>
            </w:pPr>
            <w:r>
              <w:rPr>
                <w:rFonts w:eastAsia="宋体" w:cs="Times New Roman"/>
                <w:color w:val="auto"/>
                <w:szCs w:val="24"/>
              </w:rPr>
              <w:t>（2）地表水环境质量标准</w:t>
            </w:r>
          </w:p>
          <w:p>
            <w:pPr>
              <w:adjustRightInd w:val="0"/>
              <w:snapToGrid w:val="0"/>
              <w:ind w:firstLine="480"/>
              <w:rPr>
                <w:rFonts w:eastAsia="宋体" w:cs="Times New Roman"/>
                <w:color w:val="auto"/>
                <w:szCs w:val="24"/>
              </w:rPr>
            </w:pPr>
            <w:r>
              <w:rPr>
                <w:rFonts w:hint="eastAsia" w:eastAsia="宋体" w:cs="Times New Roman"/>
                <w:color w:val="auto"/>
                <w:kern w:val="0"/>
                <w:szCs w:val="24"/>
              </w:rPr>
              <w:t>项目周边地表水体主要为明江，水水质质量参照执行《地表水环境质量标准》(GB3838-2002) Ⅲ类标准</w:t>
            </w:r>
            <w:r>
              <w:rPr>
                <w:rFonts w:eastAsia="宋体" w:cs="Times New Roman"/>
                <w:color w:val="auto"/>
                <w:szCs w:val="24"/>
              </w:rPr>
              <w:t>。</w:t>
            </w:r>
          </w:p>
          <w:p>
            <w:pPr>
              <w:adjustRightInd w:val="0"/>
              <w:snapToGrid w:val="0"/>
              <w:spacing w:line="240" w:lineRule="auto"/>
              <w:ind w:firstLine="0" w:firstLineChars="0"/>
              <w:jc w:val="center"/>
              <w:rPr>
                <w:rFonts w:eastAsia="宋体" w:cs="Times New Roman"/>
                <w:b/>
                <w:color w:val="auto"/>
                <w:kern w:val="24"/>
                <w:sz w:val="21"/>
                <w:szCs w:val="20"/>
              </w:rPr>
            </w:pPr>
            <w:r>
              <w:rPr>
                <w:rFonts w:eastAsia="宋体" w:cs="Times New Roman"/>
                <w:b/>
                <w:color w:val="auto"/>
                <w:kern w:val="24"/>
                <w:sz w:val="21"/>
                <w:szCs w:val="20"/>
              </w:rPr>
              <w:t>表3-</w:t>
            </w:r>
            <w:r>
              <w:rPr>
                <w:rFonts w:hint="eastAsia" w:eastAsia="宋体" w:cs="Times New Roman"/>
                <w:b/>
                <w:color w:val="auto"/>
                <w:kern w:val="24"/>
                <w:sz w:val="21"/>
                <w:szCs w:val="20"/>
              </w:rPr>
              <w:t>9</w:t>
            </w:r>
            <w:r>
              <w:rPr>
                <w:rFonts w:eastAsia="宋体" w:cs="Times New Roman"/>
                <w:b/>
                <w:color w:val="auto"/>
                <w:kern w:val="24"/>
                <w:sz w:val="21"/>
                <w:szCs w:val="20"/>
              </w:rPr>
              <w:t xml:space="preserve"> 《地表水环境质量标准》（GB3838-2002）单位：mg/L</w:t>
            </w:r>
          </w:p>
          <w:tbl>
            <w:tblPr>
              <w:tblStyle w:val="2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5"/>
              <w:gridCol w:w="837"/>
              <w:gridCol w:w="895"/>
              <w:gridCol w:w="1612"/>
              <w:gridCol w:w="903"/>
              <w:gridCol w:w="943"/>
              <w:gridCol w:w="942"/>
              <w:gridCol w:w="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81" w:type="pct"/>
                  <w:vAlign w:val="center"/>
                </w:tcPr>
                <w:p>
                  <w:pPr>
                    <w:spacing w:line="240" w:lineRule="auto"/>
                    <w:ind w:firstLine="0" w:firstLineChars="0"/>
                    <w:jc w:val="center"/>
                    <w:rPr>
                      <w:rFonts w:eastAsia="宋体" w:cs="Times New Roman"/>
                      <w:color w:val="auto"/>
                      <w:kern w:val="0"/>
                      <w:sz w:val="21"/>
                      <w:szCs w:val="21"/>
                    </w:rPr>
                  </w:pPr>
                  <w:r>
                    <w:rPr>
                      <w:rFonts w:eastAsia="宋体" w:cs="Times New Roman"/>
                      <w:color w:val="auto"/>
                      <w:spacing w:val="-2"/>
                      <w:kern w:val="0"/>
                      <w:sz w:val="21"/>
                      <w:szCs w:val="21"/>
                    </w:rPr>
                    <w:t>执</w:t>
                  </w:r>
                  <w:r>
                    <w:rPr>
                      <w:rFonts w:eastAsia="宋体" w:cs="Times New Roman"/>
                      <w:color w:val="auto"/>
                      <w:spacing w:val="-1"/>
                      <w:kern w:val="0"/>
                      <w:sz w:val="21"/>
                      <w:szCs w:val="21"/>
                    </w:rPr>
                    <w:t>行标准</w:t>
                  </w:r>
                </w:p>
              </w:tc>
              <w:tc>
                <w:tcPr>
                  <w:tcW w:w="520" w:type="pct"/>
                  <w:vAlign w:val="center"/>
                </w:tcPr>
                <w:p>
                  <w:pPr>
                    <w:spacing w:line="240" w:lineRule="auto"/>
                    <w:ind w:firstLine="0" w:firstLineChars="0"/>
                    <w:jc w:val="center"/>
                    <w:rPr>
                      <w:rFonts w:eastAsia="Times New Roman" w:cs="Times New Roman"/>
                      <w:color w:val="auto"/>
                      <w:kern w:val="0"/>
                      <w:sz w:val="21"/>
                      <w:szCs w:val="21"/>
                    </w:rPr>
                  </w:pPr>
                  <w:r>
                    <w:rPr>
                      <w:rFonts w:eastAsia="Times New Roman" w:cs="Times New Roman"/>
                      <w:color w:val="auto"/>
                      <w:spacing w:val="1"/>
                      <w:kern w:val="0"/>
                      <w:sz w:val="21"/>
                      <w:szCs w:val="21"/>
                    </w:rPr>
                    <w:t>p</w:t>
                  </w:r>
                  <w:r>
                    <w:rPr>
                      <w:rFonts w:eastAsia="Times New Roman" w:cs="Times New Roman"/>
                      <w:color w:val="auto"/>
                      <w:kern w:val="0"/>
                      <w:sz w:val="21"/>
                      <w:szCs w:val="21"/>
                    </w:rPr>
                    <w:t>H</w:t>
                  </w:r>
                </w:p>
              </w:tc>
              <w:tc>
                <w:tcPr>
                  <w:tcW w:w="556" w:type="pct"/>
                  <w:vAlign w:val="center"/>
                </w:tcPr>
                <w:p>
                  <w:pPr>
                    <w:spacing w:line="240" w:lineRule="auto"/>
                    <w:ind w:firstLine="0" w:firstLineChars="0"/>
                    <w:jc w:val="center"/>
                    <w:rPr>
                      <w:rFonts w:eastAsia="宋体" w:cs="Times New Roman"/>
                      <w:color w:val="auto"/>
                      <w:kern w:val="0"/>
                      <w:sz w:val="21"/>
                      <w:szCs w:val="21"/>
                    </w:rPr>
                  </w:pPr>
                  <w:r>
                    <w:rPr>
                      <w:rFonts w:eastAsia="宋体" w:cs="Times New Roman"/>
                      <w:color w:val="auto"/>
                      <w:spacing w:val="-2"/>
                      <w:kern w:val="0"/>
                      <w:sz w:val="21"/>
                      <w:szCs w:val="21"/>
                    </w:rPr>
                    <w:t>溶解</w:t>
                  </w:r>
                  <w:r>
                    <w:rPr>
                      <w:rFonts w:eastAsia="宋体" w:cs="Times New Roman"/>
                      <w:color w:val="auto"/>
                      <w:spacing w:val="-1"/>
                      <w:kern w:val="0"/>
                      <w:sz w:val="21"/>
                      <w:szCs w:val="21"/>
                    </w:rPr>
                    <w:t>氧</w:t>
                  </w:r>
                </w:p>
              </w:tc>
              <w:tc>
                <w:tcPr>
                  <w:tcW w:w="1001" w:type="pct"/>
                  <w:vAlign w:val="center"/>
                </w:tcPr>
                <w:p>
                  <w:pPr>
                    <w:spacing w:line="240" w:lineRule="auto"/>
                    <w:ind w:firstLine="0" w:firstLineChars="0"/>
                    <w:jc w:val="center"/>
                    <w:rPr>
                      <w:rFonts w:eastAsia="宋体" w:cs="Times New Roman"/>
                      <w:color w:val="auto"/>
                      <w:kern w:val="0"/>
                      <w:sz w:val="21"/>
                      <w:szCs w:val="21"/>
                    </w:rPr>
                  </w:pPr>
                  <w:r>
                    <w:rPr>
                      <w:rFonts w:eastAsia="宋体" w:cs="Times New Roman"/>
                      <w:color w:val="auto"/>
                      <w:spacing w:val="-2"/>
                      <w:kern w:val="0"/>
                      <w:sz w:val="21"/>
                      <w:szCs w:val="21"/>
                    </w:rPr>
                    <w:t>高锰酸盐指</w:t>
                  </w:r>
                  <w:r>
                    <w:rPr>
                      <w:rFonts w:eastAsia="宋体" w:cs="Times New Roman"/>
                      <w:color w:val="auto"/>
                      <w:spacing w:val="-1"/>
                      <w:kern w:val="0"/>
                      <w:sz w:val="21"/>
                      <w:szCs w:val="21"/>
                    </w:rPr>
                    <w:t>数</w:t>
                  </w:r>
                </w:p>
              </w:tc>
              <w:tc>
                <w:tcPr>
                  <w:tcW w:w="561" w:type="pct"/>
                  <w:vAlign w:val="center"/>
                </w:tcPr>
                <w:p>
                  <w:pPr>
                    <w:spacing w:line="240" w:lineRule="auto"/>
                    <w:ind w:firstLine="0" w:firstLineChars="0"/>
                    <w:jc w:val="center"/>
                    <w:rPr>
                      <w:rFonts w:eastAsia="Times New Roman" w:cs="Times New Roman"/>
                      <w:color w:val="auto"/>
                      <w:kern w:val="0"/>
                      <w:sz w:val="21"/>
                      <w:szCs w:val="21"/>
                    </w:rPr>
                  </w:pPr>
                  <w:r>
                    <w:rPr>
                      <w:rFonts w:eastAsia="Times New Roman" w:cs="Times New Roman"/>
                      <w:color w:val="auto"/>
                      <w:spacing w:val="-2"/>
                      <w:kern w:val="0"/>
                      <w:sz w:val="21"/>
                      <w:szCs w:val="21"/>
                    </w:rPr>
                    <w:t>COD</w:t>
                  </w:r>
                </w:p>
              </w:tc>
              <w:tc>
                <w:tcPr>
                  <w:tcW w:w="586" w:type="pct"/>
                  <w:vAlign w:val="center"/>
                </w:tcPr>
                <w:p>
                  <w:pPr>
                    <w:spacing w:line="240" w:lineRule="auto"/>
                    <w:ind w:firstLine="0" w:firstLineChars="0"/>
                    <w:jc w:val="center"/>
                    <w:rPr>
                      <w:rFonts w:eastAsia="Times New Roman" w:cs="Times New Roman"/>
                      <w:color w:val="auto"/>
                      <w:kern w:val="0"/>
                      <w:sz w:val="21"/>
                      <w:szCs w:val="21"/>
                    </w:rPr>
                  </w:pPr>
                  <w:r>
                    <w:rPr>
                      <w:rFonts w:eastAsia="Times New Roman" w:cs="Times New Roman"/>
                      <w:color w:val="auto"/>
                      <w:kern w:val="0"/>
                      <w:sz w:val="21"/>
                      <w:szCs w:val="21"/>
                    </w:rPr>
                    <w:t>BOD</w:t>
                  </w:r>
                  <w:r>
                    <w:rPr>
                      <w:rFonts w:eastAsia="Times New Roman" w:cs="Times New Roman"/>
                      <w:color w:val="auto"/>
                      <w:spacing w:val="4"/>
                      <w:kern w:val="0"/>
                      <w:position w:val="-1"/>
                      <w:sz w:val="21"/>
                      <w:szCs w:val="21"/>
                      <w:vertAlign w:val="subscript"/>
                    </w:rPr>
                    <w:t>5</w:t>
                  </w:r>
                </w:p>
              </w:tc>
              <w:tc>
                <w:tcPr>
                  <w:tcW w:w="585" w:type="pct"/>
                  <w:vAlign w:val="center"/>
                </w:tcPr>
                <w:p>
                  <w:pPr>
                    <w:spacing w:line="240" w:lineRule="auto"/>
                    <w:ind w:firstLine="0" w:firstLineChars="0"/>
                    <w:jc w:val="center"/>
                    <w:rPr>
                      <w:rFonts w:eastAsia="Times New Roman" w:cs="Times New Roman"/>
                      <w:color w:val="auto"/>
                      <w:kern w:val="0"/>
                      <w:sz w:val="21"/>
                      <w:szCs w:val="21"/>
                    </w:rPr>
                  </w:pPr>
                  <w:r>
                    <w:rPr>
                      <w:rFonts w:eastAsia="Times New Roman" w:cs="Times New Roman"/>
                      <w:color w:val="auto"/>
                      <w:kern w:val="0"/>
                      <w:sz w:val="21"/>
                      <w:szCs w:val="21"/>
                    </w:rPr>
                    <w:t>NH</w:t>
                  </w:r>
                  <w:r>
                    <w:rPr>
                      <w:rFonts w:eastAsia="Times New Roman" w:cs="Times New Roman"/>
                      <w:color w:val="auto"/>
                      <w:spacing w:val="5"/>
                      <w:kern w:val="0"/>
                      <w:position w:val="-1"/>
                      <w:sz w:val="21"/>
                      <w:szCs w:val="21"/>
                      <w:vertAlign w:val="subscript"/>
                    </w:rPr>
                    <w:t>3</w:t>
                  </w:r>
                  <w:r>
                    <w:rPr>
                      <w:rFonts w:eastAsia="Times New Roman" w:cs="Times New Roman"/>
                      <w:color w:val="auto"/>
                      <w:spacing w:val="4"/>
                      <w:kern w:val="0"/>
                      <w:sz w:val="21"/>
                      <w:szCs w:val="21"/>
                    </w:rPr>
                    <w:t>-</w:t>
                  </w:r>
                  <w:r>
                    <w:rPr>
                      <w:rFonts w:eastAsia="Times New Roman" w:cs="Times New Roman"/>
                      <w:color w:val="auto"/>
                      <w:kern w:val="0"/>
                      <w:sz w:val="21"/>
                      <w:szCs w:val="21"/>
                    </w:rPr>
                    <w:t>N</w:t>
                  </w:r>
                </w:p>
              </w:tc>
              <w:tc>
                <w:tcPr>
                  <w:tcW w:w="610" w:type="pct"/>
                  <w:tcBorders>
                    <w:right w:val="single" w:color="000000" w:sz="6" w:space="0"/>
                  </w:tcBorders>
                  <w:vAlign w:val="center"/>
                </w:tcPr>
                <w:p>
                  <w:pPr>
                    <w:spacing w:line="240" w:lineRule="auto"/>
                    <w:ind w:firstLine="0" w:firstLineChars="0"/>
                    <w:jc w:val="center"/>
                    <w:rPr>
                      <w:rFonts w:eastAsia="宋体" w:cs="Times New Roman"/>
                      <w:color w:val="auto"/>
                      <w:kern w:val="0"/>
                      <w:sz w:val="21"/>
                      <w:szCs w:val="21"/>
                    </w:rPr>
                  </w:pPr>
                  <w:r>
                    <w:rPr>
                      <w:rFonts w:eastAsia="宋体" w:cs="Times New Roman"/>
                      <w:color w:val="auto"/>
                      <w:spacing w:val="-2"/>
                      <w:kern w:val="0"/>
                      <w:sz w:val="21"/>
                      <w:szCs w:val="21"/>
                    </w:rPr>
                    <w:t>石</w:t>
                  </w:r>
                  <w:r>
                    <w:rPr>
                      <w:rFonts w:eastAsia="宋体" w:cs="Times New Roman"/>
                      <w:color w:val="auto"/>
                      <w:spacing w:val="-1"/>
                      <w:kern w:val="0"/>
                      <w:sz w:val="21"/>
                      <w:szCs w:val="21"/>
                    </w:rPr>
                    <w:t>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81" w:type="pct"/>
                  <w:vAlign w:val="center"/>
                </w:tcPr>
                <w:p>
                  <w:pPr>
                    <w:spacing w:line="240" w:lineRule="auto"/>
                    <w:ind w:firstLine="0" w:firstLineChars="0"/>
                    <w:jc w:val="center"/>
                    <w:rPr>
                      <w:rFonts w:eastAsia="宋体" w:cs="Times New Roman"/>
                      <w:color w:val="auto"/>
                      <w:kern w:val="0"/>
                      <w:sz w:val="21"/>
                      <w:szCs w:val="21"/>
                    </w:rPr>
                  </w:pPr>
                  <w:r>
                    <w:rPr>
                      <w:rFonts w:eastAsia="宋体" w:cs="Times New Roman"/>
                      <w:color w:val="auto"/>
                      <w:spacing w:val="-2"/>
                      <w:kern w:val="0"/>
                      <w:sz w:val="21"/>
                      <w:szCs w:val="21"/>
                    </w:rPr>
                    <w:t>Ⅲ</w:t>
                  </w:r>
                  <w:r>
                    <w:rPr>
                      <w:rFonts w:eastAsia="宋体" w:cs="Times New Roman"/>
                      <w:color w:val="auto"/>
                      <w:spacing w:val="-1"/>
                      <w:kern w:val="0"/>
                      <w:sz w:val="21"/>
                      <w:szCs w:val="21"/>
                    </w:rPr>
                    <w:t>类</w:t>
                  </w:r>
                </w:p>
              </w:tc>
              <w:tc>
                <w:tcPr>
                  <w:tcW w:w="520" w:type="pct"/>
                  <w:vAlign w:val="center"/>
                </w:tcPr>
                <w:p>
                  <w:pPr>
                    <w:spacing w:line="240" w:lineRule="auto"/>
                    <w:ind w:firstLine="0" w:firstLineChars="0"/>
                    <w:jc w:val="center"/>
                    <w:rPr>
                      <w:rFonts w:eastAsia="Times New Roman" w:cs="Times New Roman"/>
                      <w:color w:val="auto"/>
                      <w:kern w:val="0"/>
                      <w:sz w:val="21"/>
                      <w:szCs w:val="21"/>
                    </w:rPr>
                  </w:pPr>
                  <w:r>
                    <w:rPr>
                      <w:rFonts w:eastAsia="Times New Roman" w:cs="Times New Roman"/>
                      <w:color w:val="auto"/>
                      <w:spacing w:val="-3"/>
                      <w:kern w:val="0"/>
                      <w:sz w:val="21"/>
                      <w:szCs w:val="21"/>
                    </w:rPr>
                    <w:t>6</w:t>
                  </w:r>
                  <w:r>
                    <w:rPr>
                      <w:rFonts w:eastAsia="Times New Roman" w:cs="Times New Roman"/>
                      <w:color w:val="auto"/>
                      <w:spacing w:val="-2"/>
                      <w:kern w:val="0"/>
                      <w:sz w:val="21"/>
                      <w:szCs w:val="21"/>
                    </w:rPr>
                    <w:t>~9</w:t>
                  </w:r>
                </w:p>
              </w:tc>
              <w:tc>
                <w:tcPr>
                  <w:tcW w:w="556" w:type="pct"/>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15"/>
                      <w:kern w:val="0"/>
                      <w:sz w:val="21"/>
                      <w:szCs w:val="21"/>
                    </w:rPr>
                    <w:t>≥</w:t>
                  </w:r>
                  <w:r>
                    <w:rPr>
                      <w:rFonts w:eastAsia="Times New Roman" w:cs="Times New Roman"/>
                      <w:color w:val="auto"/>
                      <w:spacing w:val="-13"/>
                      <w:kern w:val="0"/>
                      <w:sz w:val="21"/>
                      <w:szCs w:val="21"/>
                    </w:rPr>
                    <w:t>5</w:t>
                  </w:r>
                </w:p>
              </w:tc>
              <w:tc>
                <w:tcPr>
                  <w:tcW w:w="1001" w:type="pct"/>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12"/>
                      <w:kern w:val="0"/>
                      <w:sz w:val="21"/>
                      <w:szCs w:val="21"/>
                    </w:rPr>
                    <w:t>≤</w:t>
                  </w:r>
                  <w:r>
                    <w:rPr>
                      <w:rFonts w:eastAsia="Times New Roman" w:cs="Times New Roman"/>
                      <w:color w:val="auto"/>
                      <w:spacing w:val="-10"/>
                      <w:kern w:val="0"/>
                      <w:sz w:val="21"/>
                      <w:szCs w:val="21"/>
                    </w:rPr>
                    <w:t>6</w:t>
                  </w:r>
                </w:p>
              </w:tc>
              <w:tc>
                <w:tcPr>
                  <w:tcW w:w="561" w:type="pct"/>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9"/>
                      <w:kern w:val="0"/>
                      <w:sz w:val="21"/>
                      <w:szCs w:val="21"/>
                    </w:rPr>
                    <w:t>≤</w:t>
                  </w:r>
                  <w:r>
                    <w:rPr>
                      <w:rFonts w:eastAsia="Times New Roman" w:cs="Times New Roman"/>
                      <w:color w:val="auto"/>
                      <w:spacing w:val="-6"/>
                      <w:kern w:val="0"/>
                      <w:sz w:val="21"/>
                      <w:szCs w:val="21"/>
                    </w:rPr>
                    <w:t>20</w:t>
                  </w:r>
                </w:p>
              </w:tc>
              <w:tc>
                <w:tcPr>
                  <w:tcW w:w="586" w:type="pct"/>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12"/>
                      <w:kern w:val="0"/>
                      <w:sz w:val="21"/>
                      <w:szCs w:val="21"/>
                    </w:rPr>
                    <w:t>≤</w:t>
                  </w:r>
                  <w:r>
                    <w:rPr>
                      <w:rFonts w:eastAsia="Times New Roman" w:cs="Times New Roman"/>
                      <w:color w:val="auto"/>
                      <w:spacing w:val="-10"/>
                      <w:kern w:val="0"/>
                      <w:sz w:val="21"/>
                      <w:szCs w:val="21"/>
                    </w:rPr>
                    <w:t>4</w:t>
                  </w:r>
                </w:p>
              </w:tc>
              <w:tc>
                <w:tcPr>
                  <w:tcW w:w="585" w:type="pct"/>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6"/>
                      <w:kern w:val="0"/>
                      <w:sz w:val="21"/>
                      <w:szCs w:val="21"/>
                    </w:rPr>
                    <w:t>≤</w:t>
                  </w:r>
                  <w:r>
                    <w:rPr>
                      <w:rFonts w:eastAsia="Times New Roman" w:cs="Times New Roman"/>
                      <w:color w:val="auto"/>
                      <w:spacing w:val="-5"/>
                      <w:kern w:val="0"/>
                      <w:sz w:val="21"/>
                      <w:szCs w:val="21"/>
                    </w:rPr>
                    <w:t>1.0</w:t>
                  </w:r>
                </w:p>
              </w:tc>
              <w:tc>
                <w:tcPr>
                  <w:tcW w:w="610" w:type="pct"/>
                  <w:tcBorders>
                    <w:right w:val="single" w:color="000000" w:sz="6" w:space="0"/>
                  </w:tcBorders>
                  <w:vAlign w:val="center"/>
                </w:tcPr>
                <w:p>
                  <w:pPr>
                    <w:spacing w:line="240" w:lineRule="auto"/>
                    <w:ind w:firstLine="0" w:firstLineChars="0"/>
                    <w:jc w:val="center"/>
                    <w:rPr>
                      <w:rFonts w:eastAsia="Times New Roman" w:cs="Times New Roman"/>
                      <w:color w:val="auto"/>
                      <w:kern w:val="0"/>
                      <w:sz w:val="21"/>
                      <w:szCs w:val="21"/>
                    </w:rPr>
                  </w:pPr>
                  <w:r>
                    <w:rPr>
                      <w:rFonts w:eastAsia="宋体" w:cs="Times New Roman"/>
                      <w:color w:val="auto"/>
                      <w:spacing w:val="-4"/>
                      <w:kern w:val="0"/>
                      <w:sz w:val="21"/>
                      <w:szCs w:val="21"/>
                    </w:rPr>
                    <w:t>≤</w:t>
                  </w:r>
                  <w:r>
                    <w:rPr>
                      <w:rFonts w:eastAsia="Times New Roman" w:cs="Times New Roman"/>
                      <w:color w:val="auto"/>
                      <w:spacing w:val="-4"/>
                      <w:kern w:val="0"/>
                      <w:sz w:val="21"/>
                      <w:szCs w:val="21"/>
                    </w:rPr>
                    <w:t>0.05</w:t>
                  </w:r>
                </w:p>
              </w:tc>
            </w:tr>
          </w:tbl>
          <w:p>
            <w:pPr>
              <w:adjustRightInd w:val="0"/>
              <w:snapToGrid w:val="0"/>
              <w:ind w:firstLine="480"/>
              <w:rPr>
                <w:rFonts w:eastAsia="宋体" w:cs="Times New Roman"/>
                <w:color w:val="auto"/>
                <w:szCs w:val="24"/>
              </w:rPr>
            </w:pPr>
            <w:r>
              <w:rPr>
                <w:rFonts w:eastAsia="宋体" w:cs="Times New Roman"/>
                <w:color w:val="auto"/>
                <w:szCs w:val="24"/>
              </w:rPr>
              <w:t>（3）声环境质量标准</w:t>
            </w:r>
          </w:p>
          <w:p>
            <w:pPr>
              <w:adjustRightInd w:val="0"/>
              <w:snapToGrid w:val="0"/>
              <w:ind w:firstLine="480"/>
              <w:rPr>
                <w:rFonts w:eastAsia="宋体" w:cs="Times New Roman"/>
                <w:color w:val="auto"/>
                <w:szCs w:val="24"/>
              </w:rPr>
            </w:pPr>
            <w:r>
              <w:rPr>
                <w:rFonts w:eastAsia="宋体" w:cs="Times New Roman"/>
                <w:color w:val="auto"/>
                <w:kern w:val="0"/>
                <w:szCs w:val="24"/>
              </w:rPr>
              <w:t>项目全线位于农村地区，属于1类声环境功能区，</w:t>
            </w:r>
            <w:r>
              <w:rPr>
                <w:rFonts w:eastAsia="宋体" w:cs="Times New Roman"/>
                <w:color w:val="auto"/>
                <w:szCs w:val="24"/>
              </w:rPr>
              <w:t>所在区域声环境质量执行《声环境质量标准》（GB3096-2008）中 1类标准。</w:t>
            </w:r>
          </w:p>
          <w:p>
            <w:pPr>
              <w:adjustRightInd w:val="0"/>
              <w:snapToGrid w:val="0"/>
              <w:spacing w:line="240" w:lineRule="auto"/>
              <w:ind w:firstLine="0" w:firstLineChars="0"/>
              <w:jc w:val="center"/>
              <w:rPr>
                <w:rFonts w:eastAsia="宋体" w:cs="Times New Roman"/>
                <w:b/>
                <w:color w:val="auto"/>
                <w:kern w:val="24"/>
                <w:sz w:val="21"/>
                <w:szCs w:val="20"/>
              </w:rPr>
            </w:pPr>
            <w:r>
              <w:rPr>
                <w:rFonts w:eastAsia="宋体" w:cs="Times New Roman"/>
                <w:b/>
                <w:color w:val="auto"/>
                <w:kern w:val="24"/>
                <w:sz w:val="21"/>
                <w:szCs w:val="20"/>
              </w:rPr>
              <w:t>表3-</w:t>
            </w:r>
            <w:r>
              <w:rPr>
                <w:rFonts w:hint="eastAsia" w:eastAsia="宋体" w:cs="Times New Roman"/>
                <w:b/>
                <w:color w:val="auto"/>
                <w:kern w:val="24"/>
                <w:sz w:val="21"/>
                <w:szCs w:val="20"/>
              </w:rPr>
              <w:t>10</w:t>
            </w:r>
            <w:r>
              <w:rPr>
                <w:rFonts w:eastAsia="宋体" w:cs="Times New Roman"/>
                <w:b/>
                <w:color w:val="auto"/>
                <w:kern w:val="24"/>
                <w:sz w:val="21"/>
                <w:szCs w:val="20"/>
              </w:rPr>
              <w:t xml:space="preserve"> 《声环境质量标准》（GB3096-2008）  单位：dB(A)</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1212"/>
              <w:gridCol w:w="174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4"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rPr>
                  </w:pPr>
                  <w:r>
                    <w:rPr>
                      <w:rFonts w:eastAsia="宋体" w:cs="Times New Roman"/>
                      <w:b/>
                      <w:color w:val="auto"/>
                      <w:kern w:val="24"/>
                      <w:sz w:val="21"/>
                      <w:szCs w:val="24"/>
                    </w:rPr>
                    <w:t>区域</w:t>
                  </w:r>
                </w:p>
              </w:tc>
              <w:tc>
                <w:tcPr>
                  <w:tcW w:w="753"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rPr>
                  </w:pPr>
                  <w:r>
                    <w:rPr>
                      <w:rFonts w:eastAsia="宋体" w:cs="Times New Roman"/>
                      <w:b/>
                      <w:color w:val="auto"/>
                      <w:kern w:val="24"/>
                      <w:sz w:val="21"/>
                      <w:szCs w:val="24"/>
                    </w:rPr>
                    <w:t>声环境功能区类别</w:t>
                  </w:r>
                </w:p>
              </w:tc>
              <w:tc>
                <w:tcPr>
                  <w:tcW w:w="2152"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rPr>
                  </w:pPr>
                  <w:r>
                    <w:rPr>
                      <w:rFonts w:eastAsia="宋体" w:cs="Times New Roman"/>
                      <w:b/>
                      <w:color w:val="auto"/>
                      <w:kern w:val="24"/>
                      <w:sz w:val="21"/>
                      <w:szCs w:val="24"/>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4" w:type="pct"/>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cs="Times New Roman"/>
                      <w:b/>
                      <w:color w:val="auto"/>
                      <w:kern w:val="24"/>
                      <w:sz w:val="21"/>
                      <w:szCs w:val="24"/>
                    </w:rPr>
                  </w:pPr>
                </w:p>
              </w:tc>
              <w:tc>
                <w:tcPr>
                  <w:tcW w:w="75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宋体" w:cs="Times New Roman"/>
                      <w:b/>
                      <w:color w:val="auto"/>
                      <w:kern w:val="24"/>
                      <w:sz w:val="21"/>
                      <w:szCs w:val="24"/>
                    </w:rPr>
                  </w:pPr>
                </w:p>
              </w:tc>
              <w:tc>
                <w:tcPr>
                  <w:tcW w:w="10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rPr>
                  </w:pPr>
                  <w:r>
                    <w:rPr>
                      <w:rFonts w:eastAsia="宋体" w:cs="Times New Roman"/>
                      <w:b/>
                      <w:color w:val="auto"/>
                      <w:kern w:val="24"/>
                      <w:sz w:val="21"/>
                      <w:szCs w:val="24"/>
                    </w:rPr>
                    <w:t>昼间</w:t>
                  </w:r>
                </w:p>
              </w:tc>
              <w:tc>
                <w:tcPr>
                  <w:tcW w:w="107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rPr>
                  </w:pPr>
                  <w:r>
                    <w:rPr>
                      <w:rFonts w:eastAsia="宋体" w:cs="Times New Roman"/>
                      <w:b/>
                      <w:color w:val="auto"/>
                      <w:kern w:val="24"/>
                      <w:sz w:val="21"/>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hint="eastAsia" w:eastAsia="宋体" w:cs="Times New Roman"/>
                      <w:color w:val="auto"/>
                      <w:kern w:val="24"/>
                      <w:sz w:val="21"/>
                      <w:szCs w:val="24"/>
                    </w:rPr>
                    <w:t>线路边导线地面投影两侧40m范围内及茶花变电站厂界</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1类</w:t>
                  </w:r>
                </w:p>
              </w:tc>
              <w:tc>
                <w:tcPr>
                  <w:tcW w:w="10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55</w:t>
                  </w:r>
                </w:p>
              </w:tc>
              <w:tc>
                <w:tcPr>
                  <w:tcW w:w="107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r>
                    <w:rPr>
                      <w:rFonts w:eastAsia="宋体" w:cs="Times New Roman"/>
                      <w:color w:val="auto"/>
                      <w:kern w:val="24"/>
                      <w:sz w:val="21"/>
                      <w:szCs w:val="24"/>
                    </w:rPr>
                    <w:t>45</w:t>
                  </w:r>
                </w:p>
              </w:tc>
            </w:tr>
          </w:tbl>
          <w:p>
            <w:pPr>
              <w:adjustRightInd w:val="0"/>
              <w:snapToGrid w:val="0"/>
              <w:ind w:firstLine="480"/>
              <w:rPr>
                <w:rFonts w:eastAsia="宋体" w:cs="Times New Roman"/>
                <w:color w:val="auto"/>
                <w:szCs w:val="24"/>
              </w:rPr>
            </w:pPr>
            <w:r>
              <w:rPr>
                <w:rFonts w:eastAsia="宋体" w:cs="Times New Roman"/>
                <w:color w:val="auto"/>
                <w:szCs w:val="24"/>
              </w:rPr>
              <w:t>（4）电磁环境标准</w:t>
            </w:r>
          </w:p>
          <w:p>
            <w:pPr>
              <w:adjustRightInd w:val="0"/>
              <w:snapToGrid w:val="0"/>
              <w:ind w:firstLine="480"/>
              <w:rPr>
                <w:rFonts w:eastAsia="宋体" w:cs="Times New Roman"/>
                <w:color w:val="auto"/>
                <w:szCs w:val="24"/>
              </w:rPr>
            </w:pPr>
            <w:r>
              <w:rPr>
                <w:rFonts w:eastAsia="宋体" w:cs="Times New Roman"/>
                <w:color w:val="auto"/>
                <w:szCs w:val="24"/>
              </w:rPr>
              <w:t>区域电磁环境执行《电磁环境控制限值》（GB8702-2014）中频率为 50Hz 的公众曝露控制限制值要求。</w:t>
            </w:r>
          </w:p>
          <w:p>
            <w:pPr>
              <w:adjustRightInd w:val="0"/>
              <w:snapToGrid w:val="0"/>
              <w:spacing w:line="240" w:lineRule="auto"/>
              <w:ind w:firstLine="0" w:firstLineChars="0"/>
              <w:jc w:val="center"/>
              <w:rPr>
                <w:rFonts w:eastAsia="宋体" w:cs="Times New Roman"/>
                <w:b/>
                <w:color w:val="auto"/>
                <w:kern w:val="24"/>
                <w:sz w:val="21"/>
                <w:szCs w:val="21"/>
              </w:rPr>
            </w:pPr>
            <w:r>
              <w:rPr>
                <w:rFonts w:eastAsia="宋体" w:cs="Times New Roman"/>
                <w:b/>
                <w:color w:val="auto"/>
                <w:kern w:val="24"/>
                <w:sz w:val="21"/>
                <w:szCs w:val="21"/>
              </w:rPr>
              <w:t>表3-</w:t>
            </w:r>
            <w:r>
              <w:rPr>
                <w:rFonts w:hint="eastAsia" w:eastAsia="宋体" w:cs="Times New Roman"/>
                <w:b/>
                <w:color w:val="auto"/>
                <w:kern w:val="24"/>
                <w:sz w:val="21"/>
                <w:szCs w:val="21"/>
              </w:rPr>
              <w:t>11</w:t>
            </w:r>
            <w:r>
              <w:rPr>
                <w:rFonts w:eastAsia="宋体" w:cs="Times New Roman"/>
                <w:b/>
                <w:color w:val="auto"/>
                <w:kern w:val="24"/>
                <w:sz w:val="21"/>
                <w:szCs w:val="21"/>
              </w:rPr>
              <w:t>项目所在区域执行的电磁环境质量标准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668"/>
              <w:gridCol w:w="1613"/>
              <w:gridCol w:w="1965"/>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1809" w:type="dxa"/>
                  <w:vMerge w:val="restart"/>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标准名称</w:t>
                  </w:r>
                </w:p>
              </w:tc>
              <w:tc>
                <w:tcPr>
                  <w:tcW w:w="675" w:type="dxa"/>
                  <w:vMerge w:val="restart"/>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适用类别</w:t>
                  </w:r>
                </w:p>
              </w:tc>
              <w:tc>
                <w:tcPr>
                  <w:tcW w:w="3770" w:type="dxa"/>
                  <w:gridSpan w:val="2"/>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标准限值</w:t>
                  </w:r>
                </w:p>
              </w:tc>
              <w:tc>
                <w:tcPr>
                  <w:tcW w:w="2268" w:type="dxa"/>
                  <w:vMerge w:val="restart"/>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1809" w:type="dxa"/>
                  <w:vMerge w:val="continue"/>
                  <w:vAlign w:val="center"/>
                </w:tcPr>
                <w:p>
                  <w:pPr>
                    <w:spacing w:line="240" w:lineRule="auto"/>
                    <w:ind w:left="-57" w:right="-57" w:firstLine="0" w:firstLineChars="0"/>
                    <w:jc w:val="center"/>
                    <w:rPr>
                      <w:rFonts w:eastAsia="宋体" w:cs="Times New Roman"/>
                      <w:b/>
                      <w:color w:val="auto"/>
                      <w:kern w:val="15"/>
                      <w:sz w:val="21"/>
                      <w:szCs w:val="21"/>
                    </w:rPr>
                  </w:pPr>
                </w:p>
              </w:tc>
              <w:tc>
                <w:tcPr>
                  <w:tcW w:w="675" w:type="dxa"/>
                  <w:vMerge w:val="continue"/>
                  <w:vAlign w:val="center"/>
                </w:tcPr>
                <w:p>
                  <w:pPr>
                    <w:spacing w:line="240" w:lineRule="auto"/>
                    <w:ind w:left="-57" w:right="-57" w:firstLine="0" w:firstLineChars="0"/>
                    <w:jc w:val="center"/>
                    <w:rPr>
                      <w:rFonts w:eastAsia="宋体" w:cs="Times New Roman"/>
                      <w:b/>
                      <w:color w:val="auto"/>
                      <w:kern w:val="15"/>
                      <w:sz w:val="21"/>
                      <w:szCs w:val="21"/>
                    </w:rPr>
                  </w:pPr>
                </w:p>
              </w:tc>
              <w:tc>
                <w:tcPr>
                  <w:tcW w:w="1735" w:type="dxa"/>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因子</w:t>
                  </w:r>
                </w:p>
              </w:tc>
              <w:tc>
                <w:tcPr>
                  <w:tcW w:w="2035" w:type="dxa"/>
                  <w:vAlign w:val="center"/>
                </w:tcPr>
                <w:p>
                  <w:pPr>
                    <w:spacing w:line="240" w:lineRule="auto"/>
                    <w:ind w:left="-57" w:right="-57" w:firstLine="0" w:firstLineChars="0"/>
                    <w:jc w:val="center"/>
                    <w:rPr>
                      <w:rFonts w:eastAsia="宋体" w:cs="Times New Roman"/>
                      <w:b/>
                      <w:color w:val="auto"/>
                      <w:kern w:val="15"/>
                      <w:sz w:val="21"/>
                      <w:szCs w:val="21"/>
                    </w:rPr>
                  </w:pPr>
                  <w:r>
                    <w:rPr>
                      <w:rFonts w:eastAsia="宋体" w:cs="Times New Roman"/>
                      <w:b/>
                      <w:color w:val="auto"/>
                      <w:kern w:val="15"/>
                      <w:sz w:val="21"/>
                      <w:szCs w:val="21"/>
                    </w:rPr>
                    <w:t>限值</w:t>
                  </w:r>
                </w:p>
              </w:tc>
              <w:tc>
                <w:tcPr>
                  <w:tcW w:w="2268" w:type="dxa"/>
                  <w:vMerge w:val="continue"/>
                  <w:vAlign w:val="center"/>
                </w:tcPr>
                <w:p>
                  <w:pPr>
                    <w:spacing w:line="240" w:lineRule="auto"/>
                    <w:ind w:left="-57" w:right="-57" w:firstLine="0" w:firstLineChars="0"/>
                    <w:jc w:val="center"/>
                    <w:rPr>
                      <w:rFonts w:eastAsia="宋体" w:cs="Times New Roman"/>
                      <w:color w:val="auto"/>
                      <w:kern w:val="15"/>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809" w:type="dxa"/>
                  <w:vMerge w:val="restart"/>
                  <w:vAlign w:val="center"/>
                </w:tcPr>
                <w:p>
                  <w:pPr>
                    <w:spacing w:line="240" w:lineRule="auto"/>
                    <w:ind w:left="-57" w:right="-57" w:firstLine="0" w:firstLineChars="0"/>
                    <w:jc w:val="center"/>
                    <w:rPr>
                      <w:rFonts w:eastAsia="宋体" w:cs="Times New Roman"/>
                      <w:color w:val="auto"/>
                      <w:kern w:val="15"/>
                      <w:sz w:val="21"/>
                      <w:szCs w:val="21"/>
                    </w:rPr>
                  </w:pPr>
                  <w:r>
                    <w:rPr>
                      <w:rFonts w:eastAsia="宋体" w:cs="Times New Roman"/>
                      <w:bCs/>
                      <w:color w:val="auto"/>
                      <w:kern w:val="15"/>
                      <w:sz w:val="21"/>
                      <w:szCs w:val="21"/>
                    </w:rPr>
                    <w:t>《电磁环境控制限值》</w:t>
                  </w:r>
                </w:p>
              </w:tc>
              <w:tc>
                <w:tcPr>
                  <w:tcW w:w="675" w:type="dxa"/>
                  <w:vMerge w:val="restart"/>
                  <w:vAlign w:val="center"/>
                </w:tcPr>
                <w:p>
                  <w:pPr>
                    <w:spacing w:line="240" w:lineRule="auto"/>
                    <w:ind w:left="-57" w:right="-57" w:firstLine="0" w:firstLineChars="0"/>
                    <w:jc w:val="center"/>
                    <w:rPr>
                      <w:rFonts w:eastAsia="宋体" w:cs="Times New Roman"/>
                      <w:color w:val="auto"/>
                      <w:kern w:val="15"/>
                      <w:sz w:val="21"/>
                      <w:szCs w:val="21"/>
                    </w:rPr>
                  </w:pPr>
                  <w:r>
                    <w:rPr>
                      <w:rFonts w:eastAsia="宋体" w:cs="Times New Roman"/>
                      <w:color w:val="auto"/>
                      <w:kern w:val="15"/>
                      <w:sz w:val="21"/>
                      <w:szCs w:val="21"/>
                    </w:rPr>
                    <w:t>50HZ</w:t>
                  </w:r>
                </w:p>
              </w:tc>
              <w:tc>
                <w:tcPr>
                  <w:tcW w:w="1735" w:type="dxa"/>
                  <w:vAlign w:val="center"/>
                </w:tcPr>
                <w:p>
                  <w:pPr>
                    <w:spacing w:line="240" w:lineRule="auto"/>
                    <w:ind w:left="-57" w:right="-57" w:firstLine="0" w:firstLineChars="0"/>
                    <w:jc w:val="center"/>
                    <w:rPr>
                      <w:rFonts w:eastAsia="宋体" w:cs="Times New Roman"/>
                      <w:color w:val="auto"/>
                      <w:kern w:val="15"/>
                      <w:sz w:val="21"/>
                      <w:szCs w:val="21"/>
                    </w:rPr>
                  </w:pPr>
                  <w:r>
                    <w:rPr>
                      <w:rFonts w:eastAsia="宋体" w:cs="Times New Roman"/>
                      <w:color w:val="auto"/>
                      <w:kern w:val="15"/>
                      <w:sz w:val="21"/>
                      <w:szCs w:val="21"/>
                    </w:rPr>
                    <w:t>工频电场强度</w:t>
                  </w:r>
                </w:p>
              </w:tc>
              <w:tc>
                <w:tcPr>
                  <w:tcW w:w="2035" w:type="dxa"/>
                  <w:vAlign w:val="center"/>
                </w:tcPr>
                <w:p>
                  <w:pPr>
                    <w:spacing w:line="240" w:lineRule="auto"/>
                    <w:ind w:firstLine="0" w:firstLineChars="0"/>
                    <w:jc w:val="center"/>
                    <w:rPr>
                      <w:rFonts w:eastAsia="宋体" w:cs="Times New Roman"/>
                      <w:color w:val="auto"/>
                      <w:kern w:val="15"/>
                      <w:sz w:val="21"/>
                      <w:szCs w:val="21"/>
                    </w:rPr>
                  </w:pPr>
                  <w:r>
                    <w:rPr>
                      <w:rFonts w:eastAsia="宋体" w:cs="Times New Roman"/>
                      <w:color w:val="auto"/>
                      <w:sz w:val="21"/>
                      <w:szCs w:val="21"/>
                    </w:rPr>
                    <w:t>4000V/m（4kV/m）</w:t>
                  </w:r>
                </w:p>
              </w:tc>
              <w:tc>
                <w:tcPr>
                  <w:tcW w:w="2268" w:type="dxa"/>
                  <w:vMerge w:val="restart"/>
                  <w:vAlign w:val="center"/>
                </w:tcPr>
                <w:p>
                  <w:pPr>
                    <w:spacing w:line="240" w:lineRule="auto"/>
                    <w:ind w:left="-57" w:right="-57" w:firstLine="0" w:firstLineChars="0"/>
                    <w:jc w:val="center"/>
                    <w:rPr>
                      <w:rFonts w:eastAsia="宋体" w:cs="Times New Roman"/>
                      <w:color w:val="auto"/>
                      <w:kern w:val="15"/>
                      <w:sz w:val="21"/>
                      <w:szCs w:val="21"/>
                    </w:rPr>
                  </w:pPr>
                  <w:r>
                    <w:rPr>
                      <w:rFonts w:eastAsia="宋体" w:cs="Times New Roman"/>
                      <w:color w:val="auto"/>
                      <w:kern w:val="15"/>
                      <w:sz w:val="21"/>
                      <w:szCs w:val="21"/>
                    </w:rPr>
                    <w:t>电磁评价范围内公众</w:t>
                  </w:r>
                </w:p>
                <w:p>
                  <w:pPr>
                    <w:spacing w:line="240" w:lineRule="auto"/>
                    <w:ind w:left="-57" w:right="-57" w:firstLine="0" w:firstLineChars="0"/>
                    <w:jc w:val="center"/>
                    <w:rPr>
                      <w:rFonts w:eastAsia="宋体" w:cs="Times New Roman"/>
                      <w:color w:val="auto"/>
                      <w:kern w:val="15"/>
                      <w:sz w:val="21"/>
                      <w:szCs w:val="21"/>
                    </w:rPr>
                  </w:pPr>
                  <w:r>
                    <w:rPr>
                      <w:rFonts w:eastAsia="宋体" w:cs="Times New Roman"/>
                      <w:color w:val="auto"/>
                      <w:kern w:val="15"/>
                      <w:sz w:val="21"/>
                      <w:szCs w:val="21"/>
                    </w:rPr>
                    <w:t>曝露控制限值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809" w:type="dxa"/>
                  <w:vMerge w:val="continue"/>
                  <w:vAlign w:val="center"/>
                </w:tcPr>
                <w:p>
                  <w:pPr>
                    <w:spacing w:line="240" w:lineRule="auto"/>
                    <w:ind w:left="-57" w:right="-57" w:firstLine="0" w:firstLineChars="0"/>
                    <w:jc w:val="center"/>
                    <w:rPr>
                      <w:rFonts w:eastAsia="宋体" w:cs="Times New Roman"/>
                      <w:color w:val="auto"/>
                      <w:kern w:val="15"/>
                      <w:sz w:val="21"/>
                      <w:szCs w:val="21"/>
                    </w:rPr>
                  </w:pPr>
                </w:p>
              </w:tc>
              <w:tc>
                <w:tcPr>
                  <w:tcW w:w="675" w:type="dxa"/>
                  <w:vMerge w:val="continue"/>
                  <w:vAlign w:val="center"/>
                </w:tcPr>
                <w:p>
                  <w:pPr>
                    <w:spacing w:line="240" w:lineRule="auto"/>
                    <w:ind w:left="-57" w:right="-57" w:firstLine="0" w:firstLineChars="0"/>
                    <w:jc w:val="center"/>
                    <w:rPr>
                      <w:rFonts w:eastAsia="宋体" w:cs="Times New Roman"/>
                      <w:color w:val="auto"/>
                      <w:kern w:val="15"/>
                      <w:sz w:val="21"/>
                      <w:szCs w:val="21"/>
                    </w:rPr>
                  </w:pPr>
                </w:p>
              </w:tc>
              <w:tc>
                <w:tcPr>
                  <w:tcW w:w="1735" w:type="dxa"/>
                  <w:vAlign w:val="center"/>
                </w:tcPr>
                <w:p>
                  <w:pPr>
                    <w:spacing w:line="240" w:lineRule="auto"/>
                    <w:ind w:left="-57" w:right="-57" w:firstLine="0" w:firstLineChars="0"/>
                    <w:jc w:val="center"/>
                    <w:rPr>
                      <w:rFonts w:eastAsia="宋体" w:cs="Times New Roman"/>
                      <w:color w:val="auto"/>
                      <w:kern w:val="15"/>
                      <w:sz w:val="21"/>
                      <w:szCs w:val="21"/>
                    </w:rPr>
                  </w:pPr>
                  <w:r>
                    <w:rPr>
                      <w:rFonts w:eastAsia="宋体" w:cs="Times New Roman"/>
                      <w:color w:val="auto"/>
                      <w:kern w:val="15"/>
                      <w:sz w:val="21"/>
                      <w:szCs w:val="21"/>
                    </w:rPr>
                    <w:t>工频磁感应强度</w:t>
                  </w:r>
                </w:p>
              </w:tc>
              <w:tc>
                <w:tcPr>
                  <w:tcW w:w="2035" w:type="dxa"/>
                  <w:vAlign w:val="center"/>
                </w:tcPr>
                <w:p>
                  <w:pPr>
                    <w:spacing w:line="240" w:lineRule="auto"/>
                    <w:ind w:firstLine="0" w:firstLineChars="0"/>
                    <w:jc w:val="center"/>
                    <w:rPr>
                      <w:rFonts w:eastAsia="宋体" w:cs="Times New Roman"/>
                      <w:color w:val="auto"/>
                      <w:kern w:val="15"/>
                      <w:sz w:val="21"/>
                      <w:szCs w:val="21"/>
                    </w:rPr>
                  </w:pPr>
                  <w:r>
                    <w:rPr>
                      <w:rFonts w:eastAsia="宋体" w:cs="Times New Roman"/>
                      <w:color w:val="auto"/>
                      <w:sz w:val="21"/>
                      <w:szCs w:val="21"/>
                    </w:rPr>
                    <w:t>100μT（0.1mT）</w:t>
                  </w:r>
                </w:p>
              </w:tc>
              <w:tc>
                <w:tcPr>
                  <w:tcW w:w="2268" w:type="dxa"/>
                  <w:vMerge w:val="continue"/>
                  <w:vAlign w:val="center"/>
                </w:tcPr>
                <w:p>
                  <w:pPr>
                    <w:widowControl/>
                    <w:spacing w:line="240" w:lineRule="auto"/>
                    <w:ind w:firstLine="0" w:firstLineChars="0"/>
                    <w:jc w:val="center"/>
                    <w:rPr>
                      <w:rFonts w:eastAsia="宋体" w:cs="Times New Roman"/>
                      <w:color w:val="auto"/>
                      <w:kern w:val="15"/>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8522" w:type="dxa"/>
                  <w:gridSpan w:val="5"/>
                  <w:vAlign w:val="center"/>
                </w:tcPr>
                <w:p>
                  <w:pPr>
                    <w:widowControl/>
                    <w:spacing w:line="240" w:lineRule="auto"/>
                    <w:ind w:firstLine="0" w:firstLineChars="0"/>
                    <w:jc w:val="left"/>
                    <w:rPr>
                      <w:rFonts w:eastAsia="宋体" w:cs="Times New Roman"/>
                      <w:color w:val="auto"/>
                      <w:kern w:val="15"/>
                      <w:sz w:val="21"/>
                      <w:szCs w:val="21"/>
                    </w:rPr>
                  </w:pPr>
                  <w:r>
                    <w:rPr>
                      <w:rFonts w:eastAsia="宋体" w:cs="Times New Roman"/>
                      <w:color w:val="auto"/>
                      <w:kern w:val="15"/>
                      <w:sz w:val="21"/>
                      <w:szCs w:val="21"/>
                    </w:rPr>
                    <w:t>注：架空输电线路线下的耕地、果园、牧草地、畜禽养殖地、养殖水面、道路等场所，其</w:t>
                  </w:r>
                  <w:r>
                    <w:rPr>
                      <w:rFonts w:eastAsia="宋体" w:cs="Times New Roman"/>
                      <w:color w:val="auto"/>
                      <w:kern w:val="24"/>
                      <w:sz w:val="21"/>
                      <w:szCs w:val="21"/>
                    </w:rPr>
                    <w:t>50Hz</w:t>
                  </w:r>
                  <w:r>
                    <w:rPr>
                      <w:rFonts w:eastAsia="宋体" w:cs="Times New Roman"/>
                      <w:color w:val="auto"/>
                      <w:kern w:val="15"/>
                      <w:sz w:val="21"/>
                      <w:szCs w:val="21"/>
                    </w:rPr>
                    <w:t>频率的电场强度控制限制为10</w:t>
                  </w:r>
                  <w:r>
                    <w:rPr>
                      <w:rFonts w:eastAsia="宋体" w:cs="Times New Roman"/>
                      <w:color w:val="auto"/>
                      <w:sz w:val="21"/>
                      <w:szCs w:val="21"/>
                    </w:rPr>
                    <w:t xml:space="preserve"> kV/m，且应给出警示和防护指示标志。</w:t>
                  </w:r>
                </w:p>
              </w:tc>
            </w:tr>
          </w:tbl>
          <w:p>
            <w:pPr>
              <w:adjustRightInd w:val="0"/>
              <w:snapToGrid w:val="0"/>
              <w:ind w:firstLine="482"/>
              <w:rPr>
                <w:rFonts w:eastAsia="宋体" w:cs="Times New Roman"/>
                <w:b/>
                <w:color w:val="auto"/>
                <w:szCs w:val="24"/>
              </w:rPr>
            </w:pPr>
            <w:r>
              <w:rPr>
                <w:rFonts w:eastAsia="宋体" w:cs="Times New Roman"/>
                <w:b/>
                <w:color w:val="auto"/>
                <w:szCs w:val="24"/>
              </w:rPr>
              <w:t>2、污染物排放标准</w:t>
            </w:r>
          </w:p>
          <w:p>
            <w:pPr>
              <w:adjustRightInd w:val="0"/>
              <w:snapToGrid w:val="0"/>
              <w:ind w:firstLine="480"/>
              <w:rPr>
                <w:rFonts w:eastAsia="宋体" w:cs="Times New Roman"/>
                <w:color w:val="auto"/>
                <w:szCs w:val="24"/>
              </w:rPr>
            </w:pPr>
            <w:r>
              <w:rPr>
                <w:rFonts w:eastAsia="宋体" w:cs="Times New Roman"/>
                <w:color w:val="auto"/>
                <w:szCs w:val="24"/>
              </w:rPr>
              <w:t>（1）废气</w:t>
            </w:r>
          </w:p>
          <w:p>
            <w:pPr>
              <w:adjustRightInd w:val="0"/>
              <w:snapToGrid w:val="0"/>
              <w:ind w:firstLine="480"/>
              <w:rPr>
                <w:rFonts w:eastAsia="宋体" w:cs="Times New Roman"/>
                <w:color w:val="auto"/>
                <w:szCs w:val="24"/>
              </w:rPr>
            </w:pPr>
            <w:r>
              <w:rPr>
                <w:rFonts w:eastAsia="宋体" w:cs="Times New Roman"/>
                <w:color w:val="auto"/>
                <w:szCs w:val="24"/>
              </w:rPr>
              <w:t>施工扬尘、机械、运输车辆燃油尾气排放执行《大气污染物综合排放标准》（GB16297-1996）中二级标准及无组织排放监控浓度限值。</w:t>
            </w:r>
          </w:p>
          <w:p>
            <w:pPr>
              <w:adjustRightInd w:val="0"/>
              <w:snapToGrid w:val="0"/>
              <w:spacing w:line="240" w:lineRule="auto"/>
              <w:ind w:firstLine="0" w:firstLineChars="0"/>
              <w:jc w:val="center"/>
              <w:rPr>
                <w:rFonts w:eastAsia="宋体" w:cs="Times New Roman"/>
                <w:b/>
                <w:color w:val="auto"/>
                <w:kern w:val="24"/>
                <w:sz w:val="21"/>
                <w:szCs w:val="20"/>
              </w:rPr>
            </w:pPr>
            <w:r>
              <w:rPr>
                <w:rFonts w:eastAsia="宋体" w:cs="Times New Roman"/>
                <w:b/>
                <w:color w:val="auto"/>
                <w:kern w:val="24"/>
                <w:sz w:val="21"/>
                <w:szCs w:val="20"/>
              </w:rPr>
              <w:t>表3-</w:t>
            </w:r>
            <w:r>
              <w:rPr>
                <w:rFonts w:hint="eastAsia" w:eastAsia="宋体" w:cs="Times New Roman"/>
                <w:b/>
                <w:color w:val="auto"/>
                <w:kern w:val="24"/>
                <w:sz w:val="21"/>
                <w:szCs w:val="20"/>
              </w:rPr>
              <w:t>12</w:t>
            </w:r>
            <w:r>
              <w:rPr>
                <w:rFonts w:eastAsia="宋体" w:cs="Times New Roman"/>
                <w:b/>
                <w:color w:val="auto"/>
                <w:kern w:val="24"/>
                <w:sz w:val="21"/>
                <w:szCs w:val="20"/>
              </w:rPr>
              <w:t xml:space="preserve"> 《大气污染物综合排放标准》（GB16297-1996）单位：mg/m</w:t>
            </w:r>
            <w:r>
              <w:rPr>
                <w:rFonts w:eastAsia="宋体" w:cs="Times New Roman"/>
                <w:b/>
                <w:color w:val="auto"/>
                <w:kern w:val="24"/>
                <w:sz w:val="21"/>
                <w:szCs w:val="20"/>
                <w:vertAlign w:val="superscript"/>
              </w:rPr>
              <w:t>3</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735"/>
              <w:gridCol w:w="277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序号</w:t>
                  </w:r>
                </w:p>
              </w:tc>
              <w:tc>
                <w:tcPr>
                  <w:tcW w:w="1078"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污染物名称</w:t>
                  </w:r>
                </w:p>
              </w:tc>
              <w:tc>
                <w:tcPr>
                  <w:tcW w:w="3133"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color w:val="auto"/>
                      <w:kern w:val="24"/>
                      <w:sz w:val="21"/>
                      <w:szCs w:val="24"/>
                      <w:lang w:val="fr-FR"/>
                    </w:rPr>
                  </w:pPr>
                </w:p>
              </w:tc>
              <w:tc>
                <w:tcPr>
                  <w:tcW w:w="107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color w:val="auto"/>
                      <w:kern w:val="24"/>
                      <w:sz w:val="21"/>
                      <w:szCs w:val="24"/>
                      <w:lang w:val="fr-FR"/>
                    </w:rPr>
                  </w:pPr>
                </w:p>
              </w:tc>
              <w:tc>
                <w:tcPr>
                  <w:tcW w:w="17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监控点</w:t>
                  </w:r>
                </w:p>
              </w:tc>
              <w:tc>
                <w:tcPr>
                  <w:tcW w:w="1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b/>
                      <w:color w:val="auto"/>
                      <w:kern w:val="24"/>
                      <w:sz w:val="21"/>
                      <w:szCs w:val="24"/>
                      <w:lang w:val="fr-FR"/>
                    </w:rPr>
                  </w:pPr>
                  <w:r>
                    <w:rPr>
                      <w:rFonts w:eastAsia="宋体" w:cs="Times New Roman"/>
                      <w:b/>
                      <w:color w:val="auto"/>
                      <w:kern w:val="24"/>
                      <w:sz w:val="21"/>
                      <w:szCs w:val="24"/>
                      <w:lang w:val="fr-FR"/>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w:t>
                  </w:r>
                </w:p>
              </w:tc>
              <w:tc>
                <w:tcPr>
                  <w:tcW w:w="10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颗粒物</w:t>
                  </w:r>
                </w:p>
              </w:tc>
              <w:tc>
                <w:tcPr>
                  <w:tcW w:w="1727"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周界外浓度最高点</w:t>
                  </w:r>
                </w:p>
              </w:tc>
              <w:tc>
                <w:tcPr>
                  <w:tcW w:w="1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2</w:t>
                  </w:r>
                </w:p>
              </w:tc>
              <w:tc>
                <w:tcPr>
                  <w:tcW w:w="10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二氧化硫</w:t>
                  </w:r>
                </w:p>
              </w:tc>
              <w:tc>
                <w:tcPr>
                  <w:tcW w:w="1727" w:type="pct"/>
                  <w:vMerge w:val="continue"/>
                  <w:tcBorders>
                    <w:left w:val="single" w:color="auto" w:sz="4" w:space="0"/>
                    <w:right w:val="single" w:color="auto" w:sz="4" w:space="0"/>
                  </w:tcBorders>
                  <w:vAlign w:val="center"/>
                </w:tcPr>
                <w:p>
                  <w:pPr>
                    <w:adjustRightInd w:val="0"/>
                    <w:snapToGrid w:val="0"/>
                    <w:spacing w:line="240" w:lineRule="auto"/>
                    <w:ind w:firstLine="420"/>
                    <w:jc w:val="center"/>
                    <w:rPr>
                      <w:rFonts w:eastAsia="宋体" w:cs="Times New Roman"/>
                      <w:color w:val="auto"/>
                      <w:kern w:val="24"/>
                      <w:sz w:val="21"/>
                      <w:szCs w:val="24"/>
                    </w:rPr>
                  </w:pPr>
                </w:p>
              </w:tc>
              <w:tc>
                <w:tcPr>
                  <w:tcW w:w="1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3</w:t>
                  </w:r>
                </w:p>
              </w:tc>
              <w:tc>
                <w:tcPr>
                  <w:tcW w:w="10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氮氧化物</w:t>
                  </w:r>
                </w:p>
              </w:tc>
              <w:tc>
                <w:tcPr>
                  <w:tcW w:w="1727" w:type="pct"/>
                  <w:vMerge w:val="continue"/>
                  <w:tcBorders>
                    <w:left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rPr>
                  </w:pPr>
                </w:p>
              </w:tc>
              <w:tc>
                <w:tcPr>
                  <w:tcW w:w="1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hint="eastAsia" w:eastAsia="宋体" w:cs="Times New Roman"/>
                      <w:color w:val="auto"/>
                      <w:kern w:val="24"/>
                      <w:sz w:val="21"/>
                      <w:szCs w:val="24"/>
                      <w:lang w:val="fr-FR"/>
                    </w:rPr>
                    <w:t>4</w:t>
                  </w:r>
                </w:p>
              </w:tc>
              <w:tc>
                <w:tcPr>
                  <w:tcW w:w="107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eastAsia="宋体" w:cs="Times New Roman"/>
                      <w:color w:val="auto"/>
                      <w:kern w:val="24"/>
                      <w:sz w:val="21"/>
                      <w:szCs w:val="24"/>
                      <w:lang w:val="fr-FR"/>
                    </w:rPr>
                    <w:t>非甲烷总烃</w:t>
                  </w:r>
                </w:p>
              </w:tc>
              <w:tc>
                <w:tcPr>
                  <w:tcW w:w="1727"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p>
              </w:tc>
              <w:tc>
                <w:tcPr>
                  <w:tcW w:w="140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宋体" w:cs="Times New Roman"/>
                      <w:color w:val="auto"/>
                      <w:kern w:val="24"/>
                      <w:sz w:val="21"/>
                      <w:szCs w:val="24"/>
                      <w:lang w:val="fr-FR"/>
                    </w:rPr>
                  </w:pPr>
                  <w:r>
                    <w:rPr>
                      <w:rFonts w:hint="eastAsia" w:eastAsia="宋体" w:cs="Times New Roman"/>
                      <w:color w:val="auto"/>
                      <w:kern w:val="24"/>
                      <w:sz w:val="21"/>
                      <w:szCs w:val="24"/>
                      <w:lang w:val="fr-FR"/>
                    </w:rPr>
                    <w:t>4.0</w:t>
                  </w:r>
                </w:p>
              </w:tc>
            </w:tr>
          </w:tbl>
          <w:p>
            <w:pPr>
              <w:adjustRightInd w:val="0"/>
              <w:snapToGrid w:val="0"/>
              <w:ind w:firstLine="480"/>
              <w:rPr>
                <w:rFonts w:eastAsia="宋体" w:cs="Times New Roman"/>
                <w:color w:val="auto"/>
                <w:szCs w:val="24"/>
              </w:rPr>
            </w:pPr>
            <w:r>
              <w:rPr>
                <w:rFonts w:eastAsia="宋体" w:cs="Times New Roman"/>
                <w:color w:val="auto"/>
                <w:szCs w:val="24"/>
              </w:rPr>
              <w:t>（</w:t>
            </w:r>
            <w:r>
              <w:rPr>
                <w:rFonts w:hint="eastAsia" w:eastAsia="宋体" w:cs="Times New Roman"/>
                <w:color w:val="auto"/>
                <w:szCs w:val="24"/>
              </w:rPr>
              <w:t>2</w:t>
            </w:r>
            <w:r>
              <w:rPr>
                <w:rFonts w:eastAsia="宋体" w:cs="Times New Roman"/>
                <w:color w:val="auto"/>
                <w:szCs w:val="24"/>
              </w:rPr>
              <w:t>）噪声</w:t>
            </w:r>
          </w:p>
          <w:p>
            <w:pPr>
              <w:adjustRightInd w:val="0"/>
              <w:snapToGrid w:val="0"/>
              <w:ind w:firstLine="480"/>
              <w:rPr>
                <w:rFonts w:eastAsia="宋体" w:cs="Times New Roman"/>
                <w:color w:val="auto"/>
                <w:szCs w:val="24"/>
              </w:rPr>
            </w:pPr>
            <w:r>
              <w:rPr>
                <w:rFonts w:eastAsia="宋体" w:cs="Times New Roman"/>
                <w:color w:val="auto"/>
                <w:szCs w:val="24"/>
              </w:rPr>
              <w:t>项目施工期噪声执行《建筑施工场界环境噪声排放标准》（GB12523-2011）。运营期</w:t>
            </w:r>
            <w:r>
              <w:rPr>
                <w:rFonts w:hint="eastAsia" w:eastAsia="宋体" w:cs="Times New Roman"/>
                <w:color w:val="auto"/>
                <w:szCs w:val="24"/>
              </w:rPr>
              <w:t>边界</w:t>
            </w:r>
            <w:r>
              <w:rPr>
                <w:rFonts w:eastAsia="宋体" w:cs="Times New Roman"/>
                <w:color w:val="auto"/>
                <w:szCs w:val="24"/>
              </w:rPr>
              <w:t>噪声排放执行《工业企业厂界环境噪声排放标准》（GB12348-2008）1类标准，具体标准见表3-</w:t>
            </w:r>
            <w:r>
              <w:rPr>
                <w:rFonts w:hint="eastAsia" w:eastAsia="宋体" w:cs="Times New Roman"/>
                <w:color w:val="auto"/>
                <w:szCs w:val="24"/>
              </w:rPr>
              <w:t>13</w:t>
            </w:r>
            <w:r>
              <w:rPr>
                <w:rFonts w:eastAsia="宋体" w:cs="Times New Roman"/>
                <w:color w:val="auto"/>
                <w:szCs w:val="24"/>
              </w:rPr>
              <w:t>。</w:t>
            </w:r>
          </w:p>
          <w:p>
            <w:pPr>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表3-</w:t>
            </w:r>
            <w:r>
              <w:rPr>
                <w:rFonts w:hint="eastAsia" w:eastAsia="宋体" w:cs="Times New Roman"/>
                <w:b/>
                <w:color w:val="auto"/>
                <w:sz w:val="21"/>
                <w:szCs w:val="21"/>
              </w:rPr>
              <w:t>11</w:t>
            </w:r>
            <w:r>
              <w:rPr>
                <w:rFonts w:eastAsia="宋体" w:cs="Times New Roman"/>
                <w:b/>
                <w:color w:val="auto"/>
                <w:sz w:val="21"/>
                <w:szCs w:val="21"/>
              </w:rPr>
              <w:t>噪声排放标准限值   单位：dB（A）</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76"/>
              <w:gridCol w:w="1706"/>
              <w:gridCol w:w="19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720" w:type="pct"/>
                  <w:vAlign w:val="center"/>
                </w:tcPr>
                <w:p>
                  <w:pPr>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评价标准</w:t>
                  </w:r>
                </w:p>
              </w:tc>
              <w:tc>
                <w:tcPr>
                  <w:tcW w:w="1060" w:type="pct"/>
                  <w:vAlign w:val="center"/>
                </w:tcPr>
                <w:p>
                  <w:pPr>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昼间Leq</w:t>
                  </w:r>
                </w:p>
              </w:tc>
              <w:tc>
                <w:tcPr>
                  <w:tcW w:w="1220" w:type="pct"/>
                  <w:vAlign w:val="center"/>
                </w:tcPr>
                <w:p>
                  <w:pPr>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夜间Leq</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72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建筑施工场界环境噪声排放标准</w:t>
                  </w:r>
                </w:p>
              </w:tc>
              <w:tc>
                <w:tcPr>
                  <w:tcW w:w="106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70</w:t>
                  </w:r>
                </w:p>
              </w:tc>
              <w:tc>
                <w:tcPr>
                  <w:tcW w:w="122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72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工业企业厂界环境噪声排放标准</w:t>
                  </w:r>
                </w:p>
              </w:tc>
              <w:tc>
                <w:tcPr>
                  <w:tcW w:w="106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55</w:t>
                  </w:r>
                </w:p>
              </w:tc>
              <w:tc>
                <w:tcPr>
                  <w:tcW w:w="1220" w:type="pct"/>
                  <w:vAlign w:val="center"/>
                </w:tcPr>
                <w:p>
                  <w:pPr>
                    <w:spacing w:line="240" w:lineRule="auto"/>
                    <w:ind w:firstLine="0" w:firstLineChars="0"/>
                    <w:jc w:val="center"/>
                    <w:rPr>
                      <w:rFonts w:eastAsia="宋体" w:cs="Times New Roman"/>
                      <w:color w:val="auto"/>
                      <w:sz w:val="21"/>
                      <w:szCs w:val="21"/>
                    </w:rPr>
                  </w:pPr>
                  <w:r>
                    <w:rPr>
                      <w:rFonts w:eastAsia="宋体" w:cs="Times New Roman"/>
                      <w:color w:val="auto"/>
                      <w:sz w:val="21"/>
                      <w:szCs w:val="21"/>
                    </w:rPr>
                    <w:t>45</w:t>
                  </w:r>
                </w:p>
              </w:tc>
            </w:tr>
          </w:tbl>
          <w:p>
            <w:pPr>
              <w:adjustRightInd w:val="0"/>
              <w:snapToGrid w:val="0"/>
              <w:ind w:firstLine="480"/>
              <w:rPr>
                <w:rFonts w:eastAsia="宋体" w:cs="Times New Roman"/>
                <w:color w:val="auto"/>
                <w:szCs w:val="24"/>
              </w:rPr>
            </w:pPr>
          </w:p>
          <w:p>
            <w:pPr>
              <w:adjustRightInd w:val="0"/>
              <w:snapToGrid w:val="0"/>
              <w:ind w:firstLine="480"/>
              <w:rPr>
                <w:rFonts w:eastAsia="宋体" w:cs="Times New Roman"/>
                <w:color w:val="auto"/>
                <w:szCs w:val="24"/>
              </w:rPr>
            </w:pPr>
          </w:p>
          <w:p>
            <w:pPr>
              <w:ind w:firstLine="0" w:firstLineChars="0"/>
              <w:rPr>
                <w:rFonts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pPr>
              <w:spacing w:line="240" w:lineRule="auto"/>
              <w:ind w:firstLine="0" w:firstLineChars="0"/>
              <w:jc w:val="center"/>
              <w:rPr>
                <w:rFonts w:cs="Times New Roman"/>
                <w:color w:val="auto"/>
                <w:szCs w:val="24"/>
              </w:rPr>
            </w:pPr>
            <w:r>
              <w:rPr>
                <w:rFonts w:cs="Times New Roman"/>
                <w:color w:val="auto"/>
                <w:szCs w:val="24"/>
              </w:rPr>
              <w:t>其他</w:t>
            </w:r>
          </w:p>
        </w:tc>
        <w:tc>
          <w:tcPr>
            <w:tcW w:w="4739" w:type="pct"/>
          </w:tcPr>
          <w:p>
            <w:pPr>
              <w:ind w:firstLine="0" w:firstLineChars="0"/>
              <w:jc w:val="center"/>
              <w:rPr>
                <w:rFonts w:cs="Times New Roman"/>
                <w:color w:val="auto"/>
                <w:szCs w:val="24"/>
              </w:rPr>
            </w:pPr>
          </w:p>
          <w:p>
            <w:pPr>
              <w:ind w:firstLine="0" w:firstLineChars="0"/>
              <w:jc w:val="center"/>
              <w:rPr>
                <w:rFonts w:cs="Times New Roman"/>
                <w:color w:val="auto"/>
                <w:szCs w:val="24"/>
              </w:rPr>
            </w:pPr>
            <w:r>
              <w:rPr>
                <w:rFonts w:cs="Times New Roman"/>
                <w:color w:val="auto"/>
                <w:szCs w:val="24"/>
              </w:rPr>
              <w:t>无总量控制指标</w:t>
            </w:r>
          </w:p>
          <w:p>
            <w:pPr>
              <w:ind w:firstLine="0" w:firstLineChars="0"/>
              <w:rPr>
                <w:rFonts w:cs="Times New Roman"/>
                <w:color w:val="auto"/>
                <w:szCs w:val="24"/>
              </w:rPr>
            </w:pPr>
          </w:p>
        </w:tc>
      </w:tr>
    </w:tbl>
    <w:p>
      <w:pPr>
        <w:ind w:firstLine="199" w:firstLineChars="83"/>
        <w:rPr>
          <w:color w:val="auto"/>
        </w:rPr>
      </w:pPr>
      <w:bookmarkStart w:id="12" w:name="_Toc147654119"/>
      <w:bookmarkStart w:id="13" w:name="_Toc147654218"/>
      <w:r>
        <w:rPr>
          <w:color w:val="auto"/>
        </w:rPr>
        <w:br w:type="page"/>
      </w:r>
    </w:p>
    <w:p>
      <w:pPr>
        <w:pStyle w:val="2"/>
        <w:rPr>
          <w:color w:val="auto"/>
        </w:rPr>
      </w:pPr>
      <w:r>
        <w:rPr>
          <w:color w:val="auto"/>
        </w:rPr>
        <w:t>四、生态环境影响分析</w:t>
      </w:r>
      <w:bookmarkEnd w:id="12"/>
      <w:bookmarkEnd w:id="13"/>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spacing w:line="240" w:lineRule="auto"/>
              <w:ind w:firstLine="0" w:firstLineChars="0"/>
              <w:jc w:val="center"/>
              <w:rPr>
                <w:rFonts w:cs="Times New Roman"/>
                <w:color w:val="auto"/>
                <w:szCs w:val="24"/>
              </w:rPr>
            </w:pPr>
            <w:r>
              <w:rPr>
                <w:rFonts w:cs="Times New Roman"/>
                <w:color w:val="auto"/>
                <w:szCs w:val="24"/>
              </w:rPr>
              <w:t>施工期生态环境影响分析</w:t>
            </w:r>
          </w:p>
        </w:tc>
        <w:tc>
          <w:tcPr>
            <w:tcW w:w="4694" w:type="pct"/>
          </w:tcPr>
          <w:p>
            <w:pPr>
              <w:ind w:firstLine="482"/>
              <w:rPr>
                <w:rFonts w:cs="Times New Roman"/>
                <w:b/>
                <w:bCs/>
                <w:color w:val="auto"/>
                <w:szCs w:val="24"/>
              </w:rPr>
            </w:pPr>
            <w:r>
              <w:rPr>
                <w:rFonts w:cs="Times New Roman"/>
                <w:b/>
                <w:bCs/>
                <w:color w:val="auto"/>
                <w:szCs w:val="24"/>
              </w:rPr>
              <w:t>1、施工期生态影响分析</w:t>
            </w:r>
          </w:p>
          <w:p>
            <w:pPr>
              <w:ind w:firstLine="480"/>
              <w:rPr>
                <w:rFonts w:cs="Times New Roman"/>
                <w:bCs/>
                <w:color w:val="auto"/>
                <w:szCs w:val="24"/>
              </w:rPr>
            </w:pPr>
            <w:r>
              <w:rPr>
                <w:rFonts w:cs="Times New Roman"/>
                <w:bCs/>
                <w:color w:val="auto"/>
                <w:szCs w:val="24"/>
              </w:rPr>
              <w:t>本项目对周边生态环境的影响主要体现在项目临时占地、永久占地、施工活动带来的影响。</w:t>
            </w:r>
          </w:p>
          <w:p>
            <w:pPr>
              <w:ind w:firstLine="482"/>
              <w:rPr>
                <w:rFonts w:cs="Times New Roman"/>
                <w:b/>
                <w:bCs/>
                <w:color w:val="auto"/>
                <w:szCs w:val="24"/>
              </w:rPr>
            </w:pPr>
            <w:r>
              <w:rPr>
                <w:rFonts w:cs="Times New Roman"/>
                <w:b/>
                <w:bCs/>
                <w:color w:val="auto"/>
                <w:szCs w:val="24"/>
              </w:rPr>
              <w:t>（1）工程占地对土地利用结构的影响</w:t>
            </w:r>
          </w:p>
          <w:p>
            <w:pPr>
              <w:ind w:firstLine="480"/>
              <w:rPr>
                <w:rFonts w:cs="Times New Roman"/>
                <w:bCs/>
                <w:color w:val="auto"/>
                <w:szCs w:val="24"/>
              </w:rPr>
            </w:pPr>
            <w:r>
              <w:rPr>
                <w:rFonts w:cs="Times New Roman"/>
                <w:bCs/>
                <w:color w:val="auto"/>
                <w:szCs w:val="24"/>
              </w:rPr>
              <w:t>本项目占地分为永久占地和临时占地，永久占地为间隔扩建用地和架空线路塔基占地，临时占地包括牵张场地、施工临时道路等占地。项目永久占地将改变现有土地的性质和功能，永久占地和临时占地将破坏地表植被，干扰野生动物的栖息。</w:t>
            </w:r>
          </w:p>
          <w:p>
            <w:pPr>
              <w:ind w:firstLine="480"/>
              <w:rPr>
                <w:rFonts w:cs="Times New Roman"/>
                <w:bCs/>
                <w:color w:val="auto"/>
                <w:szCs w:val="24"/>
              </w:rPr>
            </w:pPr>
            <w:r>
              <w:rPr>
                <w:rFonts w:cs="Times New Roman"/>
                <w:bCs/>
                <w:color w:val="auto"/>
                <w:szCs w:val="24"/>
              </w:rPr>
              <w:t>本项目工程占地类型为主要为</w:t>
            </w:r>
            <w:r>
              <w:rPr>
                <w:rFonts w:hint="eastAsia" w:cs="Times New Roman"/>
                <w:bCs/>
                <w:color w:val="auto"/>
                <w:szCs w:val="24"/>
              </w:rPr>
              <w:t>林地、旱地、园地</w:t>
            </w:r>
            <w:r>
              <w:rPr>
                <w:rFonts w:cs="Times New Roman"/>
                <w:bCs/>
                <w:color w:val="auto"/>
                <w:szCs w:val="24"/>
              </w:rPr>
              <w:t>等，项目杆塔占地变更为基础设施占地，占地面积较小，对区域土地利用结构影响不大。在</w:t>
            </w:r>
            <w:r>
              <w:rPr>
                <w:rFonts w:hint="eastAsia" w:cs="Times New Roman"/>
                <w:bCs/>
                <w:color w:val="auto"/>
                <w:szCs w:val="24"/>
              </w:rPr>
              <w:t>茶花</w:t>
            </w:r>
            <w:r>
              <w:rPr>
                <w:rFonts w:cs="Times New Roman"/>
                <w:bCs/>
                <w:color w:val="auto"/>
                <w:szCs w:val="24"/>
              </w:rPr>
              <w:t>变电站扩建</w:t>
            </w:r>
            <w:r>
              <w:rPr>
                <w:rFonts w:hint="eastAsia" w:cs="Times New Roman"/>
                <w:bCs/>
                <w:color w:val="auto"/>
                <w:szCs w:val="24"/>
              </w:rPr>
              <w:t>1个间隔，不新增扩建间隔用地，</w:t>
            </w:r>
            <w:r>
              <w:rPr>
                <w:rFonts w:cs="Times New Roman"/>
                <w:bCs/>
                <w:color w:val="auto"/>
                <w:szCs w:val="24"/>
              </w:rPr>
              <w:t>项目临时占地施工结束后恢复为原有利用类型，一般</w:t>
            </w:r>
            <w:r>
              <w:rPr>
                <w:rFonts w:hint="eastAsia" w:cs="Times New Roman"/>
                <w:bCs/>
                <w:color w:val="auto"/>
                <w:szCs w:val="24"/>
              </w:rPr>
              <w:t>1~2年内基本可恢复原有土地利用功能，</w:t>
            </w:r>
            <w:r>
              <w:rPr>
                <w:rFonts w:cs="Times New Roman"/>
                <w:bCs/>
                <w:color w:val="auto"/>
                <w:szCs w:val="24"/>
              </w:rPr>
              <w:t>对区域土地利用结构产生影响较小。</w:t>
            </w:r>
          </w:p>
          <w:p>
            <w:pPr>
              <w:ind w:firstLine="482"/>
              <w:rPr>
                <w:rFonts w:cs="Times New Roman"/>
                <w:b/>
                <w:bCs/>
                <w:color w:val="auto"/>
                <w:szCs w:val="24"/>
              </w:rPr>
            </w:pPr>
            <w:r>
              <w:rPr>
                <w:rFonts w:cs="Times New Roman"/>
                <w:b/>
                <w:bCs/>
                <w:color w:val="auto"/>
                <w:szCs w:val="24"/>
              </w:rPr>
              <w:t>（2）施工期对野生动物影响分析</w:t>
            </w:r>
          </w:p>
          <w:p>
            <w:pPr>
              <w:ind w:firstLine="480"/>
              <w:rPr>
                <w:rFonts w:cs="Times New Roman"/>
                <w:bCs/>
                <w:color w:val="auto"/>
                <w:szCs w:val="24"/>
              </w:rPr>
            </w:pPr>
            <w:r>
              <w:rPr>
                <w:rFonts w:cs="Times New Roman"/>
                <w:bCs/>
                <w:color w:val="auto"/>
                <w:szCs w:val="24"/>
              </w:rPr>
              <w:t>线路施工过程中如</w:t>
            </w:r>
            <w:r>
              <w:rPr>
                <w:rFonts w:hint="eastAsia" w:cs="Times New Roman"/>
                <w:bCs/>
                <w:color w:val="auto"/>
                <w:szCs w:val="24"/>
              </w:rPr>
              <w:t>杆塔基础开挖</w:t>
            </w:r>
            <w:r>
              <w:rPr>
                <w:rFonts w:cs="Times New Roman"/>
                <w:bCs/>
                <w:color w:val="auto"/>
                <w:szCs w:val="24"/>
              </w:rPr>
              <w:t>将对局部地表植被产生不同程度的破坏。另外施工时的噪声，也将影响施工范围内两栖、爬行类动物远离施工地，施工期噪声使得周边的野生动物都将产生规避反应，远离施工区。本区域的</w:t>
            </w:r>
            <w:r>
              <w:rPr>
                <w:rFonts w:hint="eastAsia" w:cs="Times New Roman"/>
                <w:bCs/>
                <w:color w:val="auto"/>
                <w:szCs w:val="24"/>
              </w:rPr>
              <w:t>野生</w:t>
            </w:r>
            <w:r>
              <w:rPr>
                <w:rFonts w:cs="Times New Roman"/>
                <w:bCs/>
                <w:color w:val="auto"/>
                <w:szCs w:val="24"/>
              </w:rPr>
              <w:t>动物将受到一定影响，但施工结束后，影响将逐渐消失</w:t>
            </w:r>
            <w:r>
              <w:rPr>
                <w:rFonts w:hint="eastAsia" w:cs="Times New Roman"/>
                <w:bCs/>
                <w:color w:val="auto"/>
                <w:szCs w:val="24"/>
              </w:rPr>
              <w:t>，</w:t>
            </w:r>
            <w:r>
              <w:rPr>
                <w:rFonts w:cs="Times New Roman"/>
                <w:bCs/>
                <w:color w:val="auto"/>
                <w:szCs w:val="24"/>
              </w:rPr>
              <w:t>当工程完成后，它们仍可回到原来的活动区域。</w:t>
            </w:r>
          </w:p>
          <w:p>
            <w:pPr>
              <w:ind w:left="480" w:firstLine="0" w:firstLineChars="0"/>
              <w:rPr>
                <w:rFonts w:cs="Times New Roman"/>
                <w:bCs/>
                <w:color w:val="auto"/>
                <w:szCs w:val="24"/>
              </w:rPr>
            </w:pPr>
            <w:r>
              <w:rPr>
                <w:rFonts w:cs="Times New Roman"/>
                <w:bCs/>
                <w:color w:val="auto"/>
                <w:szCs w:val="24"/>
              </w:rPr>
              <w:fldChar w:fldCharType="begin"/>
            </w:r>
            <w:r>
              <w:rPr>
                <w:rFonts w:cs="Times New Roman"/>
                <w:bCs/>
                <w:color w:val="auto"/>
                <w:szCs w:val="24"/>
              </w:rPr>
              <w:instrText xml:space="preserve"> </w:instrText>
            </w:r>
            <w:r>
              <w:rPr>
                <w:rFonts w:hint="eastAsia" w:cs="Times New Roman"/>
                <w:bCs/>
                <w:color w:val="auto"/>
                <w:szCs w:val="24"/>
              </w:rPr>
              <w:instrText xml:space="preserve">= 1 \* GB3</w:instrText>
            </w:r>
            <w:r>
              <w:rPr>
                <w:rFonts w:cs="Times New Roman"/>
                <w:bCs/>
                <w:color w:val="auto"/>
                <w:szCs w:val="24"/>
              </w:rPr>
              <w:instrText xml:space="preserve"> </w:instrText>
            </w:r>
            <w:r>
              <w:rPr>
                <w:rFonts w:cs="Times New Roman"/>
                <w:bCs/>
                <w:color w:val="auto"/>
                <w:szCs w:val="24"/>
              </w:rPr>
              <w:fldChar w:fldCharType="separate"/>
            </w:r>
            <w:r>
              <w:rPr>
                <w:rFonts w:hint="eastAsia" w:cs="Times New Roman"/>
                <w:bCs/>
                <w:color w:val="auto"/>
                <w:szCs w:val="24"/>
              </w:rPr>
              <w:t>①</w:t>
            </w:r>
            <w:r>
              <w:rPr>
                <w:rFonts w:cs="Times New Roman"/>
                <w:bCs/>
                <w:color w:val="auto"/>
                <w:szCs w:val="24"/>
              </w:rPr>
              <w:fldChar w:fldCharType="end"/>
            </w:r>
            <w:r>
              <w:rPr>
                <w:rFonts w:hint="eastAsia" w:cs="Times New Roman"/>
                <w:bCs/>
                <w:color w:val="auto"/>
                <w:szCs w:val="24"/>
              </w:rPr>
              <w:t>野生动物生境的影响</w:t>
            </w:r>
          </w:p>
          <w:p>
            <w:pPr>
              <w:ind w:firstLine="480"/>
              <w:rPr>
                <w:rFonts w:cs="Times New Roman"/>
                <w:bCs/>
                <w:color w:val="auto"/>
                <w:szCs w:val="24"/>
              </w:rPr>
            </w:pPr>
            <w:r>
              <w:rPr>
                <w:rFonts w:hint="eastAsia" w:cs="Times New Roman"/>
                <w:bCs/>
                <w:color w:val="auto"/>
                <w:szCs w:val="24"/>
              </w:rPr>
              <w:t>施工期杆塔施工区进行开挖填筑等需对植被进行清除，施工时，植被清除将导致生活在其中的动物栖息地丧失；施工区域及附近几十米范围内未受破坏生境中的野生动物也会因施工人员活动的增加而受到干扰。项目杆塔施工为点状小面积施工，电缆施工为短距离小面积施工，区域野生动物可迁到邻近地区寻找可利用的生境，项目施工对野生动物生境影响相对较小。</w:t>
            </w:r>
          </w:p>
          <w:p>
            <w:pPr>
              <w:ind w:firstLine="480"/>
              <w:rPr>
                <w:rFonts w:cs="Times New Roman"/>
                <w:bCs/>
                <w:color w:val="auto"/>
                <w:szCs w:val="24"/>
              </w:rPr>
            </w:pPr>
            <w:r>
              <w:rPr>
                <w:rFonts w:cs="Times New Roman"/>
                <w:bCs/>
                <w:color w:val="auto"/>
                <w:szCs w:val="24"/>
              </w:rPr>
              <w:fldChar w:fldCharType="begin"/>
            </w:r>
            <w:r>
              <w:rPr>
                <w:rFonts w:cs="Times New Roman"/>
                <w:bCs/>
                <w:color w:val="auto"/>
                <w:szCs w:val="24"/>
              </w:rPr>
              <w:instrText xml:space="preserve"> </w:instrText>
            </w:r>
            <w:r>
              <w:rPr>
                <w:rFonts w:hint="eastAsia" w:cs="Times New Roman"/>
                <w:bCs/>
                <w:color w:val="auto"/>
                <w:szCs w:val="24"/>
              </w:rPr>
              <w:instrText xml:space="preserve">= 2 \* GB3</w:instrText>
            </w:r>
            <w:r>
              <w:rPr>
                <w:rFonts w:cs="Times New Roman"/>
                <w:bCs/>
                <w:color w:val="auto"/>
                <w:szCs w:val="24"/>
              </w:rPr>
              <w:instrText xml:space="preserve"> </w:instrText>
            </w:r>
            <w:r>
              <w:rPr>
                <w:rFonts w:cs="Times New Roman"/>
                <w:bCs/>
                <w:color w:val="auto"/>
                <w:szCs w:val="24"/>
              </w:rPr>
              <w:fldChar w:fldCharType="separate"/>
            </w:r>
            <w:r>
              <w:rPr>
                <w:rFonts w:hint="eastAsia" w:cs="Times New Roman"/>
                <w:bCs/>
                <w:color w:val="auto"/>
                <w:szCs w:val="24"/>
              </w:rPr>
              <w:t>②</w:t>
            </w:r>
            <w:r>
              <w:rPr>
                <w:rFonts w:cs="Times New Roman"/>
                <w:bCs/>
                <w:color w:val="auto"/>
                <w:szCs w:val="24"/>
              </w:rPr>
              <w:fldChar w:fldCharType="end"/>
            </w:r>
            <w:r>
              <w:rPr>
                <w:rFonts w:hint="eastAsia" w:cs="Times New Roman"/>
                <w:bCs/>
                <w:color w:val="auto"/>
                <w:szCs w:val="24"/>
              </w:rPr>
              <w:t>两栖动物的影响</w:t>
            </w:r>
          </w:p>
          <w:p>
            <w:pPr>
              <w:ind w:firstLine="480"/>
              <w:rPr>
                <w:rFonts w:cs="Times New Roman"/>
                <w:bCs/>
                <w:color w:val="auto"/>
                <w:szCs w:val="24"/>
              </w:rPr>
            </w:pPr>
            <w:r>
              <w:rPr>
                <w:rFonts w:hint="eastAsia" w:cs="Times New Roman"/>
                <w:bCs/>
                <w:color w:val="auto"/>
                <w:szCs w:val="24"/>
              </w:rPr>
              <w:t>评价区域两栖动物主要分布于林地草丛、溪沟草丛中，施工期基础开挖导致的裸露地表、临时弃土的堆放随雨水冲刷进入水体中，均可能导致泥土随雨水进入水体，将会导致施工区域附近水体中悬浮物浓度升高，可能会使施工区附近两栖动物的生境发生变化。项目塔基建设在山地上且为点状小面积施工，扩建间隔对项目区附近两栖动物的种群数量的影响有限。在施工活动中尽量避让冲沟、洼地等两栖动物的栖息地，对开挖和填筑未采取防护措施施工面和土方堆放区等进行覆盖，将施工面汇水对周边两栖动物的生境的影响降至最低。随着项目建设的完成，生境的恢复，两栖动物的种群数量将很快得以恢复。总体而言，工程建设对两栖动物影响不大。</w:t>
            </w:r>
          </w:p>
          <w:p>
            <w:pPr>
              <w:ind w:firstLine="480"/>
              <w:rPr>
                <w:rFonts w:cs="Times New Roman"/>
                <w:bCs/>
                <w:color w:val="auto"/>
                <w:szCs w:val="24"/>
              </w:rPr>
            </w:pPr>
            <w:r>
              <w:rPr>
                <w:rFonts w:hint="eastAsia" w:cs="Times New Roman"/>
                <w:bCs/>
                <w:color w:val="auto"/>
                <w:szCs w:val="24"/>
              </w:rPr>
              <w:t>③对爬行动物的影响</w:t>
            </w:r>
          </w:p>
          <w:p>
            <w:pPr>
              <w:ind w:firstLine="480"/>
              <w:rPr>
                <w:rFonts w:cs="Times New Roman"/>
                <w:bCs/>
                <w:color w:val="auto"/>
                <w:szCs w:val="24"/>
              </w:rPr>
            </w:pPr>
            <w:r>
              <w:rPr>
                <w:rFonts w:hint="eastAsia" w:cs="Times New Roman"/>
                <w:bCs/>
                <w:color w:val="auto"/>
                <w:szCs w:val="24"/>
              </w:rPr>
              <w:t>评价区的爬行动物林地灌丛、田野沟边、溪流及溪流边、草丛中，尤以灌草丛生境中种类最多，它们受工程施工影响时可以顺利转移到评价区内其他生境。由于工程施工建设、施工人员的进入，爬行类动物必然受到惊扰，由于原分布区被破坏导致这些动物迁徙到工程影响区外的相似生境内，工程影响区植被覆盖率相对较高，环境状况良好，爬行动物能够比较容易找到新的栖息场所，由于爬行动物具有较强的运动迁徙能力，对外界环境的适应能力较强，工程建设可能会使一部分爬行动物迁徙栖息地，但对种群数量影响较小，施工结束后其影响逐渐消除。由于工程建设影响的范围有限，项目施工对爬行动物的影响相对较小。</w:t>
            </w:r>
          </w:p>
          <w:p>
            <w:pPr>
              <w:ind w:firstLine="480"/>
              <w:rPr>
                <w:rFonts w:cs="Times New Roman"/>
                <w:bCs/>
                <w:color w:val="auto"/>
                <w:szCs w:val="24"/>
              </w:rPr>
            </w:pPr>
            <w:r>
              <w:rPr>
                <w:rFonts w:hint="eastAsia" w:cs="Times New Roman"/>
                <w:bCs/>
                <w:color w:val="auto"/>
                <w:szCs w:val="24"/>
              </w:rPr>
              <w:t>④对兽类的影响</w:t>
            </w:r>
          </w:p>
          <w:p>
            <w:pPr>
              <w:ind w:firstLine="480"/>
              <w:rPr>
                <w:rFonts w:cs="Times New Roman"/>
                <w:bCs/>
                <w:color w:val="auto"/>
                <w:szCs w:val="24"/>
              </w:rPr>
            </w:pPr>
            <w:r>
              <w:rPr>
                <w:rFonts w:hint="eastAsia" w:cs="Times New Roman"/>
                <w:bCs/>
                <w:color w:val="auto"/>
                <w:szCs w:val="24"/>
              </w:rPr>
              <w:t>施工期对兽类的影响主要体现在对动物栖息觅食地所在生态环境的破坏，包括对评价范围灌木植被的砍伐，施工噪声，各种施工人员以及施工机械的干扰等，使评价区及其周边环境发生改变，受影响的主要是适生于山地森林、灌草丛的小型兽类，将迁移至附近受干扰小的区域，在施工区附近区域兽类栖息适宜度降低，种类和数量将相应减少，而伴随人类生活的一些啮齿目、食虫目如小家鼠、黄毛鼠等，其种群数量会有所增加。工程建成后，随着植被的逐渐恢复，生态环境的好转，人为干扰减少，许多外迁的兽类会陆续回到原来的栖息地。</w:t>
            </w:r>
          </w:p>
          <w:p>
            <w:pPr>
              <w:ind w:firstLine="480"/>
              <w:rPr>
                <w:rFonts w:cs="Times New Roman"/>
                <w:bCs/>
                <w:color w:val="auto"/>
                <w:szCs w:val="24"/>
              </w:rPr>
            </w:pPr>
            <w:r>
              <w:rPr>
                <w:rFonts w:hint="eastAsia" w:cs="Times New Roman"/>
                <w:bCs/>
                <w:color w:val="auto"/>
                <w:szCs w:val="24"/>
              </w:rPr>
              <w:t>⑤对鸟类的影响</w:t>
            </w:r>
          </w:p>
          <w:p>
            <w:pPr>
              <w:ind w:firstLine="480"/>
              <w:rPr>
                <w:rFonts w:cs="Times New Roman"/>
                <w:bCs/>
                <w:color w:val="auto"/>
                <w:szCs w:val="24"/>
              </w:rPr>
            </w:pPr>
            <w:r>
              <w:rPr>
                <w:rFonts w:hint="eastAsia" w:cs="Times New Roman"/>
                <w:bCs/>
                <w:color w:val="auto"/>
                <w:szCs w:val="24"/>
              </w:rPr>
              <w:t>在施工期，由于人类及车辆的频繁活动，都将增大环境的人为扰动，对鸟类的负面影响也随之增加，主要表现在三个方面：</w:t>
            </w:r>
            <w:r>
              <w:rPr>
                <w:rFonts w:cs="Times New Roman"/>
                <w:bCs/>
                <w:color w:val="auto"/>
                <w:szCs w:val="24"/>
              </w:rPr>
              <w:t>施工作业及施工人员的活动对鸟类栖息地生境的干扰和破坏，如塔基开挖、线路架设、塔基永久性占地和线路施工临时占地等均有可能破坏生境和干扰灌丛栖息鸟类的小生境；施工机械噪声对鸟类栖息地声环境的破坏和机械噪声对鸟类的驱赶；施工中砍伐树木对鸟类巢穴的破坏；施工人员对鸟类的捕捉。本工程的施工建设时不可避免的会产生一定的影响，工程总占地面积较小，且以临时性占地为主，工程结束后方可恢复，不过由于鸟类活动能力强，工程影响区及以外区域类似生境丰富，鸟类受到施工干扰后可自由迁移至适宜生境生存，此种影响具有暂时性、分散性的特点，待施工结束后，此种影响亦将逐渐消除，因此只要规范好施工人员个人行为，项目施工对鸟类总的影响不大。</w:t>
            </w:r>
          </w:p>
          <w:p>
            <w:pPr>
              <w:ind w:firstLine="482"/>
              <w:rPr>
                <w:rFonts w:cs="Times New Roman"/>
                <w:b/>
                <w:bCs/>
                <w:color w:val="auto"/>
                <w:szCs w:val="24"/>
              </w:rPr>
            </w:pPr>
            <w:r>
              <w:rPr>
                <w:rFonts w:cs="Times New Roman"/>
                <w:b/>
                <w:bCs/>
                <w:color w:val="auto"/>
                <w:szCs w:val="24"/>
              </w:rPr>
              <w:t>（3）施工期对植被的影响分析</w:t>
            </w:r>
          </w:p>
          <w:p>
            <w:pPr>
              <w:ind w:firstLine="480"/>
              <w:rPr>
                <w:rFonts w:cs="Times New Roman"/>
                <w:bCs/>
                <w:color w:val="auto"/>
                <w:szCs w:val="24"/>
              </w:rPr>
            </w:pPr>
            <w:r>
              <w:rPr>
                <w:rFonts w:cs="Times New Roman"/>
                <w:bCs/>
                <w:color w:val="auto"/>
                <w:szCs w:val="24"/>
              </w:rPr>
              <w:t>项目用地区域内地带性原生植被现存量较少，主要为人工植被和次生植被，项目的建设对植被的影响主要表现为土方开挖和占地造成植被破坏、埋压等。经现场调查，项目沿线植被覆盖度较高，多为人工种植的</w:t>
            </w:r>
            <w:r>
              <w:rPr>
                <w:rFonts w:hint="eastAsia" w:cs="Times New Roman"/>
                <w:bCs/>
                <w:color w:val="auto"/>
                <w:szCs w:val="24"/>
              </w:rPr>
              <w:t>桉树、灌木、松树、农作物、杂草等</w:t>
            </w:r>
            <w:r>
              <w:rPr>
                <w:rFonts w:cs="Times New Roman"/>
                <w:bCs/>
                <w:color w:val="auto"/>
                <w:szCs w:val="24"/>
              </w:rPr>
              <w:t>，沿线尚未发现珍稀及受保护的野生植物资源及名木古树分布。新建输电线路永久占地破坏的植被仅限塔基范围之内，占地面积小，对当地常见植被的破坏也较少；临时占地对植被的破坏主要为施工人员对绿地的践踏，但由于为点状作业，单塔施工时间短，故临时占地对植被的破坏是短暂的，并随施工期的结束而逐步恢复。</w:t>
            </w:r>
          </w:p>
          <w:p>
            <w:pPr>
              <w:ind w:firstLine="480"/>
              <w:rPr>
                <w:rFonts w:cs="Times New Roman"/>
                <w:bCs/>
                <w:color w:val="auto"/>
                <w:szCs w:val="24"/>
              </w:rPr>
            </w:pPr>
            <w:r>
              <w:rPr>
                <w:rFonts w:hint="eastAsia" w:cs="Times New Roman"/>
                <w:bCs/>
                <w:color w:val="auto"/>
                <w:szCs w:val="24"/>
              </w:rPr>
              <w:t>茶花变</w:t>
            </w:r>
            <w:r>
              <w:rPr>
                <w:rFonts w:cs="Times New Roman"/>
                <w:bCs/>
                <w:color w:val="auto"/>
                <w:szCs w:val="24"/>
              </w:rPr>
              <w:t>电站间隔扩建工程位于电站预留间隔处进行，施工活动不会对周围的植被造成破坏。故项目建设对当地植被的总体影响不大，施工造成的部分植被破坏不会导致评价区生物多样性改变等不良后果。施工结束后进行土地复垦，植被破坏可得到有效补偿，施工期影响较小。</w:t>
            </w:r>
          </w:p>
          <w:p>
            <w:pPr>
              <w:ind w:firstLine="482"/>
              <w:rPr>
                <w:rFonts w:cs="Times New Roman"/>
                <w:b/>
                <w:bCs/>
                <w:color w:val="auto"/>
                <w:szCs w:val="24"/>
              </w:rPr>
            </w:pPr>
            <w:r>
              <w:rPr>
                <w:rFonts w:hint="eastAsia" w:cs="Times New Roman"/>
                <w:b/>
                <w:bCs/>
                <w:color w:val="auto"/>
                <w:szCs w:val="24"/>
              </w:rPr>
              <w:t>（4）对森林生态系统的影响分析</w:t>
            </w:r>
          </w:p>
          <w:p>
            <w:pPr>
              <w:ind w:firstLine="480"/>
              <w:rPr>
                <w:rFonts w:cs="Times New Roman"/>
                <w:bCs/>
                <w:color w:val="auto"/>
                <w:szCs w:val="24"/>
              </w:rPr>
            </w:pPr>
            <w:r>
              <w:rPr>
                <w:rFonts w:hint="eastAsia" w:cs="Times New Roman"/>
                <w:bCs/>
                <w:color w:val="auto"/>
                <w:szCs w:val="24"/>
              </w:rPr>
              <w:t>项目新建线路大部分路径位于山地丘坡上，现状种植桉树、松树、灌木、杂树等，新建线路塔基占地属于为林地。区域森林生态系统面积较大，项目杆塔永久征用林地面积较小，对评价区森林生态系统面积的占用较少，本项目的建设不会造成评价区森林生态系统结构的改变，也不会对其功能造成显著影响。除永久征用林地使评价区森林生态系统面积减少外，临时占地及施工人员的活动等也将干扰周围的林草地，占用林地的临时工程包括牵张场、临时道路等；工程施工期，牵张场施工机械的占压、临时道路车辆的运输将直接导致植被的丧失和破坏。但临时占地对占用林地的影响是暂时的，仅限于施工期和恢复期，待施工结束后即进行植被恢复临时占地将逐渐恢复其原有功能。</w:t>
            </w:r>
          </w:p>
          <w:p>
            <w:pPr>
              <w:ind w:firstLine="482"/>
              <w:rPr>
                <w:rFonts w:cs="Times New Roman"/>
                <w:b/>
                <w:bCs/>
                <w:color w:val="auto"/>
                <w:szCs w:val="24"/>
              </w:rPr>
            </w:pPr>
            <w:r>
              <w:rPr>
                <w:rFonts w:hint="eastAsia" w:cs="Times New Roman"/>
                <w:b/>
                <w:bCs/>
                <w:color w:val="auto"/>
                <w:szCs w:val="24"/>
              </w:rPr>
              <w:t>（5）对生态保护红线的影响分析</w:t>
            </w:r>
          </w:p>
          <w:p>
            <w:pPr>
              <w:ind w:firstLine="480"/>
              <w:rPr>
                <w:rFonts w:cs="Times New Roman"/>
                <w:bCs/>
                <w:color w:val="auto"/>
                <w:szCs w:val="24"/>
              </w:rPr>
            </w:pPr>
            <w:r>
              <w:rPr>
                <w:rFonts w:hint="eastAsia" w:cs="Times New Roman"/>
                <w:bCs/>
                <w:color w:val="auto"/>
                <w:szCs w:val="24"/>
              </w:rPr>
              <w:t>项目新建塔基用地不在生态保护红线范围内，JA15+1~JA16输电线路跨越十万大山水源涵养与生物多样性维护生态保护红线，跨越路径长度</w:t>
            </w:r>
            <w:r>
              <w:rPr>
                <w:rFonts w:hint="eastAsia" w:cs="Times New Roman"/>
                <w:bCs/>
                <w:szCs w:val="24"/>
              </w:rPr>
              <w:t>约700m。</w:t>
            </w:r>
            <w:r>
              <w:rPr>
                <w:rFonts w:hint="eastAsia" w:cs="Times New Roman"/>
                <w:bCs/>
                <w:color w:val="auto"/>
                <w:szCs w:val="24"/>
              </w:rPr>
              <w:t>项目塔基不在生态保护红线范围内建设，导线采取无人机牵引方式，施工人员及机械不进入生态保护红线内，不砍伐生态保护红线内林木，属于无害施工，项目建设对生态环境影响较小。</w:t>
            </w:r>
          </w:p>
          <w:p>
            <w:pPr>
              <w:ind w:firstLine="482"/>
              <w:rPr>
                <w:rFonts w:cs="Times New Roman"/>
                <w:b/>
                <w:bCs/>
                <w:color w:val="auto"/>
                <w:szCs w:val="24"/>
              </w:rPr>
            </w:pPr>
            <w:r>
              <w:rPr>
                <w:rFonts w:cs="Times New Roman"/>
                <w:b/>
                <w:bCs/>
                <w:color w:val="auto"/>
                <w:szCs w:val="24"/>
              </w:rPr>
              <w:t>2、施工期环境空气影响分析</w:t>
            </w:r>
          </w:p>
          <w:p>
            <w:pPr>
              <w:ind w:firstLine="482"/>
              <w:rPr>
                <w:rFonts w:cs="Times New Roman"/>
                <w:b/>
                <w:bCs/>
                <w:color w:val="auto"/>
                <w:szCs w:val="24"/>
              </w:rPr>
            </w:pPr>
            <w:r>
              <w:rPr>
                <w:rFonts w:cs="Times New Roman"/>
                <w:b/>
                <w:bCs/>
                <w:color w:val="auto"/>
                <w:szCs w:val="24"/>
              </w:rPr>
              <w:t>（1）扬尘影响分析</w:t>
            </w:r>
          </w:p>
          <w:p>
            <w:pPr>
              <w:ind w:firstLine="480"/>
              <w:rPr>
                <w:rFonts w:cs="Times New Roman"/>
                <w:bCs/>
                <w:color w:val="auto"/>
                <w:szCs w:val="24"/>
              </w:rPr>
            </w:pPr>
            <w:r>
              <w:rPr>
                <w:rFonts w:cs="Times New Roman"/>
                <w:bCs/>
                <w:color w:val="auto"/>
                <w:szCs w:val="24"/>
              </w:rPr>
              <w:t>施工扬尘主要来自于输电线路土建施工的场地回填、基础开挖等土石方工程、材料的运输装卸、施工现场内车辆行驶时道路扬尘等。由于扬尘源多且分散，源高一般在 1.5m 以下，属无组织排放。受施工方式、设备、气候等因素制约，产生的随机性和波动性较大。施工阶段，尤其是施工初期，输电线路的基础开挖和土石方运输都会产生扬尘污染，特别是若遇久旱无雨的大风天气，扬尘污染更为突出。施工开挖、车辆运输等产生的粉尘短期内将使局部区域内空气中的 TSP 明显增加。</w:t>
            </w:r>
          </w:p>
          <w:p>
            <w:pPr>
              <w:ind w:firstLine="480"/>
              <w:rPr>
                <w:rFonts w:cs="Times New Roman"/>
                <w:bCs/>
                <w:color w:val="auto"/>
                <w:szCs w:val="24"/>
              </w:rPr>
            </w:pPr>
            <w:r>
              <w:rPr>
                <w:rFonts w:cs="Times New Roman"/>
                <w:bCs/>
                <w:color w:val="auto"/>
                <w:szCs w:val="24"/>
              </w:rPr>
              <w:t>线路工程新建的塔基，施工工具主要为水磨钻和电镐，地下泥土湿润，开挖面小，引起扬尘量较少，属于无组织排放，且原高一般在1.5m以下。单个塔基施工时间短且距离周边村庄较远，施工扬尘经过大气沉降及植物阻隔吸附，因此受塔基施工扬尘影响的区域较小、影响的时间短，并且随着施工期的结束。项目塔基施工扬尘对周边</w:t>
            </w:r>
            <w:r>
              <w:rPr>
                <w:rFonts w:hint="eastAsia" w:cs="Times New Roman"/>
                <w:bCs/>
                <w:color w:val="auto"/>
                <w:szCs w:val="24"/>
              </w:rPr>
              <w:t>环境</w:t>
            </w:r>
            <w:r>
              <w:rPr>
                <w:rFonts w:cs="Times New Roman"/>
                <w:bCs/>
                <w:color w:val="auto"/>
                <w:szCs w:val="24"/>
              </w:rPr>
              <w:t>影响较小。</w:t>
            </w:r>
          </w:p>
          <w:p>
            <w:pPr>
              <w:ind w:firstLine="480"/>
              <w:rPr>
                <w:rFonts w:cs="Times New Roman"/>
                <w:bCs/>
                <w:color w:val="auto"/>
                <w:szCs w:val="24"/>
              </w:rPr>
            </w:pPr>
            <w:r>
              <w:rPr>
                <w:rFonts w:cs="Times New Roman"/>
                <w:bCs/>
                <w:color w:val="auto"/>
                <w:szCs w:val="24"/>
              </w:rPr>
              <w:t>扩建间隔基础开挖面较小，开挖深度较浅，施工扬尘量较少，周边</w:t>
            </w:r>
            <w:r>
              <w:rPr>
                <w:rFonts w:hint="eastAsia" w:cs="Times New Roman"/>
                <w:bCs/>
                <w:color w:val="auto"/>
                <w:szCs w:val="24"/>
              </w:rPr>
              <w:t>植被</w:t>
            </w:r>
            <w:r>
              <w:rPr>
                <w:rFonts w:cs="Times New Roman"/>
                <w:bCs/>
                <w:color w:val="auto"/>
                <w:szCs w:val="24"/>
              </w:rPr>
              <w:t>茂盛，施工扬尘经过大气沉降和植物阻隔吸附，对附近环境影响较小。</w:t>
            </w:r>
          </w:p>
          <w:p>
            <w:pPr>
              <w:ind w:firstLine="480"/>
              <w:rPr>
                <w:rFonts w:cs="Times New Roman"/>
                <w:bCs/>
                <w:color w:val="auto"/>
                <w:szCs w:val="24"/>
              </w:rPr>
            </w:pPr>
            <w:r>
              <w:rPr>
                <w:rFonts w:cs="Times New Roman"/>
                <w:bCs/>
                <w:color w:val="auto"/>
                <w:szCs w:val="24"/>
              </w:rPr>
              <w:t>随着项目施工的结束，项目施工扬尘对环境的影响也将随之消失，通过杆塔附近的植被阻隔、吸尘，项目施工扬尘对周围大气环境影响不大。</w:t>
            </w:r>
          </w:p>
          <w:p>
            <w:pPr>
              <w:ind w:firstLine="482"/>
              <w:rPr>
                <w:rFonts w:cs="Times New Roman"/>
                <w:b/>
                <w:bCs/>
                <w:color w:val="auto"/>
                <w:szCs w:val="24"/>
              </w:rPr>
            </w:pPr>
            <w:r>
              <w:rPr>
                <w:rFonts w:cs="Times New Roman"/>
                <w:b/>
                <w:bCs/>
                <w:color w:val="auto"/>
                <w:szCs w:val="24"/>
              </w:rPr>
              <w:t>（2）机械尾气影响分析</w:t>
            </w:r>
          </w:p>
          <w:p>
            <w:pPr>
              <w:ind w:firstLine="480"/>
              <w:rPr>
                <w:rFonts w:cs="Times New Roman"/>
                <w:bCs/>
                <w:color w:val="auto"/>
                <w:szCs w:val="24"/>
              </w:rPr>
            </w:pPr>
            <w:r>
              <w:rPr>
                <w:rFonts w:cs="Times New Roman"/>
                <w:bCs/>
                <w:color w:val="auto"/>
                <w:szCs w:val="24"/>
              </w:rPr>
              <w:t>施工使用的各种工程机械（如载重汽车、挖掘机和推土机等）主要以柴油为燃料，加上重型机械的尾气排放量较大，故尾气排放也使项目所在区域内的大气环境受到一定的影响。尾气中所含的有害物质主要有 CO、THC 和NO</w:t>
            </w:r>
            <w:r>
              <w:rPr>
                <w:rFonts w:cs="Times New Roman"/>
                <w:bCs/>
                <w:color w:val="auto"/>
                <w:szCs w:val="24"/>
                <w:vertAlign w:val="subscript"/>
              </w:rPr>
              <w:t>2</w:t>
            </w:r>
            <w:r>
              <w:rPr>
                <w:rFonts w:cs="Times New Roman"/>
                <w:bCs/>
                <w:color w:val="auto"/>
                <w:szCs w:val="24"/>
              </w:rPr>
              <w:t>等，项目施工过程中运输量较小，排放的机动车尾气较少，对环境影响较小。</w:t>
            </w:r>
          </w:p>
          <w:p>
            <w:pPr>
              <w:ind w:firstLine="482"/>
              <w:rPr>
                <w:rFonts w:cs="Times New Roman"/>
                <w:b/>
                <w:bCs/>
                <w:color w:val="auto"/>
                <w:szCs w:val="24"/>
              </w:rPr>
            </w:pPr>
            <w:r>
              <w:rPr>
                <w:rFonts w:cs="Times New Roman"/>
                <w:b/>
                <w:bCs/>
                <w:color w:val="auto"/>
                <w:szCs w:val="24"/>
              </w:rPr>
              <w:t>（3）柴油发电机尾气影响分析</w:t>
            </w:r>
          </w:p>
          <w:p>
            <w:pPr>
              <w:ind w:firstLine="480"/>
              <w:rPr>
                <w:rFonts w:cs="Times New Roman"/>
                <w:bCs/>
                <w:color w:val="auto"/>
                <w:szCs w:val="24"/>
              </w:rPr>
            </w:pPr>
            <w:r>
              <w:rPr>
                <w:rFonts w:hint="eastAsia" w:cs="Times New Roman"/>
                <w:bCs/>
                <w:color w:val="auto"/>
                <w:szCs w:val="24"/>
              </w:rPr>
              <w:t>项目使用 2台 75kW 柴油发电机作为施工电源，发电机燃油采用含硫量不大于 0.2%的优质 0#柴油（密度约为 0.835kg/L），柴油发电机尾气主要含有烟尘、</w:t>
            </w:r>
            <w:r>
              <w:rPr>
                <w:rFonts w:cs="Times New Roman"/>
                <w:bCs/>
                <w:color w:val="auto"/>
                <w:szCs w:val="24"/>
              </w:rPr>
              <w:t>SO</w:t>
            </w:r>
            <w:r>
              <w:rPr>
                <w:rFonts w:cs="Times New Roman"/>
                <w:bCs/>
                <w:color w:val="auto"/>
                <w:szCs w:val="24"/>
                <w:vertAlign w:val="subscript"/>
              </w:rPr>
              <w:t>2</w:t>
            </w:r>
            <w:r>
              <w:rPr>
                <w:rFonts w:cs="Times New Roman"/>
                <w:bCs/>
                <w:color w:val="auto"/>
                <w:szCs w:val="24"/>
              </w:rPr>
              <w:t>、NO</w:t>
            </w:r>
            <w:r>
              <w:rPr>
                <w:rFonts w:cs="Times New Roman"/>
                <w:bCs/>
                <w:color w:val="auto"/>
                <w:szCs w:val="24"/>
                <w:vertAlign w:val="subscript"/>
              </w:rPr>
              <w:t>X</w:t>
            </w:r>
            <w:r>
              <w:rPr>
                <w:rFonts w:hint="eastAsia" w:cs="Times New Roman"/>
                <w:bCs/>
                <w:color w:val="auto"/>
                <w:szCs w:val="24"/>
              </w:rPr>
              <w:t>、非甲烷总烃等污染物。2 台 75kW 柴油发电机耗油量约为 40L/h（33.4kg/h）。</w:t>
            </w:r>
          </w:p>
          <w:p>
            <w:pPr>
              <w:ind w:firstLine="480"/>
              <w:rPr>
                <w:rFonts w:cs="Times New Roman"/>
                <w:bCs/>
                <w:color w:val="auto"/>
                <w:szCs w:val="24"/>
              </w:rPr>
            </w:pPr>
            <w:r>
              <w:rPr>
                <w:rFonts w:hint="eastAsia" w:cs="Times New Roman"/>
                <w:bCs/>
                <w:color w:val="auto"/>
                <w:szCs w:val="24"/>
              </w:rPr>
              <w:t>根据环评工程师注册培训教材《社会区域类环境影响评价》给出的计算</w:t>
            </w:r>
          </w:p>
          <w:p>
            <w:pPr>
              <w:ind w:firstLine="0" w:firstLineChars="0"/>
              <w:rPr>
                <w:rFonts w:cs="Times New Roman"/>
                <w:bCs/>
                <w:color w:val="auto"/>
                <w:szCs w:val="24"/>
              </w:rPr>
            </w:pPr>
            <w:r>
              <w:rPr>
                <w:rFonts w:hint="eastAsia" w:cs="Times New Roman"/>
                <w:bCs/>
                <w:color w:val="auto"/>
                <w:szCs w:val="24"/>
              </w:rPr>
              <w:t>参数：柴油发电机运行污染物排放系数为：</w:t>
            </w:r>
            <w:r>
              <w:rPr>
                <w:rFonts w:cs="Times New Roman"/>
                <w:bCs/>
                <w:color w:val="auto"/>
                <w:szCs w:val="24"/>
              </w:rPr>
              <w:t>SO</w:t>
            </w:r>
            <w:r>
              <w:rPr>
                <w:rFonts w:cs="Times New Roman"/>
                <w:bCs/>
                <w:color w:val="auto"/>
                <w:szCs w:val="24"/>
                <w:vertAlign w:val="subscript"/>
              </w:rPr>
              <w:t>2</w:t>
            </w:r>
            <w:r>
              <w:rPr>
                <w:rFonts w:hint="eastAsia" w:cs="Times New Roman"/>
                <w:bCs/>
                <w:color w:val="auto"/>
                <w:szCs w:val="24"/>
              </w:rPr>
              <w:t>：4g/L，烟尘：0.714g/L，NOx：2.56 g/L，非甲烷总烃：1.489 g/L。项目施工期柴油发电机污染物排放速率为</w:t>
            </w:r>
            <w:r>
              <w:rPr>
                <w:rFonts w:cs="Times New Roman"/>
                <w:bCs/>
                <w:color w:val="auto"/>
                <w:szCs w:val="24"/>
              </w:rPr>
              <w:t>SO</w:t>
            </w:r>
            <w:r>
              <w:rPr>
                <w:rFonts w:cs="Times New Roman"/>
                <w:bCs/>
                <w:color w:val="auto"/>
                <w:szCs w:val="24"/>
                <w:vertAlign w:val="subscript"/>
              </w:rPr>
              <w:t>2</w:t>
            </w:r>
            <w:r>
              <w:rPr>
                <w:rFonts w:hint="eastAsia" w:cs="Times New Roman"/>
                <w:bCs/>
                <w:color w:val="auto"/>
                <w:szCs w:val="24"/>
              </w:rPr>
              <w:t>：0.16kg/h，烟尘：0.039 kg/h，NOx：0.102 kg/h，非甲烷总烃：0. 059 kg/h。项目施工期柴油发电机尾气经自身的配套尾气净化装置处理以及扩散稀释后，对周边的环境影响较小。</w:t>
            </w:r>
          </w:p>
          <w:p>
            <w:pPr>
              <w:ind w:firstLine="482"/>
              <w:rPr>
                <w:rFonts w:cs="Times New Roman"/>
                <w:b/>
                <w:bCs/>
                <w:color w:val="auto"/>
                <w:szCs w:val="24"/>
              </w:rPr>
            </w:pPr>
            <w:r>
              <w:rPr>
                <w:rFonts w:cs="Times New Roman"/>
                <w:b/>
                <w:bCs/>
                <w:color w:val="auto"/>
                <w:szCs w:val="24"/>
              </w:rPr>
              <w:t>3、施工期地表水环境影响分析</w:t>
            </w:r>
          </w:p>
          <w:p>
            <w:pPr>
              <w:ind w:firstLine="480"/>
              <w:rPr>
                <w:rFonts w:cs="Times New Roman"/>
                <w:bCs/>
                <w:color w:val="auto"/>
                <w:szCs w:val="24"/>
              </w:rPr>
            </w:pPr>
            <w:r>
              <w:rPr>
                <w:rFonts w:cs="Times New Roman"/>
                <w:bCs/>
                <w:color w:val="auto"/>
                <w:szCs w:val="24"/>
              </w:rPr>
              <w:t>施工废水：</w:t>
            </w:r>
            <w:r>
              <w:rPr>
                <w:rFonts w:hint="eastAsia" w:cs="Times New Roman"/>
                <w:bCs/>
                <w:color w:val="auto"/>
                <w:szCs w:val="24"/>
              </w:rPr>
              <w:t>项目</w:t>
            </w:r>
            <w:r>
              <w:rPr>
                <w:rFonts w:cs="Times New Roman"/>
                <w:bCs/>
                <w:color w:val="auto"/>
                <w:szCs w:val="24"/>
              </w:rPr>
              <w:t>工程基础施工所需混凝土量较少，一般在施工现场使用商品砼，少量混凝土养护废水主要污染物为</w:t>
            </w:r>
            <w:r>
              <w:rPr>
                <w:rFonts w:hint="eastAsia" w:cs="Times New Roman"/>
                <w:bCs/>
                <w:color w:val="auto"/>
                <w:szCs w:val="24"/>
              </w:rPr>
              <w:t>SS，直接渗入地下，不产生径流，对地表水环境基本无影响。</w:t>
            </w:r>
          </w:p>
          <w:p>
            <w:pPr>
              <w:ind w:firstLine="480"/>
              <w:rPr>
                <w:rFonts w:cs="Times New Roman"/>
                <w:bCs/>
                <w:color w:val="auto"/>
                <w:szCs w:val="24"/>
              </w:rPr>
            </w:pPr>
            <w:r>
              <w:rPr>
                <w:rFonts w:cs="Times New Roman"/>
                <w:bCs/>
                <w:color w:val="auto"/>
                <w:szCs w:val="24"/>
              </w:rPr>
              <w:t>生活污水：项目不设施工</w:t>
            </w:r>
            <w:r>
              <w:rPr>
                <w:rFonts w:hint="eastAsia" w:cs="Times New Roman"/>
                <w:bCs/>
                <w:color w:val="auto"/>
                <w:szCs w:val="24"/>
              </w:rPr>
              <w:t>营地</w:t>
            </w:r>
            <w:r>
              <w:rPr>
                <w:rFonts w:cs="Times New Roman"/>
                <w:bCs/>
                <w:color w:val="auto"/>
                <w:szCs w:val="24"/>
              </w:rPr>
              <w:t>，线路施工人员可租赁周边居民空闲房屋，其生活污水可利用租赁户家中的旱厕或化粪池进行处理后用于堆肥或纳入当地污水处理系统，且废水随着施工的结束而结束，对周边水体影响较小且较为短暂。间隔扩建工程位于</w:t>
            </w:r>
            <w:r>
              <w:rPr>
                <w:rFonts w:hint="eastAsia" w:cs="Times New Roman"/>
                <w:bCs/>
                <w:color w:val="auto"/>
                <w:szCs w:val="24"/>
              </w:rPr>
              <w:t>220kV茶花变</w:t>
            </w:r>
            <w:r>
              <w:rPr>
                <w:rFonts w:cs="Times New Roman"/>
                <w:bCs/>
                <w:color w:val="auto"/>
                <w:szCs w:val="24"/>
              </w:rPr>
              <w:t>电站内实施，施工期间产生的生活污水利用变电站内已有的生活污水处理设施处理，不外排，不会对周边水体产生影响。</w:t>
            </w:r>
          </w:p>
          <w:p>
            <w:pPr>
              <w:ind w:firstLine="480"/>
              <w:rPr>
                <w:rFonts w:cs="Times New Roman"/>
                <w:bCs/>
                <w:color w:val="auto"/>
                <w:szCs w:val="24"/>
              </w:rPr>
            </w:pPr>
            <w:r>
              <w:rPr>
                <w:rFonts w:cs="Times New Roman"/>
                <w:bCs/>
                <w:color w:val="auto"/>
                <w:szCs w:val="24"/>
              </w:rPr>
              <w:t>施工雨水：项目建设一定程度上破坏了地表植被，基础开挖和土方堆放过程中，若裸露施工面未能及时防护被雨水冲刷后，可能会使雨水总SS浓度增加。项目新建塔杆不在河中立杆，项目使用商品混凝土，塔基开挖地表裸露受雨水冲刷可能会使雨水SS浓度增加，区域植被茂盛，雨水对</w:t>
            </w:r>
            <w:r>
              <w:rPr>
                <w:rFonts w:hint="eastAsia" w:cs="Times New Roman"/>
                <w:bCs/>
                <w:color w:val="auto"/>
                <w:szCs w:val="24"/>
              </w:rPr>
              <w:t>河流</w:t>
            </w:r>
            <w:r>
              <w:rPr>
                <w:rFonts w:cs="Times New Roman"/>
                <w:bCs/>
                <w:color w:val="auto"/>
                <w:szCs w:val="24"/>
              </w:rPr>
              <w:t>影响较小。为减小施工区域雨水漫流的影响尽量避开在雨季进行土石方开挖，加快施工进度，基础浇筑后尽快对周边裸露土地复垦绿化，避免水土流失。</w:t>
            </w:r>
          </w:p>
          <w:p>
            <w:pPr>
              <w:ind w:firstLine="480"/>
              <w:rPr>
                <w:rFonts w:cs="Times New Roman"/>
                <w:bCs/>
                <w:color w:val="auto"/>
                <w:szCs w:val="24"/>
              </w:rPr>
            </w:pPr>
            <w:r>
              <w:rPr>
                <w:rFonts w:cs="Times New Roman"/>
                <w:bCs/>
                <w:color w:val="auto"/>
                <w:szCs w:val="24"/>
              </w:rPr>
              <w:t>项目</w:t>
            </w:r>
            <w:r>
              <w:rPr>
                <w:rFonts w:hint="eastAsia" w:cs="Times New Roman"/>
                <w:bCs/>
                <w:color w:val="auto"/>
                <w:szCs w:val="24"/>
              </w:rPr>
              <w:t>JA16、ZA67等塔基施工距离那板水库饮用水源保护区距离较近，根据实地调查，距离饮用水源保护区较近的塔基位于山坡上，雨天施工时，泥水顺着地势往山下漫流，山脚下道路两侧挖有边沟，雨水沿路边沟往那坡水库坝下明江流去，因此项目施工对那板水库饮用水源保护区影响较小。</w:t>
            </w:r>
          </w:p>
          <w:p>
            <w:pPr>
              <w:ind w:firstLine="482"/>
              <w:rPr>
                <w:rFonts w:cs="Times New Roman"/>
                <w:b/>
                <w:bCs/>
                <w:color w:val="auto"/>
                <w:szCs w:val="24"/>
              </w:rPr>
            </w:pPr>
            <w:r>
              <w:rPr>
                <w:rFonts w:cs="Times New Roman"/>
                <w:b/>
                <w:bCs/>
                <w:color w:val="auto"/>
                <w:szCs w:val="24"/>
              </w:rPr>
              <w:t>4、施工期声环境影响分析</w:t>
            </w:r>
          </w:p>
          <w:p>
            <w:pPr>
              <w:ind w:firstLine="480"/>
              <w:rPr>
                <w:rFonts w:cs="Times New Roman"/>
                <w:bCs/>
                <w:color w:val="auto"/>
                <w:szCs w:val="24"/>
              </w:rPr>
            </w:pPr>
            <w:r>
              <w:rPr>
                <w:rFonts w:cs="Times New Roman"/>
                <w:bCs/>
                <w:color w:val="auto"/>
                <w:szCs w:val="24"/>
              </w:rPr>
              <w:t>（1）声源调查</w:t>
            </w:r>
          </w:p>
          <w:p>
            <w:pPr>
              <w:ind w:firstLine="480"/>
              <w:rPr>
                <w:rFonts w:cs="Times New Roman"/>
                <w:bCs/>
                <w:color w:val="auto"/>
                <w:szCs w:val="24"/>
              </w:rPr>
            </w:pPr>
            <w:r>
              <w:rPr>
                <w:rFonts w:cs="Times New Roman"/>
                <w:bCs/>
                <w:color w:val="auto"/>
                <w:szCs w:val="24"/>
              </w:rPr>
              <w:t>项目施工设备主要为移动柴油发电机、空压机、水磨钻机、牵引机、张力机等，根据《环境噪声与振动控制工程技术导则》（HJ 2034-2013）并结合工程特点，项目施工设备噪声声压级见下表4-1。</w:t>
            </w:r>
          </w:p>
          <w:p>
            <w:pPr>
              <w:spacing w:line="240" w:lineRule="auto"/>
              <w:ind w:firstLine="0" w:firstLineChars="0"/>
              <w:jc w:val="center"/>
              <w:rPr>
                <w:rFonts w:cs="Times New Roman"/>
                <w:b/>
                <w:bCs/>
                <w:color w:val="auto"/>
                <w:szCs w:val="24"/>
              </w:rPr>
            </w:pPr>
            <w:r>
              <w:rPr>
                <w:rFonts w:cs="Times New Roman"/>
                <w:b/>
                <w:bCs/>
                <w:color w:val="auto"/>
                <w:szCs w:val="24"/>
              </w:rPr>
              <w:t>表4-1 施工期噪声源强调查清单（室外声源）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482"/>
              <w:gridCol w:w="1337"/>
              <w:gridCol w:w="470"/>
              <w:gridCol w:w="470"/>
              <w:gridCol w:w="538"/>
              <w:gridCol w:w="1208"/>
              <w:gridCol w:w="662"/>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690"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工序</w:t>
                  </w:r>
                </w:p>
              </w:tc>
              <w:tc>
                <w:tcPr>
                  <w:tcW w:w="931"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声源名称</w:t>
                  </w:r>
                </w:p>
              </w:tc>
              <w:tc>
                <w:tcPr>
                  <w:tcW w:w="840"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型号</w:t>
                  </w:r>
                </w:p>
              </w:tc>
              <w:tc>
                <w:tcPr>
                  <w:tcW w:w="928"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空间相对位置（m）</w:t>
                  </w:r>
                </w:p>
              </w:tc>
              <w:tc>
                <w:tcPr>
                  <w:tcW w:w="759"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声压级（距离声源5m）</w:t>
                  </w:r>
                  <w:r>
                    <w:rPr>
                      <w:rFonts w:cs="Times New Roman"/>
                      <w:b/>
                      <w:bCs/>
                      <w:color w:val="auto"/>
                      <w:sz w:val="21"/>
                      <w:szCs w:val="21"/>
                    </w:rPr>
                    <w:t>（dB）</w:t>
                  </w:r>
                </w:p>
              </w:tc>
              <w:tc>
                <w:tcPr>
                  <w:tcW w:w="416"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声源控制措施</w:t>
                  </w:r>
                </w:p>
              </w:tc>
              <w:tc>
                <w:tcPr>
                  <w:tcW w:w="437"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jc w:val="center"/>
              </w:trPr>
              <w:tc>
                <w:tcPr>
                  <w:tcW w:w="690"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840"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2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X</w:t>
                  </w:r>
                </w:p>
              </w:tc>
              <w:tc>
                <w:tcPr>
                  <w:tcW w:w="29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Y</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b/>
                      <w:color w:val="auto"/>
                      <w:sz w:val="21"/>
                      <w:szCs w:val="21"/>
                    </w:rPr>
                  </w:pPr>
                  <w:r>
                    <w:rPr>
                      <w:rFonts w:cs="Times New Roman"/>
                      <w:b/>
                      <w:color w:val="auto"/>
                      <w:sz w:val="21"/>
                      <w:szCs w:val="21"/>
                    </w:rPr>
                    <w:t>Z</w:t>
                  </w:r>
                </w:p>
              </w:tc>
              <w:tc>
                <w:tcPr>
                  <w:tcW w:w="759"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16"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基础工具</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发电机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0.5</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95</w:t>
                  </w:r>
                </w:p>
              </w:tc>
              <w:tc>
                <w:tcPr>
                  <w:tcW w:w="416"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选用低噪声设备</w:t>
                  </w: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空压机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0.5</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88</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水磨钻</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90</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电镐</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88</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组塔工具</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角磨机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90</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0"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架线工具</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液压牵引机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TY-120</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80</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0"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张力机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SA-ZY-2×50</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80</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0"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其他工具</w:t>
                  </w: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挖掘机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85</w:t>
                  </w:r>
                </w:p>
              </w:tc>
              <w:tc>
                <w:tcPr>
                  <w:tcW w:w="416" w:type="pct"/>
                  <w:vMerge w:val="continue"/>
                  <w:tcBorders>
                    <w:left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0"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推土机</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85</w:t>
                  </w:r>
                </w:p>
              </w:tc>
              <w:tc>
                <w:tcPr>
                  <w:tcW w:w="416"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90"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93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运输车辆</w:t>
                  </w:r>
                </w:p>
              </w:tc>
              <w:tc>
                <w:tcPr>
                  <w:tcW w:w="8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295"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w:t>
                  </w:r>
                </w:p>
              </w:tc>
              <w:tc>
                <w:tcPr>
                  <w:tcW w:w="337" w:type="pct"/>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1.2</w:t>
                  </w:r>
                </w:p>
              </w:tc>
              <w:tc>
                <w:tcPr>
                  <w:tcW w:w="75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82</w:t>
                  </w:r>
                </w:p>
              </w:tc>
              <w:tc>
                <w:tcPr>
                  <w:tcW w:w="416"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p>
              </w:tc>
              <w:tc>
                <w:tcPr>
                  <w:tcW w:w="43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昼间</w:t>
                  </w:r>
                </w:p>
              </w:tc>
            </w:tr>
          </w:tbl>
          <w:p>
            <w:pPr>
              <w:spacing w:after="163" w:afterLines="50" w:line="240" w:lineRule="auto"/>
              <w:ind w:firstLine="480"/>
              <w:rPr>
                <w:rFonts w:cs="Times New Roman"/>
                <w:bCs/>
                <w:color w:val="auto"/>
                <w:szCs w:val="24"/>
                <w:u w:val="single"/>
              </w:rPr>
            </w:pPr>
            <w:r>
              <w:rPr>
                <w:rFonts w:cs="Times New Roman"/>
                <w:bCs/>
                <w:color w:val="auto"/>
                <w:szCs w:val="24"/>
              </w:rPr>
              <w:t>注</w:t>
            </w:r>
            <w:r>
              <w:rPr>
                <w:rFonts w:hint="eastAsia" w:cs="Times New Roman"/>
                <w:bCs/>
                <w:color w:val="auto"/>
                <w:szCs w:val="24"/>
              </w:rPr>
              <w:t>：</w:t>
            </w:r>
            <w:r>
              <w:rPr>
                <w:rFonts w:cs="Times New Roman"/>
                <w:bCs/>
                <w:color w:val="auto"/>
                <w:szCs w:val="24"/>
              </w:rPr>
              <w:t>线路工程，多点分散施工，空间位置不固定。</w:t>
            </w:r>
          </w:p>
          <w:p>
            <w:pPr>
              <w:ind w:firstLine="480"/>
              <w:rPr>
                <w:rFonts w:cs="Times New Roman"/>
                <w:bCs/>
                <w:color w:val="auto"/>
                <w:szCs w:val="24"/>
              </w:rPr>
            </w:pPr>
            <w:r>
              <w:rPr>
                <w:rFonts w:cs="Times New Roman"/>
                <w:bCs/>
                <w:color w:val="auto"/>
                <w:szCs w:val="24"/>
              </w:rPr>
              <w:t>（2）预测模式</w:t>
            </w:r>
          </w:p>
          <w:p>
            <w:pPr>
              <w:ind w:firstLine="480"/>
              <w:rPr>
                <w:rFonts w:cs="Times New Roman"/>
                <w:bCs/>
                <w:color w:val="auto"/>
                <w:szCs w:val="24"/>
              </w:rPr>
            </w:pPr>
            <w:r>
              <w:rPr>
                <w:rFonts w:cs="Times New Roman"/>
                <w:bCs/>
                <w:color w:val="auto"/>
                <w:szCs w:val="24"/>
              </w:rPr>
              <w:t>施工期声源均为室外噪声源，根据《环境影响评价技术导则声环境》（HJ2.4—2021），户外声传播衰减公式进行预测，公式如下：</w:t>
            </w:r>
          </w:p>
          <w:p>
            <w:pPr>
              <w:ind w:firstLine="480"/>
              <w:rPr>
                <w:rFonts w:cs="Times New Roman"/>
                <w:bCs/>
                <w:color w:val="auto"/>
                <w:szCs w:val="24"/>
              </w:rPr>
            </w:pPr>
            <m:oMathPara>
              <m:oMath>
                <m:sSub>
                  <m:sSubPr>
                    <m:ctrlPr>
                      <w:rPr>
                        <w:rFonts w:ascii="Cambria Math" w:hAnsi="Cambria Math" w:cs="Times New Roman"/>
                        <w:color w:val="auto"/>
                        <w:szCs w:val="24"/>
                      </w:rPr>
                    </m:ctrlPr>
                  </m:sSubPr>
                  <m:e>
                    <m:r>
                      <m:rPr/>
                      <w:rPr>
                        <w:rFonts w:ascii="Cambria Math" w:hAnsi="Cambria Math" w:cs="Times New Roman"/>
                        <w:color w:val="auto"/>
                        <w:szCs w:val="24"/>
                      </w:rPr>
                      <m:t>L</m:t>
                    </m:r>
                    <m:ctrlPr>
                      <w:rPr>
                        <w:rFonts w:ascii="Cambria Math" w:hAnsi="Cambria Math" w:cs="Times New Roman"/>
                        <w:color w:val="auto"/>
                        <w:szCs w:val="24"/>
                      </w:rPr>
                    </m:ctrlPr>
                  </m:e>
                  <m:sub>
                    <m:r>
                      <m:rPr/>
                      <w:rPr>
                        <w:rFonts w:ascii="Cambria Math" w:hAnsi="Cambria Math" w:cs="Times New Roman"/>
                        <w:color w:val="auto"/>
                        <w:szCs w:val="24"/>
                      </w:rPr>
                      <m:t>p</m:t>
                    </m:r>
                    <m:ctrlPr>
                      <w:rPr>
                        <w:rFonts w:ascii="Cambria Math" w:hAnsi="Cambria Math" w:cs="Times New Roman"/>
                        <w:color w:val="auto"/>
                        <w:szCs w:val="24"/>
                      </w:rPr>
                    </m:ctrlPr>
                  </m:sub>
                </m:sSub>
                <m:r>
                  <m:rPr>
                    <m:sty m:val="p"/>
                  </m:rPr>
                  <w:rPr>
                    <w:rFonts w:ascii="Cambria Math" w:hAnsi="Cambria Math" w:cs="Times New Roman"/>
                    <w:color w:val="auto"/>
                    <w:szCs w:val="24"/>
                  </w:rPr>
                  <m:t>(r)=</m:t>
                </m:r>
                <m:sSub>
                  <m:sSubPr>
                    <m:ctrlPr>
                      <w:rPr>
                        <w:rFonts w:ascii="Cambria Math" w:hAnsi="Cambria Math" w:cs="Times New Roman"/>
                        <w:color w:val="auto"/>
                        <w:szCs w:val="24"/>
                      </w:rPr>
                    </m:ctrlPr>
                  </m:sSubPr>
                  <m:e>
                    <m:r>
                      <m:rPr/>
                      <w:rPr>
                        <w:rFonts w:ascii="Cambria Math" w:hAnsi="Cambria Math" w:cs="Times New Roman"/>
                        <w:color w:val="auto"/>
                        <w:szCs w:val="24"/>
                      </w:rPr>
                      <m:t>L</m:t>
                    </m:r>
                    <m:ctrlPr>
                      <w:rPr>
                        <w:rFonts w:ascii="Cambria Math" w:hAnsi="Cambria Math" w:cs="Times New Roman"/>
                        <w:color w:val="auto"/>
                        <w:szCs w:val="24"/>
                      </w:rPr>
                    </m:ctrlPr>
                  </m:e>
                  <m:sub>
                    <m:r>
                      <m:rPr/>
                      <w:rPr>
                        <w:rFonts w:ascii="Cambria Math" w:hAnsi="Cambria Math" w:cs="Times New Roman"/>
                        <w:color w:val="auto"/>
                        <w:szCs w:val="24"/>
                      </w:rPr>
                      <m:t>p</m:t>
                    </m:r>
                    <m:ctrlPr>
                      <w:rPr>
                        <w:rFonts w:ascii="Cambria Math" w:hAnsi="Cambria Math" w:cs="Times New Roman"/>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r</m:t>
                    </m:r>
                    <m:ctrlPr>
                      <w:rPr>
                        <w:rFonts w:ascii="Cambria Math" w:hAnsi="Cambria Math" w:cs="Times New Roman"/>
                        <w:i/>
                        <w:color w:val="auto"/>
                        <w:szCs w:val="24"/>
                      </w:rPr>
                    </m:ctrlPr>
                  </m:e>
                  <m:sub>
                    <m:r>
                      <m:rPr/>
                      <w:rPr>
                        <w:rFonts w:ascii="Cambria Math" w:hAnsi="Cambria Math" w:cs="Times New Roman"/>
                        <w:color w:val="auto"/>
                        <w:szCs w:val="24"/>
                      </w:rPr>
                      <m:t>0</m:t>
                    </m:r>
                    <m:ctrlPr>
                      <w:rPr>
                        <w:rFonts w:ascii="Cambria Math" w:hAnsi="Cambria Math" w:cs="Times New Roman"/>
                        <w:i/>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A</m:t>
                    </m:r>
                    <m:ctrlPr>
                      <w:rPr>
                        <w:rFonts w:ascii="Cambria Math" w:hAnsi="Cambria Math" w:cs="Times New Roman"/>
                        <w:i/>
                        <w:color w:val="auto"/>
                        <w:szCs w:val="24"/>
                      </w:rPr>
                    </m:ctrlPr>
                  </m:e>
                  <m:sub>
                    <m:r>
                      <m:rPr/>
                      <w:rPr>
                        <w:rFonts w:ascii="Cambria Math" w:hAnsi="Cambria Math" w:cs="Times New Roman"/>
                        <w:color w:val="auto"/>
                        <w:szCs w:val="24"/>
                      </w:rPr>
                      <m:t>div</m:t>
                    </m:r>
                    <m:ctrlPr>
                      <w:rPr>
                        <w:rFonts w:ascii="Cambria Math" w:hAnsi="Cambria Math" w:cs="Times New Roman"/>
                        <w:i/>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A</m:t>
                    </m:r>
                    <m:ctrlPr>
                      <w:rPr>
                        <w:rFonts w:ascii="Cambria Math" w:hAnsi="Cambria Math" w:cs="Times New Roman"/>
                        <w:i/>
                        <w:color w:val="auto"/>
                        <w:szCs w:val="24"/>
                      </w:rPr>
                    </m:ctrlPr>
                  </m:e>
                  <m:sub>
                    <m:r>
                      <m:rPr/>
                      <w:rPr>
                        <w:rFonts w:ascii="Cambria Math" w:hAnsi="Cambria Math" w:cs="Times New Roman"/>
                        <w:color w:val="auto"/>
                        <w:szCs w:val="24"/>
                      </w:rPr>
                      <m:t>atm</m:t>
                    </m:r>
                    <m:ctrlPr>
                      <w:rPr>
                        <w:rFonts w:ascii="Cambria Math" w:hAnsi="Cambria Math" w:cs="Times New Roman"/>
                        <w:i/>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A</m:t>
                    </m:r>
                    <m:ctrlPr>
                      <w:rPr>
                        <w:rFonts w:ascii="Cambria Math" w:hAnsi="Cambria Math" w:cs="Times New Roman"/>
                        <w:i/>
                        <w:color w:val="auto"/>
                        <w:szCs w:val="24"/>
                      </w:rPr>
                    </m:ctrlPr>
                  </m:e>
                  <m:sub>
                    <m:r>
                      <m:rPr/>
                      <w:rPr>
                        <w:rFonts w:ascii="Cambria Math" w:hAnsi="Cambria Math" w:cs="Times New Roman"/>
                        <w:color w:val="auto"/>
                        <w:szCs w:val="24"/>
                      </w:rPr>
                      <m:t>bar</m:t>
                    </m:r>
                    <m:ctrlPr>
                      <w:rPr>
                        <w:rFonts w:ascii="Cambria Math" w:hAnsi="Cambria Math" w:cs="Times New Roman"/>
                        <w:i/>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A</m:t>
                    </m:r>
                    <m:ctrlPr>
                      <w:rPr>
                        <w:rFonts w:ascii="Cambria Math" w:hAnsi="Cambria Math" w:cs="Times New Roman"/>
                        <w:i/>
                        <w:color w:val="auto"/>
                        <w:szCs w:val="24"/>
                      </w:rPr>
                    </m:ctrlPr>
                  </m:e>
                  <m:sub>
                    <m:r>
                      <m:rPr/>
                      <w:rPr>
                        <w:rFonts w:ascii="Cambria Math" w:hAnsi="Cambria Math" w:cs="Times New Roman"/>
                        <w:color w:val="auto"/>
                        <w:szCs w:val="24"/>
                      </w:rPr>
                      <m:t>gr</m:t>
                    </m:r>
                    <m:ctrlPr>
                      <w:rPr>
                        <w:rFonts w:ascii="Cambria Math" w:hAnsi="Cambria Math" w:cs="Times New Roman"/>
                        <w:i/>
                        <w:color w:val="auto"/>
                        <w:szCs w:val="24"/>
                      </w:rPr>
                    </m:ctrlPr>
                  </m:sub>
                </m:sSub>
                <m:r>
                  <m:rPr/>
                  <w:rPr>
                    <w:rFonts w:ascii="Cambria Math" w:hAnsi="Cambria Math" w:cs="Times New Roman"/>
                    <w:color w:val="auto"/>
                    <w:szCs w:val="24"/>
                  </w:rPr>
                  <m:t>+</m:t>
                </m:r>
                <m:sSub>
                  <m:sSubPr>
                    <m:ctrlPr>
                      <w:rPr>
                        <w:rFonts w:ascii="Cambria Math" w:hAnsi="Cambria Math" w:cs="Times New Roman"/>
                        <w:i/>
                        <w:color w:val="auto"/>
                        <w:szCs w:val="24"/>
                      </w:rPr>
                    </m:ctrlPr>
                  </m:sSubPr>
                  <m:e>
                    <m:r>
                      <m:rPr/>
                      <w:rPr>
                        <w:rFonts w:ascii="Cambria Math" w:hAnsi="Cambria Math" w:cs="Times New Roman"/>
                        <w:color w:val="auto"/>
                        <w:szCs w:val="24"/>
                      </w:rPr>
                      <m:t>A</m:t>
                    </m:r>
                    <m:ctrlPr>
                      <w:rPr>
                        <w:rFonts w:ascii="Cambria Math" w:hAnsi="Cambria Math" w:cs="Times New Roman"/>
                        <w:i/>
                        <w:color w:val="auto"/>
                        <w:szCs w:val="24"/>
                      </w:rPr>
                    </m:ctrlPr>
                  </m:e>
                  <m:sub>
                    <m:r>
                      <m:rPr>
                        <m:sty m:val="p"/>
                      </m:rPr>
                      <w:rPr>
                        <w:rFonts w:ascii="Cambria Math" w:hAnsi="Cambria Math" w:cs="Times New Roman"/>
                        <w:color w:val="auto"/>
                        <w:szCs w:val="24"/>
                      </w:rPr>
                      <m:t>misc</m:t>
                    </m:r>
                    <m:ctrlPr>
                      <w:rPr>
                        <w:rFonts w:ascii="Cambria Math" w:hAnsi="Cambria Math" w:cs="Times New Roman"/>
                        <w:i/>
                        <w:color w:val="auto"/>
                        <w:szCs w:val="24"/>
                      </w:rPr>
                    </m:ctrlPr>
                  </m:sub>
                </m:sSub>
                <m:r>
                  <m:rPr/>
                  <w:rPr>
                    <w:rFonts w:ascii="Cambria Math" w:hAnsi="Cambria Math" w:cs="Times New Roman"/>
                    <w:color w:val="auto"/>
                    <w:szCs w:val="24"/>
                  </w:rPr>
                  <m:t>)</m:t>
                </m:r>
              </m:oMath>
            </m:oMathPara>
          </w:p>
          <w:p>
            <w:pPr>
              <w:ind w:firstLine="480"/>
              <w:rPr>
                <w:rFonts w:cs="Times New Roman"/>
                <w:bCs/>
                <w:color w:val="auto"/>
                <w:szCs w:val="24"/>
              </w:rPr>
            </w:pPr>
            <w:r>
              <w:rPr>
                <w:rFonts w:cs="Times New Roman"/>
                <w:bCs/>
                <w:color w:val="auto"/>
                <w:szCs w:val="24"/>
              </w:rPr>
              <w:t>式中：L</w:t>
            </w:r>
            <w:r>
              <w:rPr>
                <w:rFonts w:cs="Times New Roman"/>
                <w:bCs/>
                <w:color w:val="auto"/>
                <w:szCs w:val="24"/>
                <w:vertAlign w:val="subscript"/>
              </w:rPr>
              <w:t>p</w:t>
            </w:r>
            <w:r>
              <w:rPr>
                <w:rFonts w:cs="Times New Roman"/>
                <w:bCs/>
                <w:color w:val="auto"/>
                <w:szCs w:val="24"/>
              </w:rPr>
              <w:t>(r)——预测点处的声压级，dB；</w:t>
            </w:r>
          </w:p>
          <w:p>
            <w:pPr>
              <w:ind w:firstLine="480"/>
              <w:rPr>
                <w:rFonts w:cs="Times New Roman"/>
                <w:bCs/>
                <w:color w:val="auto"/>
                <w:szCs w:val="24"/>
              </w:rPr>
            </w:pPr>
            <w:r>
              <w:rPr>
                <w:rFonts w:cs="Times New Roman"/>
                <w:bCs/>
                <w:color w:val="auto"/>
                <w:szCs w:val="24"/>
              </w:rPr>
              <w:t>L</w:t>
            </w:r>
            <w:r>
              <w:rPr>
                <w:rFonts w:cs="Times New Roman"/>
                <w:bCs/>
                <w:color w:val="auto"/>
                <w:szCs w:val="24"/>
                <w:vertAlign w:val="subscript"/>
              </w:rPr>
              <w:t>p</w:t>
            </w:r>
            <w:r>
              <w:rPr>
                <w:rFonts w:cs="Times New Roman"/>
                <w:bCs/>
                <w:color w:val="auto"/>
                <w:szCs w:val="24"/>
              </w:rPr>
              <w:t>(r</w:t>
            </w:r>
            <w:r>
              <w:rPr>
                <w:rFonts w:cs="Times New Roman"/>
                <w:bCs/>
                <w:color w:val="auto"/>
                <w:szCs w:val="24"/>
                <w:vertAlign w:val="subscript"/>
              </w:rPr>
              <w:t>0</w:t>
            </w:r>
            <w:r>
              <w:rPr>
                <w:rFonts w:cs="Times New Roman"/>
                <w:bCs/>
                <w:color w:val="auto"/>
                <w:szCs w:val="24"/>
              </w:rPr>
              <w:t>)——距声源r</w:t>
            </w:r>
            <w:r>
              <w:rPr>
                <w:rFonts w:cs="Times New Roman"/>
                <w:bCs/>
                <w:color w:val="auto"/>
                <w:szCs w:val="24"/>
                <w:vertAlign w:val="subscript"/>
              </w:rPr>
              <w:t>0</w:t>
            </w:r>
            <w:r>
              <w:rPr>
                <w:rFonts w:cs="Times New Roman"/>
                <w:bCs/>
                <w:color w:val="auto"/>
                <w:szCs w:val="24"/>
              </w:rPr>
              <w:t>处的声压级，dB；</w:t>
            </w:r>
          </w:p>
          <w:p>
            <w:pPr>
              <w:ind w:firstLine="480"/>
              <w:rPr>
                <w:rFonts w:cs="Times New Roman"/>
                <w:bCs/>
                <w:color w:val="auto"/>
                <w:szCs w:val="24"/>
              </w:rPr>
            </w:pPr>
            <w:r>
              <w:rPr>
                <w:rFonts w:cs="Times New Roman"/>
                <w:bCs/>
                <w:color w:val="auto"/>
                <w:szCs w:val="24"/>
              </w:rPr>
              <w:t>A</w:t>
            </w:r>
            <w:r>
              <w:rPr>
                <w:rFonts w:cs="Times New Roman"/>
                <w:bCs/>
                <w:color w:val="auto"/>
                <w:szCs w:val="24"/>
                <w:vertAlign w:val="subscript"/>
              </w:rPr>
              <w:t>div</w:t>
            </w:r>
            <w:r>
              <w:rPr>
                <w:rFonts w:cs="Times New Roman"/>
                <w:bCs/>
                <w:color w:val="auto"/>
                <w:szCs w:val="24"/>
              </w:rPr>
              <w:t>——几何发散衰减，A</w:t>
            </w:r>
            <w:r>
              <w:rPr>
                <w:rFonts w:cs="Times New Roman"/>
                <w:bCs/>
                <w:color w:val="auto"/>
                <w:szCs w:val="24"/>
                <w:vertAlign w:val="subscript"/>
              </w:rPr>
              <w:t>div</w:t>
            </w:r>
            <w:r>
              <w:rPr>
                <w:rFonts w:cs="Times New Roman"/>
                <w:bCs/>
                <w:color w:val="auto"/>
                <w:szCs w:val="24"/>
              </w:rPr>
              <w:t>=20lg(r/r</w:t>
            </w:r>
            <w:r>
              <w:rPr>
                <w:rFonts w:cs="Times New Roman"/>
                <w:bCs/>
                <w:color w:val="auto"/>
                <w:szCs w:val="24"/>
                <w:vertAlign w:val="subscript"/>
              </w:rPr>
              <w:t>0</w:t>
            </w:r>
            <w:r>
              <w:rPr>
                <w:rFonts w:cs="Times New Roman"/>
                <w:bCs/>
                <w:color w:val="auto"/>
                <w:szCs w:val="24"/>
              </w:rPr>
              <w:t>)，dB；</w:t>
            </w:r>
          </w:p>
          <w:p>
            <w:pPr>
              <w:ind w:firstLine="480"/>
              <w:rPr>
                <w:rFonts w:cs="Times New Roman"/>
                <w:bCs/>
                <w:color w:val="auto"/>
                <w:szCs w:val="24"/>
              </w:rPr>
            </w:pPr>
            <w:r>
              <w:rPr>
                <w:rFonts w:cs="Times New Roman"/>
                <w:bCs/>
                <w:color w:val="auto"/>
                <w:szCs w:val="24"/>
              </w:rPr>
              <w:t>A</w:t>
            </w:r>
            <w:r>
              <w:rPr>
                <w:rFonts w:cs="Times New Roman"/>
                <w:bCs/>
                <w:color w:val="auto"/>
                <w:szCs w:val="24"/>
                <w:vertAlign w:val="subscript"/>
              </w:rPr>
              <w:t>atm</w:t>
            </w:r>
            <w:r>
              <w:rPr>
                <w:rFonts w:cs="Times New Roman"/>
                <w:bCs/>
                <w:color w:val="auto"/>
                <w:szCs w:val="24"/>
              </w:rPr>
              <w:t xml:space="preserve">——大气吸收衰减，dB； </w:t>
            </w:r>
          </w:p>
          <w:p>
            <w:pPr>
              <w:ind w:firstLine="480"/>
              <w:rPr>
                <w:rFonts w:cs="Times New Roman"/>
                <w:bCs/>
                <w:color w:val="auto"/>
                <w:szCs w:val="24"/>
              </w:rPr>
            </w:pPr>
            <w:r>
              <w:rPr>
                <w:rFonts w:cs="Times New Roman"/>
                <w:bCs/>
                <w:color w:val="auto"/>
                <w:szCs w:val="24"/>
              </w:rPr>
              <w:t>A</w:t>
            </w:r>
            <w:r>
              <w:rPr>
                <w:rFonts w:cs="Times New Roman"/>
                <w:bCs/>
                <w:color w:val="auto"/>
                <w:szCs w:val="24"/>
                <w:vertAlign w:val="subscript"/>
              </w:rPr>
              <w:t>bar</w:t>
            </w:r>
            <w:r>
              <w:rPr>
                <w:rFonts w:cs="Times New Roman"/>
                <w:bCs/>
                <w:color w:val="auto"/>
                <w:szCs w:val="24"/>
              </w:rPr>
              <w:t>——屏障屏蔽，dB；</w:t>
            </w:r>
          </w:p>
          <w:p>
            <w:pPr>
              <w:ind w:firstLine="480"/>
              <w:rPr>
                <w:rFonts w:cs="Times New Roman"/>
                <w:bCs/>
                <w:color w:val="auto"/>
                <w:szCs w:val="24"/>
              </w:rPr>
            </w:pPr>
            <w:r>
              <w:rPr>
                <w:rFonts w:cs="Times New Roman"/>
                <w:bCs/>
                <w:color w:val="auto"/>
                <w:szCs w:val="24"/>
              </w:rPr>
              <w:t>A</w:t>
            </w:r>
            <w:r>
              <w:rPr>
                <w:rFonts w:cs="Times New Roman"/>
                <w:bCs/>
                <w:color w:val="auto"/>
                <w:szCs w:val="24"/>
                <w:vertAlign w:val="subscript"/>
              </w:rPr>
              <w:t>gr</w:t>
            </w:r>
            <w:r>
              <w:rPr>
                <w:rFonts w:cs="Times New Roman"/>
                <w:bCs/>
                <w:color w:val="auto"/>
                <w:szCs w:val="24"/>
              </w:rPr>
              <w:t>——地面效应，dB；</w:t>
            </w:r>
          </w:p>
          <w:p>
            <w:pPr>
              <w:ind w:firstLine="480"/>
              <w:rPr>
                <w:rFonts w:cs="Times New Roman"/>
                <w:bCs/>
                <w:color w:val="auto"/>
                <w:szCs w:val="24"/>
              </w:rPr>
            </w:pPr>
            <w:r>
              <w:rPr>
                <w:rFonts w:cs="Times New Roman"/>
                <w:bCs/>
                <w:color w:val="auto"/>
                <w:szCs w:val="24"/>
              </w:rPr>
              <w:t>A</w:t>
            </w:r>
            <w:r>
              <w:rPr>
                <w:rFonts w:cs="Times New Roman"/>
                <w:bCs/>
                <w:color w:val="auto"/>
                <w:szCs w:val="24"/>
                <w:vertAlign w:val="subscript"/>
              </w:rPr>
              <w:t>misc</w:t>
            </w:r>
            <w:r>
              <w:rPr>
                <w:rFonts w:cs="Times New Roman"/>
                <w:bCs/>
                <w:color w:val="auto"/>
                <w:szCs w:val="24"/>
              </w:rPr>
              <w:t>——其他多方面效应，dB；</w:t>
            </w:r>
          </w:p>
          <w:p>
            <w:pPr>
              <w:ind w:firstLine="480"/>
              <w:rPr>
                <w:rFonts w:cs="Times New Roman"/>
                <w:color w:val="auto"/>
                <w:szCs w:val="24"/>
              </w:rPr>
            </w:pPr>
            <w:r>
              <w:rPr>
                <w:rFonts w:cs="Times New Roman"/>
                <w:color w:val="auto"/>
                <w:szCs w:val="24"/>
              </w:rPr>
              <w:t>声源在预测点产生的等效声级贡献值用下式计算：</w:t>
            </w:r>
          </w:p>
          <w:p>
            <w:pPr>
              <w:ind w:firstLine="480"/>
              <w:rPr>
                <w:rFonts w:cs="Times New Roman"/>
                <w:color w:val="auto"/>
                <w:szCs w:val="24"/>
              </w:rPr>
            </w:pPr>
            <w:r>
              <w:rPr>
                <w:rFonts w:cs="Times New Roman"/>
                <w:color w:val="auto"/>
                <w:szCs w:val="24"/>
              </w:rPr>
              <w:drawing>
                <wp:inline distT="0" distB="0" distL="0" distR="0">
                  <wp:extent cx="2171700" cy="466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71700" cy="466725"/>
                          </a:xfrm>
                          <a:prstGeom prst="rect">
                            <a:avLst/>
                          </a:prstGeom>
                          <a:noFill/>
                          <a:ln>
                            <a:noFill/>
                          </a:ln>
                        </pic:spPr>
                      </pic:pic>
                    </a:graphicData>
                  </a:graphic>
                </wp:inline>
              </w:drawing>
            </w:r>
          </w:p>
          <w:p>
            <w:pPr>
              <w:ind w:firstLine="480"/>
              <w:rPr>
                <w:rFonts w:cs="Times New Roman"/>
                <w:color w:val="auto"/>
                <w:szCs w:val="24"/>
              </w:rPr>
            </w:pPr>
            <w:r>
              <w:rPr>
                <w:rFonts w:cs="Times New Roman"/>
                <w:color w:val="auto"/>
                <w:szCs w:val="24"/>
              </w:rPr>
              <w:t>式中：</w:t>
            </w:r>
            <w:r>
              <w:rPr>
                <w:rFonts w:cs="Times New Roman"/>
                <w:iCs/>
                <w:color w:val="auto"/>
                <w:szCs w:val="24"/>
              </w:rPr>
              <w:t>L</w:t>
            </w:r>
            <w:r>
              <w:rPr>
                <w:rFonts w:cs="Times New Roman"/>
                <w:iCs/>
                <w:color w:val="auto"/>
                <w:szCs w:val="24"/>
                <w:vertAlign w:val="subscript"/>
              </w:rPr>
              <w:t>eqg</w:t>
            </w:r>
            <w:r>
              <w:rPr>
                <w:rFonts w:cs="Times New Roman"/>
                <w:color w:val="auto"/>
                <w:szCs w:val="24"/>
              </w:rPr>
              <w:t>——建设项目声源在预测点的等效声级贡献值，dB(A)；</w:t>
            </w:r>
          </w:p>
          <w:p>
            <w:pPr>
              <w:ind w:firstLine="480"/>
              <w:rPr>
                <w:rFonts w:cs="Times New Roman"/>
                <w:color w:val="auto"/>
                <w:szCs w:val="24"/>
              </w:rPr>
            </w:pPr>
            <w:r>
              <w:rPr>
                <w:rFonts w:cs="Times New Roman"/>
                <w:color w:val="auto"/>
                <w:szCs w:val="24"/>
              </w:rPr>
              <w:t>L</w:t>
            </w:r>
            <w:r>
              <w:rPr>
                <w:rFonts w:cs="Times New Roman"/>
                <w:color w:val="auto"/>
                <w:szCs w:val="24"/>
                <w:vertAlign w:val="subscript"/>
              </w:rPr>
              <w:t>Ai</w:t>
            </w:r>
            <w:r>
              <w:rPr>
                <w:rFonts w:cs="Times New Roman"/>
                <w:color w:val="auto"/>
                <w:szCs w:val="24"/>
              </w:rPr>
              <w:t>—— i 声源在预测点产生的A 声级，dB(A)；</w:t>
            </w:r>
          </w:p>
          <w:p>
            <w:pPr>
              <w:ind w:firstLine="480"/>
              <w:rPr>
                <w:rFonts w:cs="Times New Roman"/>
                <w:color w:val="auto"/>
                <w:szCs w:val="24"/>
              </w:rPr>
            </w:pPr>
            <w:r>
              <w:rPr>
                <w:rFonts w:cs="Times New Roman"/>
                <w:color w:val="auto"/>
                <w:szCs w:val="24"/>
              </w:rPr>
              <w:t>T——预测计算的时间段，s；</w:t>
            </w:r>
          </w:p>
          <w:p>
            <w:pPr>
              <w:ind w:firstLine="480"/>
              <w:rPr>
                <w:rFonts w:cs="Times New Roman"/>
                <w:color w:val="auto"/>
                <w:szCs w:val="24"/>
              </w:rPr>
            </w:pPr>
            <w:r>
              <w:rPr>
                <w:rFonts w:cs="Times New Roman"/>
                <w:color w:val="auto"/>
                <w:szCs w:val="24"/>
              </w:rPr>
              <w:t>t</w:t>
            </w:r>
            <w:r>
              <w:rPr>
                <w:rFonts w:cs="Times New Roman"/>
                <w:color w:val="auto"/>
                <w:szCs w:val="24"/>
                <w:vertAlign w:val="subscript"/>
              </w:rPr>
              <w:t>i</w:t>
            </w:r>
            <w:r>
              <w:rPr>
                <w:rFonts w:cs="Times New Roman"/>
                <w:color w:val="auto"/>
                <w:szCs w:val="24"/>
              </w:rPr>
              <w:t>——i 声源在T 时段内的运行时间，s。</w:t>
            </w:r>
          </w:p>
          <w:p>
            <w:pPr>
              <w:ind w:firstLine="480"/>
              <w:rPr>
                <w:rFonts w:cs="Times New Roman"/>
                <w:color w:val="auto"/>
                <w:szCs w:val="24"/>
              </w:rPr>
            </w:pPr>
            <w:r>
              <w:rPr>
                <w:rFonts w:cs="Times New Roman"/>
                <w:color w:val="auto"/>
                <w:szCs w:val="24"/>
              </w:rPr>
              <w:t>噪声预测值计算公式：</w:t>
            </w:r>
          </w:p>
          <w:p>
            <w:pPr>
              <w:ind w:firstLine="480"/>
              <w:rPr>
                <w:rFonts w:cs="Times New Roman"/>
                <w:color w:val="auto"/>
                <w:szCs w:val="24"/>
              </w:rPr>
            </w:pPr>
            <w:r>
              <w:rPr>
                <w:rFonts w:cs="Times New Roman"/>
                <w:color w:val="auto"/>
                <w:szCs w:val="24"/>
              </w:rPr>
              <w:pict>
                <v:shape id="_x0000_i1025" o:spt="75" type="#_x0000_t75" style="height:20.25pt;width:145.5pt;" filled="f" o:preferrelative="t" stroked="f" coordsize="21600,21600" equationxml="&lt;">
                  <v:path/>
                  <v:fill on="f" focussize="0,0"/>
                  <v:stroke on="f" joinstyle="miter"/>
                  <v:imagedata r:id="rId25" chromakey="#FFFFFF" o:title=""/>
                  <o:lock v:ext="edit" aspectratio="t"/>
                  <w10:wrap type="none"/>
                  <w10:anchorlock/>
                </v:shape>
              </w:pict>
            </w:r>
          </w:p>
          <w:p>
            <w:pPr>
              <w:ind w:firstLine="480"/>
              <w:rPr>
                <w:rFonts w:cs="Times New Roman"/>
                <w:color w:val="auto"/>
                <w:szCs w:val="24"/>
              </w:rPr>
            </w:pPr>
            <w:r>
              <w:rPr>
                <w:rFonts w:cs="Times New Roman"/>
                <w:color w:val="auto"/>
                <w:szCs w:val="24"/>
              </w:rPr>
              <w:t>式中：L</w:t>
            </w:r>
            <w:r>
              <w:rPr>
                <w:rFonts w:cs="Times New Roman"/>
                <w:color w:val="auto"/>
                <w:szCs w:val="24"/>
                <w:vertAlign w:val="subscript"/>
              </w:rPr>
              <w:t>eq</w:t>
            </w:r>
            <w:r>
              <w:rPr>
                <w:rFonts w:cs="Times New Roman"/>
                <w:color w:val="auto"/>
                <w:szCs w:val="24"/>
              </w:rPr>
              <w:t>——预测点的等效声级，dB(A)；</w:t>
            </w:r>
          </w:p>
          <w:p>
            <w:pPr>
              <w:ind w:firstLine="480"/>
              <w:rPr>
                <w:rFonts w:cs="Times New Roman"/>
                <w:color w:val="auto"/>
                <w:szCs w:val="24"/>
              </w:rPr>
            </w:pPr>
            <w:r>
              <w:rPr>
                <w:rFonts w:cs="Times New Roman"/>
                <w:color w:val="auto"/>
                <w:szCs w:val="24"/>
              </w:rPr>
              <w:t>L</w:t>
            </w:r>
            <w:r>
              <w:rPr>
                <w:rFonts w:cs="Times New Roman"/>
                <w:color w:val="auto"/>
                <w:szCs w:val="24"/>
                <w:vertAlign w:val="subscript"/>
              </w:rPr>
              <w:t>eqb</w:t>
            </w:r>
            <w:r>
              <w:rPr>
                <w:rFonts w:cs="Times New Roman"/>
                <w:color w:val="auto"/>
                <w:szCs w:val="24"/>
              </w:rPr>
              <w:t>——预测点的背景值，dB(A)。</w:t>
            </w:r>
          </w:p>
          <w:p>
            <w:pPr>
              <w:ind w:firstLine="480"/>
              <w:rPr>
                <w:rFonts w:cs="Times New Roman"/>
                <w:bCs/>
                <w:color w:val="auto"/>
                <w:szCs w:val="24"/>
              </w:rPr>
            </w:pPr>
            <w:r>
              <w:rPr>
                <w:rFonts w:cs="Times New Roman"/>
                <w:bCs/>
                <w:color w:val="auto"/>
                <w:szCs w:val="24"/>
              </w:rPr>
              <w:t>（3）预测结果</w:t>
            </w:r>
          </w:p>
          <w:p>
            <w:pPr>
              <w:ind w:firstLine="480"/>
              <w:rPr>
                <w:rFonts w:cs="Times New Roman"/>
                <w:bCs/>
                <w:color w:val="auto"/>
                <w:szCs w:val="24"/>
              </w:rPr>
            </w:pPr>
            <w:r>
              <w:rPr>
                <w:rFonts w:cs="Times New Roman"/>
                <w:bCs/>
                <w:color w:val="auto"/>
                <w:szCs w:val="24"/>
              </w:rPr>
              <w:t>根据以上预测模式，项目施工期噪声预测结果见下表4-2。</w:t>
            </w:r>
          </w:p>
          <w:p>
            <w:pPr>
              <w:spacing w:line="240" w:lineRule="auto"/>
              <w:ind w:firstLine="0" w:firstLineChars="0"/>
              <w:rPr>
                <w:rFonts w:cs="Times New Roman"/>
                <w:bCs/>
                <w:color w:val="auto"/>
                <w:szCs w:val="24"/>
              </w:rPr>
            </w:pPr>
          </w:p>
          <w:p>
            <w:pPr>
              <w:spacing w:line="240" w:lineRule="auto"/>
              <w:ind w:firstLine="0" w:firstLineChars="0"/>
              <w:rPr>
                <w:rFonts w:cs="Times New Roman"/>
                <w:bCs/>
                <w:color w:val="auto"/>
                <w:szCs w:val="24"/>
              </w:rPr>
            </w:pPr>
          </w:p>
          <w:p>
            <w:pPr>
              <w:spacing w:line="240" w:lineRule="auto"/>
              <w:ind w:firstLine="0" w:firstLineChars="0"/>
              <w:rPr>
                <w:rFonts w:cs="Times New Roman"/>
                <w:bCs/>
                <w:color w:val="auto"/>
                <w:szCs w:val="24"/>
              </w:rPr>
            </w:pPr>
          </w:p>
          <w:p>
            <w:pPr>
              <w:ind w:firstLine="0" w:firstLineChars="0"/>
              <w:rPr>
                <w:rFonts w:cs="Times New Roman"/>
                <w:bCs/>
                <w:color w:val="auto"/>
                <w:szCs w:val="24"/>
              </w:rPr>
            </w:pPr>
          </w:p>
          <w:p>
            <w:pPr>
              <w:spacing w:line="240" w:lineRule="auto"/>
              <w:ind w:firstLine="0" w:firstLineChars="0"/>
              <w:rPr>
                <w:rFonts w:cs="Times New Roman"/>
                <w:bCs/>
                <w:color w:val="auto"/>
                <w:szCs w:val="24"/>
              </w:rPr>
            </w:pPr>
          </w:p>
          <w:p>
            <w:pPr>
              <w:spacing w:line="240" w:lineRule="auto"/>
              <w:ind w:firstLine="0" w:firstLineChars="0"/>
              <w:jc w:val="center"/>
              <w:rPr>
                <w:rFonts w:cs="Times New Roman"/>
                <w:b/>
                <w:bCs/>
                <w:color w:val="auto"/>
                <w:sz w:val="21"/>
                <w:szCs w:val="21"/>
              </w:rPr>
            </w:pPr>
            <w:r>
              <w:rPr>
                <w:rFonts w:cs="Times New Roman"/>
                <w:b/>
                <w:bCs/>
                <w:color w:val="auto"/>
                <w:sz w:val="21"/>
                <w:szCs w:val="21"/>
              </w:rPr>
              <w:t>表4-2 主要施工设备不同距离处的噪声预测值   单位：</w:t>
            </w:r>
            <w:r>
              <w:rPr>
                <w:rFonts w:cs="Times New Roman"/>
                <w:color w:val="auto"/>
                <w:sz w:val="21"/>
                <w:szCs w:val="21"/>
              </w:rPr>
              <w:t>dB(A)</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590"/>
              <w:gridCol w:w="647"/>
              <w:gridCol w:w="703"/>
              <w:gridCol w:w="706"/>
              <w:gridCol w:w="706"/>
              <w:gridCol w:w="706"/>
              <w:gridCol w:w="695"/>
              <w:gridCol w:w="695"/>
              <w:gridCol w:w="597"/>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19" w:type="pct"/>
                  <w:tcBorders>
                    <w:tl2br w:val="single" w:color="auto" w:sz="4" w:space="0"/>
                  </w:tcBorders>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距离</w:t>
                  </w:r>
                </w:p>
                <w:p>
                  <w:pPr>
                    <w:spacing w:line="240" w:lineRule="auto"/>
                    <w:ind w:firstLine="0" w:firstLineChars="0"/>
                    <w:jc w:val="center"/>
                    <w:rPr>
                      <w:rFonts w:cs="Times New Roman"/>
                      <w:bCs/>
                      <w:color w:val="auto"/>
                      <w:sz w:val="21"/>
                      <w:szCs w:val="21"/>
                    </w:rPr>
                  </w:pPr>
                  <w:r>
                    <w:rPr>
                      <w:rFonts w:cs="Times New Roman"/>
                      <w:bCs/>
                      <w:color w:val="auto"/>
                      <w:sz w:val="21"/>
                      <w:szCs w:val="21"/>
                    </w:rPr>
                    <w:t>声源</w:t>
                  </w:r>
                </w:p>
              </w:tc>
              <w:tc>
                <w:tcPr>
                  <w:tcW w:w="308"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20m</w:t>
                  </w:r>
                </w:p>
              </w:tc>
              <w:tc>
                <w:tcPr>
                  <w:tcW w:w="413"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40m</w:t>
                  </w:r>
                </w:p>
              </w:tc>
              <w:tc>
                <w:tcPr>
                  <w:tcW w:w="448"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60m</w:t>
                  </w:r>
                </w:p>
              </w:tc>
              <w:tc>
                <w:tcPr>
                  <w:tcW w:w="450"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80m</w:t>
                  </w:r>
                </w:p>
              </w:tc>
              <w:tc>
                <w:tcPr>
                  <w:tcW w:w="450"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100m</w:t>
                  </w:r>
                </w:p>
              </w:tc>
              <w:tc>
                <w:tcPr>
                  <w:tcW w:w="450"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120m</w:t>
                  </w:r>
                </w:p>
              </w:tc>
              <w:tc>
                <w:tcPr>
                  <w:tcW w:w="43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140m</w:t>
                  </w:r>
                </w:p>
              </w:tc>
              <w:tc>
                <w:tcPr>
                  <w:tcW w:w="43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160m</w:t>
                  </w:r>
                </w:p>
              </w:tc>
              <w:tc>
                <w:tcPr>
                  <w:tcW w:w="3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180</w:t>
                  </w:r>
                </w:p>
              </w:tc>
              <w:tc>
                <w:tcPr>
                  <w:tcW w:w="39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发电机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71.9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72.8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68.3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64.7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61.7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59.1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56.7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52.4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空压机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64.9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65.8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61.3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57.7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52.1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47.5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水磨钻</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66.9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67.8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63.3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59.7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56.7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51.7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47.4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电镐</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64.9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65.8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61.3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57.7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52.1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47.5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角磨机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66.9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67.8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63.3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59.7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56.7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51.7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47.4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液压牵引机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56.9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57.8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53.3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46.7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44.1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41.7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39.5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37.4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张力机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56.9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57.8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53.3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46.7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44.1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41.7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39.5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37.4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挖掘机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61.9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62.8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58.3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51.7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46.7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44.5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42.4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推土机</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61.9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62.8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58.3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54.7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51.7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49.1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46.7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44.5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42.4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运输车辆</w:t>
                  </w:r>
                </w:p>
              </w:tc>
              <w:tc>
                <w:tcPr>
                  <w:tcW w:w="30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58.9</w:t>
                  </w:r>
                </w:p>
              </w:tc>
              <w:tc>
                <w:tcPr>
                  <w:tcW w:w="413"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59.8</w:t>
                  </w:r>
                </w:p>
              </w:tc>
              <w:tc>
                <w:tcPr>
                  <w:tcW w:w="448"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55.3</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51.7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48.7</w:t>
                  </w:r>
                </w:p>
              </w:tc>
              <w:tc>
                <w:tcPr>
                  <w:tcW w:w="450"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46.1</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43.7</w:t>
                  </w:r>
                </w:p>
              </w:tc>
              <w:tc>
                <w:tcPr>
                  <w:tcW w:w="43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41.5</w:t>
                  </w:r>
                </w:p>
              </w:tc>
              <w:tc>
                <w:tcPr>
                  <w:tcW w:w="392"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39.4</w:t>
                  </w:r>
                </w:p>
              </w:tc>
              <w:tc>
                <w:tcPr>
                  <w:tcW w:w="397" w:type="pct"/>
                  <w:vAlign w:val="center"/>
                </w:tcPr>
                <w:p>
                  <w:pPr>
                    <w:spacing w:line="240" w:lineRule="auto"/>
                    <w:ind w:firstLine="0" w:firstLineChars="0"/>
                    <w:jc w:val="center"/>
                    <w:rPr>
                      <w:rFonts w:cs="Times New Roman"/>
                      <w:color w:val="auto"/>
                      <w:sz w:val="21"/>
                      <w:szCs w:val="21"/>
                    </w:rPr>
                  </w:pPr>
                  <w:r>
                    <w:rPr>
                      <w:rFonts w:cs="Times New Roman"/>
                      <w:color w:val="auto"/>
                      <w:sz w:val="21"/>
                      <w:szCs w:val="21"/>
                    </w:rPr>
                    <w:t>37.4</w:t>
                  </w:r>
                </w:p>
              </w:tc>
            </w:tr>
          </w:tbl>
          <w:p>
            <w:pPr>
              <w:ind w:firstLine="480"/>
              <w:rPr>
                <w:rFonts w:cs="Times New Roman"/>
                <w:bCs/>
                <w:color w:val="auto"/>
                <w:szCs w:val="24"/>
              </w:rPr>
            </w:pPr>
            <w:r>
              <w:rPr>
                <w:rFonts w:cs="Times New Roman"/>
                <w:bCs/>
                <w:color w:val="auto"/>
                <w:szCs w:val="24"/>
              </w:rPr>
              <w:t>项目仅昼间施工，夜间不施工，线路工程按点源分散施工。根据表4-2预测结果，发电机声源最大，噪声经过约60m距离衰减满足《建筑施工场界环境噪声排放标准》（GB12523—2011）昼间限值70dB（A）的要求，其余施工设备噪声见过20m距离衰减后可满足《建筑施工场界环境噪声排放标准》（GB12523—2011）昼间限值70dB（A）的要求。</w:t>
            </w:r>
          </w:p>
          <w:p>
            <w:pPr>
              <w:ind w:firstLine="480"/>
              <w:rPr>
                <w:rFonts w:cs="Times New Roman"/>
                <w:bCs/>
                <w:color w:val="auto"/>
                <w:szCs w:val="24"/>
              </w:rPr>
            </w:pPr>
            <w:r>
              <w:rPr>
                <w:rFonts w:cs="Times New Roman"/>
                <w:bCs/>
                <w:color w:val="auto"/>
                <w:szCs w:val="24"/>
              </w:rPr>
              <w:t>本工程输电线路塔基具有占地分散、单塔面积小、开挖量小、施工时间短的特点。多个塔基同时施工，不同施工区域会同时产生施工噪声，但由于各个塔基占地较分散，不会产生叠加影响。由于工程施工规模小、场地进出车辆很少、工序较简单，声源叠加情况较少，施工噪声在经过当地地形和林木的阻挡，对环境的影响是小范围的、短暂的，并随着施工期的结束。项目铁塔</w:t>
            </w:r>
            <w:r>
              <w:rPr>
                <w:rFonts w:hint="eastAsia" w:cs="Times New Roman"/>
                <w:bCs/>
                <w:color w:val="auto"/>
                <w:szCs w:val="24"/>
              </w:rPr>
              <w:t>与</w:t>
            </w:r>
            <w:r>
              <w:rPr>
                <w:rFonts w:cs="Times New Roman"/>
                <w:bCs/>
                <w:color w:val="auto"/>
                <w:szCs w:val="24"/>
              </w:rPr>
              <w:t>周边村庄距离较远</w:t>
            </w:r>
            <w:r>
              <w:rPr>
                <w:rFonts w:hint="eastAsia" w:cs="Times New Roman"/>
                <w:bCs/>
                <w:color w:val="auto"/>
                <w:szCs w:val="24"/>
              </w:rPr>
              <w:t>，</w:t>
            </w:r>
            <w:r>
              <w:rPr>
                <w:rFonts w:cs="Times New Roman"/>
                <w:bCs/>
                <w:color w:val="auto"/>
                <w:szCs w:val="24"/>
              </w:rPr>
              <w:t>单个铁塔施工时间较短（基础施工、铁塔组立时间不超过5天），因此项目线路施工噪声对其影响较小。</w:t>
            </w:r>
          </w:p>
          <w:p>
            <w:pPr>
              <w:ind w:firstLine="480"/>
              <w:rPr>
                <w:rFonts w:cs="Times New Roman"/>
                <w:color w:val="auto"/>
                <w:szCs w:val="24"/>
                <w:u w:val="single"/>
              </w:rPr>
            </w:pPr>
            <w:r>
              <w:rPr>
                <w:rFonts w:hint="eastAsia" w:cs="Times New Roman"/>
                <w:bCs/>
                <w:color w:val="auto"/>
                <w:szCs w:val="24"/>
              </w:rPr>
              <w:t>茶花变</w:t>
            </w:r>
            <w:r>
              <w:rPr>
                <w:rFonts w:cs="Times New Roman"/>
                <w:bCs/>
                <w:color w:val="auto"/>
                <w:szCs w:val="24"/>
              </w:rPr>
              <w:t>电站间隔扩建施工工程量较小，施工的施工机械设备也很少，设备材料的运输量小，且主要集中在昼间施工，施工噪声具有短暂性，在施工机械停运或施工结束后，施工噪声影响即消失，故对声环境影响较小。</w:t>
            </w:r>
            <w:r>
              <w:rPr>
                <w:rFonts w:hint="eastAsia" w:cs="Times New Roman"/>
                <w:bCs/>
                <w:color w:val="auto"/>
                <w:szCs w:val="24"/>
              </w:rPr>
              <w:t>茶花变</w:t>
            </w:r>
            <w:r>
              <w:rPr>
                <w:rFonts w:cs="Times New Roman"/>
                <w:bCs/>
                <w:color w:val="auto"/>
                <w:szCs w:val="24"/>
              </w:rPr>
              <w:t>电站</w:t>
            </w:r>
            <w:r>
              <w:rPr>
                <w:rFonts w:hint="eastAsia" w:cs="Times New Roman"/>
                <w:bCs/>
                <w:color w:val="auto"/>
                <w:szCs w:val="24"/>
              </w:rPr>
              <w:t>与</w:t>
            </w:r>
            <w:r>
              <w:rPr>
                <w:rFonts w:cs="Times New Roman"/>
                <w:bCs/>
                <w:color w:val="auto"/>
                <w:szCs w:val="24"/>
              </w:rPr>
              <w:t>附近</w:t>
            </w:r>
            <w:r>
              <w:rPr>
                <w:rFonts w:hint="eastAsia" w:cs="Times New Roman"/>
                <w:bCs/>
                <w:color w:val="auto"/>
                <w:szCs w:val="24"/>
              </w:rPr>
              <w:t>无</w:t>
            </w:r>
            <w:r>
              <w:rPr>
                <w:rFonts w:cs="Times New Roman"/>
                <w:bCs/>
                <w:color w:val="auto"/>
                <w:szCs w:val="24"/>
              </w:rPr>
              <w:t>声环境敏感目标。</w:t>
            </w:r>
          </w:p>
          <w:p>
            <w:pPr>
              <w:ind w:firstLine="482"/>
              <w:rPr>
                <w:rFonts w:cs="Times New Roman"/>
                <w:b/>
                <w:bCs/>
                <w:color w:val="auto"/>
                <w:szCs w:val="24"/>
              </w:rPr>
            </w:pPr>
            <w:r>
              <w:rPr>
                <w:rFonts w:cs="Times New Roman"/>
                <w:b/>
                <w:bCs/>
                <w:color w:val="auto"/>
                <w:szCs w:val="24"/>
              </w:rPr>
              <w:t>5、施工期固体废物影响分析</w:t>
            </w:r>
          </w:p>
          <w:p>
            <w:pPr>
              <w:ind w:firstLine="480"/>
              <w:rPr>
                <w:rFonts w:cs="Times New Roman"/>
                <w:bCs/>
                <w:color w:val="auto"/>
                <w:szCs w:val="24"/>
              </w:rPr>
            </w:pPr>
            <w:r>
              <w:rPr>
                <w:rFonts w:cs="Times New Roman"/>
                <w:bCs/>
                <w:color w:val="auto"/>
                <w:szCs w:val="24"/>
              </w:rPr>
              <w:t>施工期间所产生的固体废物主要有施工人员产生的生活垃圾、线路塔基开挖、线路拆除的导线、杆塔、绝缘子等材料等。</w:t>
            </w:r>
          </w:p>
          <w:p>
            <w:pPr>
              <w:ind w:firstLine="480"/>
              <w:rPr>
                <w:rFonts w:cs="Times New Roman"/>
                <w:bCs/>
                <w:color w:val="auto"/>
                <w:szCs w:val="24"/>
              </w:rPr>
            </w:pPr>
            <w:r>
              <w:rPr>
                <w:rFonts w:hint="eastAsia" w:cs="Times New Roman"/>
                <w:bCs/>
                <w:color w:val="auto"/>
                <w:szCs w:val="24"/>
              </w:rPr>
              <w:t>茶花变</w:t>
            </w:r>
            <w:r>
              <w:rPr>
                <w:rFonts w:cs="Times New Roman"/>
                <w:bCs/>
                <w:color w:val="auto"/>
                <w:szCs w:val="24"/>
              </w:rPr>
              <w:t>电站扩建间隔施工期间施工人员产生的生活垃圾、废弃建筑材料等，能回收的由施工单位统一收集后，交由建设单位回收处理，不能回收的交由环卫部门清运处理；基础工程开挖产生的少量土石方后期用作站内绿化覆土。</w:t>
            </w:r>
          </w:p>
          <w:p>
            <w:pPr>
              <w:ind w:firstLine="480"/>
              <w:rPr>
                <w:rFonts w:cs="Times New Roman"/>
                <w:bCs/>
                <w:color w:val="auto"/>
                <w:szCs w:val="24"/>
              </w:rPr>
            </w:pPr>
            <w:r>
              <w:rPr>
                <w:rFonts w:cs="Times New Roman"/>
                <w:bCs/>
                <w:color w:val="auto"/>
                <w:szCs w:val="24"/>
              </w:rPr>
              <w:t>输电线路施工属移动式施工方式，施工人员较少，施工人员可居住在租住在沿线村庄内，产生的生活垃圾经集中收集后运送至附近的垃圾收集点，由环卫部门统一处理。线路施工过程中拆除的导线、杆塔、绝缘子等材料由建设单位统一回收，架空线路塔基开挖产生的弃土弃渣，在施工后期全部用于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spacing w:line="240" w:lineRule="auto"/>
              <w:ind w:firstLine="0" w:firstLineChars="0"/>
              <w:jc w:val="center"/>
              <w:rPr>
                <w:rFonts w:cs="Times New Roman"/>
                <w:color w:val="auto"/>
                <w:szCs w:val="24"/>
              </w:rPr>
            </w:pPr>
            <w:r>
              <w:rPr>
                <w:rFonts w:cs="Times New Roman"/>
                <w:color w:val="auto"/>
                <w:szCs w:val="24"/>
              </w:rPr>
              <w:t>运营期生态环境影响分析</w:t>
            </w:r>
          </w:p>
        </w:tc>
        <w:tc>
          <w:tcPr>
            <w:tcW w:w="4694" w:type="pct"/>
          </w:tcPr>
          <w:p>
            <w:pPr>
              <w:ind w:firstLine="482"/>
              <w:rPr>
                <w:rFonts w:cs="Times New Roman"/>
                <w:b/>
                <w:bCs/>
                <w:color w:val="auto"/>
                <w:szCs w:val="24"/>
              </w:rPr>
            </w:pPr>
            <w:r>
              <w:rPr>
                <w:rFonts w:cs="Times New Roman"/>
                <w:b/>
                <w:bCs/>
                <w:color w:val="auto"/>
                <w:szCs w:val="24"/>
              </w:rPr>
              <w:t>1、生态环境影响分析</w:t>
            </w:r>
          </w:p>
          <w:p>
            <w:pPr>
              <w:ind w:firstLine="480"/>
              <w:rPr>
                <w:rFonts w:cs="Times New Roman"/>
                <w:color w:val="auto"/>
                <w:szCs w:val="24"/>
              </w:rPr>
            </w:pPr>
            <w:r>
              <w:rPr>
                <w:rFonts w:hint="eastAsia" w:cs="Times New Roman"/>
                <w:color w:val="auto"/>
                <w:szCs w:val="24"/>
              </w:rPr>
              <w:t>输变电项目在运行期内，对灌丛、草地植被等植物资源基本没有影响。项目运行期间，根据相关规定，需对导线下方与树木垂直距离小于 4m 树木的树冠进行定期修剪，以保证输电线路导线与林区树木之间一定的垂直距离，满足输电线路正常运行的需要。本项目线路在前期设计中已考虑沿线主要乔木的自然生长高度，并对经过的林区采取高跨方式通过，同时由于本项目线路大部分位于丘陵及山地区域，铁塔塔位一般选择在山腰、山脊或山顶，因地形的自然高差，线路导线最大弧垂对主要乔木自然生长高度的垂直距离一般可超过4m 的安全要求，运行期不需要大量砍伐线路走廊下方的乔木，仅需对少数特别高大的乔木的树冠顶端进行修剪，且定期剪修乔木的量很少。因此可以预测，项目运行期需砍伐树木的量很少，主要为定期的少量修剪，项目运行期对森林植物群落组成和结构影响微弱，不会促使植物群落的演替发生改变。</w:t>
            </w:r>
          </w:p>
          <w:p>
            <w:pPr>
              <w:ind w:firstLine="480"/>
              <w:rPr>
                <w:rFonts w:cs="Times New Roman"/>
                <w:color w:val="auto"/>
                <w:szCs w:val="24"/>
              </w:rPr>
            </w:pPr>
            <w:r>
              <w:rPr>
                <w:rFonts w:cs="Times New Roman"/>
                <w:bCs/>
                <w:color w:val="auto"/>
                <w:szCs w:val="24"/>
              </w:rPr>
              <w:t>工程运营期工作人员定期对输电线路进行巡视和维护时，对区域植被和野生动物有一定影响，但巡视和维护为间歇性工作，相比施工时人员队伍的规模和作业量，巡视及维护所需的工作人员较少，作业量较小，且影响时间短，因此工程运营期对区域生态环境影响很小。</w:t>
            </w:r>
          </w:p>
          <w:p>
            <w:pPr>
              <w:ind w:firstLine="482"/>
              <w:rPr>
                <w:rFonts w:cs="Times New Roman"/>
                <w:b/>
                <w:bCs/>
                <w:color w:val="auto"/>
                <w:szCs w:val="24"/>
              </w:rPr>
            </w:pPr>
            <w:r>
              <w:rPr>
                <w:rFonts w:cs="Times New Roman"/>
                <w:b/>
                <w:bCs/>
                <w:color w:val="auto"/>
                <w:szCs w:val="24"/>
              </w:rPr>
              <w:t>2、电磁环境影响分析</w:t>
            </w:r>
          </w:p>
          <w:p>
            <w:pPr>
              <w:ind w:firstLine="482"/>
              <w:rPr>
                <w:rFonts w:cs="Times New Roman"/>
                <w:b/>
                <w:bCs/>
                <w:color w:val="auto"/>
                <w:szCs w:val="24"/>
              </w:rPr>
            </w:pPr>
            <w:r>
              <w:rPr>
                <w:rFonts w:cs="Times New Roman"/>
                <w:b/>
                <w:bCs/>
                <w:color w:val="auto"/>
                <w:szCs w:val="24"/>
              </w:rPr>
              <w:t>（1）架空线路电磁影响分析</w:t>
            </w:r>
          </w:p>
          <w:p>
            <w:pPr>
              <w:ind w:firstLine="480"/>
              <w:rPr>
                <w:rFonts w:cs="Times New Roman"/>
                <w:color w:val="auto"/>
                <w:szCs w:val="24"/>
              </w:rPr>
            </w:pPr>
            <w:r>
              <w:rPr>
                <w:rFonts w:cs="Times New Roman"/>
                <w:bCs/>
                <w:color w:val="auto"/>
                <w:szCs w:val="24"/>
              </w:rPr>
              <w:t>通过理论计算分析，当导线经过非居民区对地最低高度为</w:t>
            </w:r>
            <w:r>
              <w:rPr>
                <w:rFonts w:hint="eastAsia" w:cs="Times New Roman"/>
                <w:bCs/>
                <w:color w:val="auto"/>
                <w:szCs w:val="24"/>
              </w:rPr>
              <w:t>6</w:t>
            </w:r>
            <w:r>
              <w:rPr>
                <w:rFonts w:cs="Times New Roman"/>
                <w:bCs/>
                <w:color w:val="auto"/>
                <w:szCs w:val="24"/>
              </w:rPr>
              <w:t>.5m</w:t>
            </w:r>
            <w:r>
              <w:rPr>
                <w:rFonts w:hint="eastAsia" w:cs="Times New Roman"/>
                <w:bCs/>
                <w:color w:val="auto"/>
                <w:szCs w:val="24"/>
              </w:rPr>
              <w:t>、</w:t>
            </w:r>
            <w:r>
              <w:rPr>
                <w:rFonts w:cs="Times New Roman"/>
                <w:bCs/>
                <w:color w:val="auto"/>
                <w:szCs w:val="24"/>
              </w:rPr>
              <w:t>居民区对地最低高度</w:t>
            </w:r>
            <w:r>
              <w:rPr>
                <w:rFonts w:hint="eastAsia" w:cs="Times New Roman"/>
                <w:bCs/>
                <w:color w:val="auto"/>
                <w:szCs w:val="24"/>
              </w:rPr>
              <w:t>7.5m时，</w:t>
            </w:r>
            <w:r>
              <w:rPr>
                <w:rFonts w:cs="Times New Roman"/>
                <w:bCs/>
                <w:color w:val="auto"/>
                <w:szCs w:val="24"/>
              </w:rPr>
              <w:t>地面1.5m高处，项目</w:t>
            </w:r>
            <w:r>
              <w:rPr>
                <w:rFonts w:hint="eastAsia" w:cs="Times New Roman"/>
                <w:bCs/>
                <w:color w:val="auto"/>
                <w:szCs w:val="24"/>
              </w:rPr>
              <w:t>220kV</w:t>
            </w:r>
            <w:r>
              <w:rPr>
                <w:rFonts w:cs="Times New Roman"/>
                <w:bCs/>
                <w:color w:val="auto"/>
                <w:szCs w:val="24"/>
              </w:rPr>
              <w:t>架空输电线路附近电场强度</w:t>
            </w:r>
            <w:r>
              <w:rPr>
                <w:rFonts w:hint="eastAsia" w:cs="Times New Roman"/>
                <w:bCs/>
                <w:color w:val="auto"/>
                <w:szCs w:val="24"/>
              </w:rPr>
              <w:t>、</w:t>
            </w:r>
            <w:r>
              <w:rPr>
                <w:rFonts w:cs="Times New Roman"/>
                <w:bCs/>
                <w:color w:val="auto"/>
                <w:szCs w:val="24"/>
              </w:rPr>
              <w:t>磁感应强度满足</w:t>
            </w:r>
            <w:r>
              <w:rPr>
                <w:rFonts w:cs="Times New Roman"/>
                <w:bCs/>
                <w:color w:val="auto"/>
                <w:szCs w:val="24"/>
                <w:lang w:val="fr-FR"/>
              </w:rPr>
              <w:t>《电磁环境控制限值》（GB8702-2014）</w:t>
            </w:r>
            <w:r>
              <w:rPr>
                <w:rFonts w:cs="Times New Roman"/>
                <w:bCs/>
                <w:color w:val="auto"/>
                <w:szCs w:val="24"/>
              </w:rPr>
              <w:t>工频磁感应强度小于100μT</w:t>
            </w:r>
            <w:r>
              <w:rPr>
                <w:rFonts w:cs="Times New Roman"/>
                <w:bCs/>
                <w:color w:val="auto"/>
                <w:szCs w:val="24"/>
                <w:lang w:val="fr-FR"/>
              </w:rPr>
              <w:t>公众曝露控制限值要求</w:t>
            </w:r>
            <w:r>
              <w:rPr>
                <w:rFonts w:hint="eastAsia" w:cs="Times New Roman"/>
                <w:bCs/>
                <w:color w:val="auto"/>
                <w:szCs w:val="24"/>
                <w:lang w:val="fr-FR"/>
              </w:rPr>
              <w:t>和</w:t>
            </w:r>
            <w:r>
              <w:rPr>
                <w:rFonts w:cs="Times New Roman"/>
                <w:bCs/>
                <w:color w:val="auto"/>
                <w:szCs w:val="24"/>
              </w:rPr>
              <w:t>架空输电线路线下的耕地、果园、牧草地、畜禽养殖地、养殖水面、道路等场所电场强度小于10 kV/m要求，不</w:t>
            </w:r>
            <w:r>
              <w:rPr>
                <w:rFonts w:hint="eastAsia" w:cs="Times New Roman"/>
                <w:bCs/>
                <w:color w:val="auto"/>
                <w:szCs w:val="24"/>
              </w:rPr>
              <w:t>能满足工频电场强度4000V/m公众暴露控制限值要求。在经过居民区时线路抬升至9.0m，可满足《电磁环境控制限值》（GB8702-2014）工频电场强度4000V/m公众暴露控制限值要求。</w:t>
            </w:r>
          </w:p>
          <w:p>
            <w:pPr>
              <w:ind w:firstLine="480"/>
              <w:rPr>
                <w:rFonts w:cs="Times New Roman"/>
                <w:color w:val="auto"/>
                <w:szCs w:val="24"/>
              </w:rPr>
            </w:pPr>
            <w:r>
              <w:rPr>
                <w:rFonts w:hint="eastAsia" w:cs="Times New Roman"/>
                <w:color w:val="auto"/>
                <w:szCs w:val="24"/>
              </w:rPr>
              <w:t>根据预测结果可知，项目线路附近环境敏感目工频电场强度及工频磁感应强度满足《电磁环境控制限值》（GB8702-2014）工频电场强度4000V/m、工频磁感应强度100μT的公众暴露控制限值要求。</w:t>
            </w:r>
          </w:p>
          <w:p>
            <w:pPr>
              <w:ind w:firstLine="482"/>
              <w:rPr>
                <w:rFonts w:cs="Times New Roman"/>
                <w:b/>
                <w:bCs/>
                <w:color w:val="auto"/>
                <w:szCs w:val="24"/>
              </w:rPr>
            </w:pPr>
            <w:r>
              <w:rPr>
                <w:rFonts w:cs="Times New Roman"/>
                <w:b/>
                <w:bCs/>
                <w:color w:val="auto"/>
                <w:szCs w:val="24"/>
              </w:rPr>
              <w:t>（</w:t>
            </w:r>
            <w:r>
              <w:rPr>
                <w:rFonts w:hint="eastAsia" w:cs="Times New Roman"/>
                <w:b/>
                <w:bCs/>
                <w:color w:val="auto"/>
                <w:szCs w:val="24"/>
              </w:rPr>
              <w:t>2</w:t>
            </w:r>
            <w:r>
              <w:rPr>
                <w:rFonts w:cs="Times New Roman"/>
                <w:b/>
                <w:bCs/>
                <w:color w:val="auto"/>
                <w:szCs w:val="24"/>
              </w:rPr>
              <w:t>）扩建间隔电磁影响分析</w:t>
            </w:r>
          </w:p>
          <w:p>
            <w:pPr>
              <w:ind w:firstLine="480"/>
              <w:rPr>
                <w:rFonts w:cs="Times New Roman"/>
                <w:bCs/>
                <w:color w:val="auto"/>
                <w:szCs w:val="24"/>
              </w:rPr>
            </w:pPr>
            <w:r>
              <w:rPr>
                <w:rFonts w:hint="eastAsia" w:cs="Times New Roman"/>
                <w:bCs/>
                <w:color w:val="auto"/>
                <w:szCs w:val="24"/>
              </w:rPr>
              <w:t>茶花变</w:t>
            </w:r>
            <w:r>
              <w:rPr>
                <w:rFonts w:cs="Times New Roman"/>
                <w:bCs/>
                <w:color w:val="auto"/>
                <w:szCs w:val="24"/>
              </w:rPr>
              <w:t>电站本期仅扩建</w:t>
            </w:r>
            <w:r>
              <w:rPr>
                <w:rFonts w:hint="eastAsia" w:cs="Times New Roman"/>
                <w:bCs/>
                <w:color w:val="auto"/>
                <w:szCs w:val="24"/>
              </w:rPr>
              <w:t>220kV</w:t>
            </w:r>
            <w:r>
              <w:rPr>
                <w:rFonts w:cs="Times New Roman"/>
                <w:bCs/>
                <w:color w:val="auto"/>
                <w:szCs w:val="24"/>
              </w:rPr>
              <w:t xml:space="preserve"> 出线间隔 1 个，本期间隔扩建只在站内已有场地上安装配套的电气设备，不会改变站内的主变、母线等主要电气设备及设施，与前期工程相比不会增加站区周围工频电场、工频磁场，基本维持现状水平。因此间隔扩建完成后，站界外的工频电场强度和工频磁感应强度仍满足相应的限值要求。</w:t>
            </w:r>
          </w:p>
          <w:p>
            <w:pPr>
              <w:ind w:firstLine="482"/>
              <w:rPr>
                <w:rFonts w:cs="Times New Roman"/>
                <w:b/>
                <w:bCs/>
                <w:color w:val="auto"/>
                <w:szCs w:val="24"/>
              </w:rPr>
            </w:pPr>
            <w:r>
              <w:rPr>
                <w:rFonts w:hint="eastAsia" w:cs="Times New Roman"/>
                <w:b/>
                <w:bCs/>
                <w:color w:val="auto"/>
                <w:szCs w:val="24"/>
              </w:rPr>
              <w:t>（3）并行线路及交叉跨越环境影响分析</w:t>
            </w:r>
          </w:p>
          <w:p>
            <w:pPr>
              <w:ind w:firstLine="480"/>
              <w:rPr>
                <w:rFonts w:cs="Times New Roman"/>
                <w:bCs/>
                <w:color w:val="auto"/>
                <w:szCs w:val="24"/>
              </w:rPr>
            </w:pPr>
            <w:r>
              <w:rPr>
                <w:rFonts w:hint="eastAsia" w:cs="Times New Roman"/>
                <w:bCs/>
                <w:color w:val="auto"/>
                <w:szCs w:val="24"/>
              </w:rPr>
              <w:t>本项目输电线路钻、跨越其他输电线路时，将按照相关设计技术规范的要求留有足够的净空距离，对原有的输电线路运行无影响，且由于交叉跨越点的输电线路一般架线较高，地面工频场强水平较低，输电线路交叉跨越时地面工频电场强度主要是由最下层导线的电压等级和对地高度决定的，工频电场强度产生的叠加影响很小。</w:t>
            </w:r>
          </w:p>
          <w:p>
            <w:pPr>
              <w:ind w:firstLine="480"/>
              <w:rPr>
                <w:rFonts w:cs="Times New Roman"/>
                <w:bCs/>
                <w:color w:val="auto"/>
                <w:szCs w:val="24"/>
              </w:rPr>
            </w:pPr>
            <w:r>
              <w:rPr>
                <w:rFonts w:cs="Times New Roman"/>
                <w:bCs/>
                <w:color w:val="auto"/>
                <w:szCs w:val="24"/>
              </w:rPr>
              <w:t>电磁辐射影响分析详见电磁环境影响专题报告。</w:t>
            </w:r>
          </w:p>
          <w:p>
            <w:pPr>
              <w:ind w:firstLine="482"/>
              <w:rPr>
                <w:rFonts w:cs="Times New Roman"/>
                <w:b/>
                <w:bCs/>
                <w:color w:val="auto"/>
                <w:szCs w:val="24"/>
              </w:rPr>
            </w:pPr>
            <w:r>
              <w:rPr>
                <w:rFonts w:cs="Times New Roman"/>
                <w:b/>
                <w:bCs/>
                <w:color w:val="auto"/>
                <w:szCs w:val="24"/>
              </w:rPr>
              <w:t>2、噪声环境影响分析</w:t>
            </w:r>
          </w:p>
          <w:p>
            <w:pPr>
              <w:ind w:firstLine="482"/>
              <w:rPr>
                <w:rFonts w:cs="Times New Roman"/>
                <w:b/>
                <w:bCs/>
                <w:color w:val="auto"/>
                <w:szCs w:val="24"/>
              </w:rPr>
            </w:pPr>
            <w:r>
              <w:rPr>
                <w:rFonts w:cs="Times New Roman"/>
                <w:b/>
                <w:bCs/>
                <w:color w:val="auto"/>
                <w:szCs w:val="24"/>
              </w:rPr>
              <w:t>（1）架空线路</w:t>
            </w:r>
          </w:p>
          <w:p>
            <w:pPr>
              <w:ind w:firstLine="480"/>
              <w:rPr>
                <w:rFonts w:cs="Times New Roman"/>
                <w:bCs/>
                <w:color w:val="auto"/>
                <w:szCs w:val="24"/>
              </w:rPr>
            </w:pPr>
            <w:r>
              <w:rPr>
                <w:rFonts w:hint="eastAsia" w:cs="Times New Roman"/>
                <w:bCs/>
                <w:color w:val="auto"/>
                <w:szCs w:val="24"/>
              </w:rPr>
              <w:t>项目</w:t>
            </w:r>
            <w:r>
              <w:rPr>
                <w:rFonts w:cs="Times New Roman"/>
                <w:bCs/>
                <w:color w:val="auto"/>
                <w:szCs w:val="24"/>
              </w:rPr>
              <w:t xml:space="preserve">架空输电线路投入运营后，噪声源主要是 </w:t>
            </w:r>
            <w:r>
              <w:rPr>
                <w:rFonts w:hint="eastAsia" w:cs="Times New Roman"/>
                <w:bCs/>
                <w:color w:val="auto"/>
                <w:szCs w:val="24"/>
              </w:rPr>
              <w:t>22</w:t>
            </w:r>
            <w:r>
              <w:rPr>
                <w:rFonts w:cs="Times New Roman"/>
                <w:bCs/>
                <w:color w:val="auto"/>
                <w:szCs w:val="24"/>
              </w:rPr>
              <w:t>0kV 高压线的电晕放电而引起的无规则噪声以及送电线路的电荷运动产生的交流声，同时因高空风速大，线路振动发出一些风鸣声。</w:t>
            </w:r>
          </w:p>
          <w:p>
            <w:pPr>
              <w:ind w:firstLine="480"/>
              <w:rPr>
                <w:rFonts w:cs="Times New Roman"/>
                <w:bCs/>
                <w:color w:val="auto"/>
                <w:szCs w:val="24"/>
              </w:rPr>
            </w:pPr>
            <w:r>
              <w:rPr>
                <w:rFonts w:cs="Times New Roman"/>
                <w:bCs/>
                <w:color w:val="auto"/>
                <w:szCs w:val="24"/>
              </w:rPr>
              <w:t>本</w:t>
            </w:r>
            <w:r>
              <w:rPr>
                <w:rFonts w:hint="eastAsia" w:cs="Times New Roman"/>
                <w:bCs/>
                <w:color w:val="auto"/>
                <w:szCs w:val="24"/>
              </w:rPr>
              <w:t>项目</w:t>
            </w:r>
            <w:r>
              <w:rPr>
                <w:rFonts w:cs="Times New Roman"/>
                <w:bCs/>
                <w:color w:val="auto"/>
                <w:szCs w:val="24"/>
              </w:rPr>
              <w:t>全线按单回路设计，本工程</w:t>
            </w:r>
            <w:r>
              <w:rPr>
                <w:rFonts w:hint="eastAsia" w:cs="Times New Roman"/>
                <w:bCs/>
                <w:color w:val="auto"/>
                <w:szCs w:val="24"/>
              </w:rPr>
              <w:t>22</w:t>
            </w:r>
            <w:r>
              <w:rPr>
                <w:rFonts w:cs="Times New Roman"/>
                <w:bCs/>
                <w:color w:val="auto"/>
                <w:szCs w:val="24"/>
              </w:rPr>
              <w:t>0kV 送出线路运行期声环境影响采用类比分析进行声环境影响分析。</w:t>
            </w:r>
          </w:p>
          <w:p>
            <w:pPr>
              <w:ind w:firstLine="480"/>
              <w:rPr>
                <w:rFonts w:cs="Times New Roman"/>
                <w:bCs/>
                <w:color w:val="auto"/>
                <w:szCs w:val="24"/>
              </w:rPr>
            </w:pPr>
            <w:r>
              <w:rPr>
                <w:rFonts w:cs="Times New Roman"/>
                <w:bCs/>
                <w:color w:val="auto"/>
                <w:szCs w:val="24"/>
              </w:rPr>
              <w:t>本项目架空输电线路噪声影响分析类比对象为《</w:t>
            </w:r>
            <w:r>
              <w:rPr>
                <w:rFonts w:hint="eastAsia" w:cs="Times New Roman"/>
                <w:bCs/>
                <w:color w:val="auto"/>
                <w:szCs w:val="24"/>
              </w:rPr>
              <w:t>华润洛浦220千伏升压站汇集站及220千伏配套送出工程（220千伏配套送出部分）》220kV 送出线路架空路段</w:t>
            </w:r>
            <w:r>
              <w:rPr>
                <w:rFonts w:cs="Times New Roman"/>
                <w:bCs/>
                <w:color w:val="auto"/>
                <w:szCs w:val="24"/>
              </w:rPr>
              <w:t>，类比</w:t>
            </w:r>
            <w:r>
              <w:rPr>
                <w:rFonts w:hint="eastAsia" w:cs="Times New Roman"/>
                <w:bCs/>
                <w:color w:val="auto"/>
                <w:szCs w:val="24"/>
              </w:rPr>
              <w:t>线路</w:t>
            </w:r>
            <w:r>
              <w:rPr>
                <w:rFonts w:cs="Times New Roman"/>
                <w:bCs/>
                <w:color w:val="auto"/>
                <w:szCs w:val="24"/>
              </w:rPr>
              <w:t>与本工程主要指标对比见表 4-</w:t>
            </w:r>
            <w:r>
              <w:rPr>
                <w:rFonts w:hint="eastAsia" w:cs="Times New Roman"/>
                <w:bCs/>
                <w:color w:val="auto"/>
                <w:szCs w:val="24"/>
              </w:rPr>
              <w:t>3</w:t>
            </w:r>
            <w:r>
              <w:rPr>
                <w:rFonts w:cs="Times New Roman"/>
                <w:bCs/>
                <w:color w:val="auto"/>
                <w:szCs w:val="24"/>
              </w:rPr>
              <w:t>。</w:t>
            </w:r>
          </w:p>
          <w:p>
            <w:pPr>
              <w:spacing w:line="240" w:lineRule="auto"/>
              <w:ind w:firstLine="422"/>
              <w:jc w:val="center"/>
              <w:rPr>
                <w:rFonts w:cs="Times New Roman"/>
                <w:b/>
                <w:bCs/>
                <w:color w:val="auto"/>
                <w:sz w:val="21"/>
                <w:szCs w:val="21"/>
              </w:rPr>
            </w:pPr>
            <w:r>
              <w:rPr>
                <w:rFonts w:cs="Times New Roman"/>
                <w:b/>
                <w:bCs/>
                <w:color w:val="auto"/>
                <w:sz w:val="21"/>
                <w:szCs w:val="21"/>
              </w:rPr>
              <w:t>表4-</w:t>
            </w:r>
            <w:r>
              <w:rPr>
                <w:rFonts w:hint="eastAsia" w:cs="Times New Roman"/>
                <w:b/>
                <w:bCs/>
                <w:color w:val="auto"/>
                <w:sz w:val="21"/>
                <w:szCs w:val="21"/>
              </w:rPr>
              <w:t>3</w:t>
            </w:r>
            <w:r>
              <w:rPr>
                <w:rFonts w:cs="Times New Roman"/>
                <w:b/>
                <w:bCs/>
                <w:color w:val="auto"/>
                <w:sz w:val="21"/>
                <w:szCs w:val="21"/>
              </w:rPr>
              <w:t>类比工程与本工程对比分析</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3179"/>
              <w:gridCol w:w="218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类比项目</w:t>
                  </w:r>
                </w:p>
              </w:tc>
              <w:tc>
                <w:tcPr>
                  <w:tcW w:w="199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本工程</w:t>
                  </w:r>
                </w:p>
              </w:tc>
              <w:tc>
                <w:tcPr>
                  <w:tcW w:w="1374" w:type="pct"/>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类比项目</w:t>
                  </w:r>
                  <w:r>
                    <w:rPr>
                      <w:rFonts w:cs="Times New Roman"/>
                      <w:bCs/>
                      <w:color w:val="auto"/>
                      <w:sz w:val="21"/>
                      <w:szCs w:val="21"/>
                    </w:rPr>
                    <w:t xml:space="preserve"> </w:t>
                  </w:r>
                </w:p>
              </w:tc>
              <w:tc>
                <w:tcPr>
                  <w:tcW w:w="936"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电压等级</w:t>
                  </w:r>
                </w:p>
              </w:tc>
              <w:tc>
                <w:tcPr>
                  <w:tcW w:w="1997" w:type="pct"/>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22</w:t>
                  </w:r>
                  <w:r>
                    <w:rPr>
                      <w:rFonts w:cs="Times New Roman"/>
                      <w:bCs/>
                      <w:color w:val="auto"/>
                      <w:sz w:val="21"/>
                      <w:szCs w:val="21"/>
                    </w:rPr>
                    <w:t>0kV</w:t>
                  </w:r>
                </w:p>
              </w:tc>
              <w:tc>
                <w:tcPr>
                  <w:tcW w:w="1374" w:type="pct"/>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22</w:t>
                  </w:r>
                  <w:r>
                    <w:rPr>
                      <w:rFonts w:cs="Times New Roman"/>
                      <w:bCs/>
                      <w:color w:val="auto"/>
                      <w:sz w:val="21"/>
                      <w:szCs w:val="21"/>
                    </w:rPr>
                    <w:t>0kV</w:t>
                  </w:r>
                </w:p>
              </w:tc>
              <w:tc>
                <w:tcPr>
                  <w:tcW w:w="936"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架设方式</w:t>
                  </w:r>
                </w:p>
              </w:tc>
              <w:tc>
                <w:tcPr>
                  <w:tcW w:w="199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架空</w:t>
                  </w:r>
                </w:p>
              </w:tc>
              <w:tc>
                <w:tcPr>
                  <w:tcW w:w="1374"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架空</w:t>
                  </w:r>
                </w:p>
              </w:tc>
              <w:tc>
                <w:tcPr>
                  <w:tcW w:w="936"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架设回路</w:t>
                  </w:r>
                </w:p>
              </w:tc>
              <w:tc>
                <w:tcPr>
                  <w:tcW w:w="1997"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单回路</w:t>
                  </w:r>
                </w:p>
              </w:tc>
              <w:tc>
                <w:tcPr>
                  <w:tcW w:w="1374"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单回路</w:t>
                  </w:r>
                </w:p>
              </w:tc>
              <w:tc>
                <w:tcPr>
                  <w:tcW w:w="936"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导线类型</w:t>
                  </w:r>
                </w:p>
              </w:tc>
              <w:tc>
                <w:tcPr>
                  <w:tcW w:w="1997"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w:t>
                  </w:r>
                  <w:r>
                    <w:rPr>
                      <w:rFonts w:cs="Times New Roman"/>
                      <w:color w:val="auto"/>
                      <w:sz w:val="21"/>
                      <w:szCs w:val="21"/>
                    </w:rPr>
                    <w:t>JL/LB20A-300/40</w:t>
                  </w:r>
                </w:p>
                <w:p>
                  <w:pPr>
                    <w:spacing w:line="240" w:lineRule="auto"/>
                    <w:ind w:firstLine="0" w:firstLineChars="0"/>
                    <w:jc w:val="center"/>
                    <w:rPr>
                      <w:rFonts w:cs="Times New Roman"/>
                      <w:bCs/>
                      <w:color w:val="auto"/>
                      <w:sz w:val="21"/>
                      <w:szCs w:val="21"/>
                    </w:rPr>
                  </w:pPr>
                  <w:r>
                    <w:rPr>
                      <w:rFonts w:cs="Times New Roman"/>
                      <w:color w:val="auto"/>
                      <w:sz w:val="21"/>
                      <w:szCs w:val="21"/>
                    </w:rPr>
                    <w:t>钢芯铝绞线</w:t>
                  </w:r>
                </w:p>
              </w:tc>
              <w:tc>
                <w:tcPr>
                  <w:tcW w:w="1374"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2×</w:t>
                  </w:r>
                  <w:r>
                    <w:rPr>
                      <w:rFonts w:cs="Times New Roman"/>
                      <w:color w:val="auto"/>
                      <w:sz w:val="21"/>
                      <w:szCs w:val="21"/>
                    </w:rPr>
                    <w:t>JL/G1A-</w:t>
                  </w:r>
                  <w:r>
                    <w:rPr>
                      <w:rFonts w:hint="eastAsia" w:cs="Times New Roman"/>
                      <w:color w:val="auto"/>
                      <w:sz w:val="21"/>
                      <w:szCs w:val="21"/>
                    </w:rPr>
                    <w:t>630</w:t>
                  </w:r>
                  <w:r>
                    <w:rPr>
                      <w:rFonts w:cs="Times New Roman"/>
                      <w:color w:val="auto"/>
                      <w:sz w:val="21"/>
                      <w:szCs w:val="21"/>
                    </w:rPr>
                    <w:t>/4</w:t>
                  </w:r>
                  <w:r>
                    <w:rPr>
                      <w:rFonts w:hint="eastAsia" w:cs="Times New Roman"/>
                      <w:color w:val="auto"/>
                      <w:sz w:val="21"/>
                      <w:szCs w:val="21"/>
                    </w:rPr>
                    <w:t>5</w:t>
                  </w:r>
                </w:p>
                <w:p>
                  <w:pPr>
                    <w:spacing w:line="240" w:lineRule="auto"/>
                    <w:ind w:firstLine="0" w:firstLineChars="0"/>
                    <w:jc w:val="center"/>
                    <w:rPr>
                      <w:rFonts w:cs="Times New Roman"/>
                      <w:bCs/>
                      <w:color w:val="auto"/>
                      <w:sz w:val="21"/>
                      <w:szCs w:val="21"/>
                    </w:rPr>
                  </w:pPr>
                  <w:r>
                    <w:rPr>
                      <w:rFonts w:cs="Times New Roman"/>
                      <w:color w:val="auto"/>
                      <w:sz w:val="21"/>
                      <w:szCs w:val="21"/>
                    </w:rPr>
                    <w:t>钢芯铝绞线</w:t>
                  </w:r>
                </w:p>
              </w:tc>
              <w:tc>
                <w:tcPr>
                  <w:tcW w:w="936" w:type="pct"/>
                  <w:vAlign w:val="center"/>
                </w:tcPr>
                <w:p>
                  <w:pPr>
                    <w:spacing w:line="240" w:lineRule="auto"/>
                    <w:ind w:firstLine="0" w:firstLineChars="0"/>
                    <w:jc w:val="center"/>
                    <w:rPr>
                      <w:rFonts w:cs="Times New Roman"/>
                      <w:color w:val="auto"/>
                      <w:sz w:val="21"/>
                      <w:szCs w:val="21"/>
                    </w:rPr>
                  </w:pPr>
                  <w:r>
                    <w:rPr>
                      <w:rFonts w:hint="eastAsia" w:cs="Times New Roman"/>
                      <w:color w:val="auto"/>
                      <w:sz w:val="21"/>
                      <w:szCs w:val="21"/>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架线形式</w:t>
                  </w:r>
                </w:p>
              </w:tc>
              <w:tc>
                <w:tcPr>
                  <w:tcW w:w="1997" w:type="pct"/>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三角排列、水平排列</w:t>
                  </w:r>
                </w:p>
              </w:tc>
              <w:tc>
                <w:tcPr>
                  <w:tcW w:w="1374" w:type="pct"/>
                  <w:vAlign w:val="center"/>
                </w:tcPr>
                <w:p>
                  <w:pPr>
                    <w:spacing w:line="240" w:lineRule="auto"/>
                    <w:ind w:firstLine="0" w:firstLineChars="0"/>
                    <w:jc w:val="center"/>
                    <w:rPr>
                      <w:rFonts w:cs="Times New Roman"/>
                      <w:bCs/>
                      <w:color w:val="auto"/>
                      <w:sz w:val="21"/>
                      <w:szCs w:val="21"/>
                    </w:rPr>
                  </w:pPr>
                  <w:r>
                    <w:rPr>
                      <w:rFonts w:hint="eastAsia" w:cs="Times New Roman"/>
                      <w:bCs/>
                      <w:color w:val="auto"/>
                      <w:sz w:val="21"/>
                      <w:szCs w:val="21"/>
                    </w:rPr>
                    <w:t>三角</w:t>
                  </w:r>
                  <w:r>
                    <w:rPr>
                      <w:rFonts w:cs="Times New Roman"/>
                      <w:bCs/>
                      <w:color w:val="auto"/>
                      <w:sz w:val="21"/>
                      <w:szCs w:val="21"/>
                    </w:rPr>
                    <w:t>排列、</w:t>
                  </w:r>
                  <w:r>
                    <w:rPr>
                      <w:rFonts w:hint="eastAsia" w:cs="Times New Roman"/>
                      <w:bCs/>
                      <w:color w:val="auto"/>
                      <w:sz w:val="21"/>
                      <w:szCs w:val="21"/>
                    </w:rPr>
                    <w:t>水平</w:t>
                  </w:r>
                  <w:r>
                    <w:rPr>
                      <w:rFonts w:cs="Times New Roman"/>
                      <w:bCs/>
                      <w:color w:val="auto"/>
                      <w:sz w:val="21"/>
                      <w:szCs w:val="21"/>
                    </w:rPr>
                    <w:t>排列</w:t>
                  </w:r>
                </w:p>
              </w:tc>
              <w:tc>
                <w:tcPr>
                  <w:tcW w:w="936" w:type="pc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相同</w:t>
                  </w:r>
                </w:p>
              </w:tc>
            </w:tr>
          </w:tbl>
          <w:p>
            <w:pPr>
              <w:ind w:firstLine="480"/>
              <w:rPr>
                <w:rFonts w:cs="Times New Roman"/>
                <w:bCs/>
                <w:color w:val="auto"/>
                <w:szCs w:val="24"/>
              </w:rPr>
            </w:pPr>
            <w:r>
              <w:rPr>
                <w:rFonts w:cs="Times New Roman"/>
                <w:bCs/>
                <w:color w:val="auto"/>
                <w:szCs w:val="24"/>
              </w:rPr>
              <w:t>类比对象与本项目新建架空线路的电压等级、架设方式、导线排列方式均相同，导线型号相似，因此类比对象的选择合理，可以通过类比对象的监测结果对本项目投运后产生的声环境进行类比预测。</w:t>
            </w:r>
          </w:p>
          <w:p>
            <w:pPr>
              <w:adjustRightInd w:val="0"/>
              <w:snapToGrid w:val="0"/>
              <w:ind w:firstLine="480"/>
              <w:rPr>
                <w:rFonts w:eastAsia="宋体" w:cs="Times New Roman"/>
                <w:bCs/>
                <w:color w:val="auto"/>
                <w:szCs w:val="24"/>
              </w:rPr>
            </w:pPr>
            <w:r>
              <w:rPr>
                <w:rFonts w:eastAsia="宋体" w:cs="Times New Roman"/>
                <w:bCs/>
                <w:color w:val="auto"/>
                <w:szCs w:val="24"/>
              </w:rPr>
              <w:t>根据</w:t>
            </w:r>
            <w:r>
              <w:rPr>
                <w:rFonts w:cs="Times New Roman"/>
                <w:bCs/>
                <w:color w:val="auto"/>
                <w:szCs w:val="24"/>
              </w:rPr>
              <w:t>《</w:t>
            </w:r>
            <w:r>
              <w:rPr>
                <w:rFonts w:hint="eastAsia" w:cs="Times New Roman"/>
                <w:bCs/>
                <w:color w:val="auto"/>
                <w:szCs w:val="24"/>
              </w:rPr>
              <w:t>华润洛浦220千伏升压站汇集站及220千伏配套送出工程（220千伏配套送出部分）</w:t>
            </w:r>
            <w:r>
              <w:rPr>
                <w:rFonts w:hint="eastAsia" w:eastAsia="宋体" w:cs="Times New Roman"/>
                <w:bCs/>
                <w:color w:val="auto"/>
                <w:szCs w:val="24"/>
              </w:rPr>
              <w:t>竣工环境保护验收调查报告表》（2025年3月），该工程竣工验收监测时间为2025年3月20日，运行工况见下表4-4，监测结果见下表4-5。</w:t>
            </w:r>
          </w:p>
          <w:p>
            <w:pPr>
              <w:adjustRightInd w:val="0"/>
              <w:snapToGrid w:val="0"/>
              <w:spacing w:line="240" w:lineRule="auto"/>
              <w:ind w:firstLine="0" w:firstLineChars="0"/>
              <w:jc w:val="center"/>
              <w:rPr>
                <w:rFonts w:eastAsia="宋体" w:cs="Times New Roman"/>
                <w:b/>
                <w:bCs/>
                <w:color w:val="auto"/>
                <w:sz w:val="21"/>
                <w:szCs w:val="21"/>
              </w:rPr>
            </w:pPr>
            <w:r>
              <w:rPr>
                <w:rFonts w:hint="eastAsia" w:eastAsia="宋体" w:cs="Times New Roman"/>
                <w:b/>
                <w:bCs/>
                <w:color w:val="auto"/>
                <w:sz w:val="21"/>
                <w:szCs w:val="21"/>
              </w:rPr>
              <w:t>表4-4监测时运行工况</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2286"/>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53" w:type="pct"/>
                  <w:vAlign w:val="center"/>
                </w:tcPr>
                <w:p>
                  <w:pPr>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线路名称</w:t>
                  </w:r>
                </w:p>
              </w:tc>
              <w:tc>
                <w:tcPr>
                  <w:tcW w:w="1436" w:type="pct"/>
                  <w:vAlign w:val="center"/>
                </w:tcPr>
                <w:p>
                  <w:pPr>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电压（kV）</w:t>
                  </w:r>
                </w:p>
              </w:tc>
              <w:tc>
                <w:tcPr>
                  <w:tcW w:w="2311" w:type="pct"/>
                  <w:vAlign w:val="center"/>
                </w:tcPr>
                <w:p>
                  <w:pPr>
                    <w:adjustRightIn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电流（A）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3" w:type="pct"/>
                  <w:vAlign w:val="center"/>
                </w:tcPr>
                <w:p>
                  <w:pPr>
                    <w:adjustRightIn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新建220kV</w:t>
                  </w:r>
                  <w:r>
                    <w:rPr>
                      <w:rFonts w:eastAsia="宋体" w:cs="Times New Roman"/>
                      <w:color w:val="auto"/>
                      <w:kern w:val="0"/>
                      <w:sz w:val="21"/>
                      <w:szCs w:val="21"/>
                    </w:rPr>
                    <w:t>线路</w:t>
                  </w:r>
                </w:p>
              </w:tc>
              <w:tc>
                <w:tcPr>
                  <w:tcW w:w="1436" w:type="pct"/>
                  <w:vAlign w:val="center"/>
                </w:tcPr>
                <w:p>
                  <w:pPr>
                    <w:adjustRightIn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235.99~237.20</w:t>
                  </w:r>
                </w:p>
              </w:tc>
              <w:tc>
                <w:tcPr>
                  <w:tcW w:w="2311" w:type="pct"/>
                  <w:vAlign w:val="center"/>
                </w:tcPr>
                <w:p>
                  <w:pPr>
                    <w:adjustRightIn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56.02~56.38</w:t>
                  </w:r>
                </w:p>
              </w:tc>
            </w:tr>
          </w:tbl>
          <w:p>
            <w:pPr>
              <w:adjustRightInd w:val="0"/>
              <w:snapToGrid w:val="0"/>
              <w:spacing w:line="240" w:lineRule="auto"/>
              <w:ind w:firstLine="0" w:firstLineChars="0"/>
              <w:jc w:val="center"/>
              <w:rPr>
                <w:rFonts w:eastAsia="宋体" w:cs="Times New Roman"/>
                <w:b/>
                <w:color w:val="auto"/>
                <w:sz w:val="21"/>
                <w:szCs w:val="21"/>
              </w:rPr>
            </w:pPr>
          </w:p>
          <w:p>
            <w:pPr>
              <w:adjustRightInd w:val="0"/>
              <w:snapToGrid w:val="0"/>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表</w:t>
            </w:r>
            <w:r>
              <w:rPr>
                <w:rFonts w:hint="eastAsia" w:eastAsia="宋体" w:cs="Times New Roman"/>
                <w:b/>
                <w:color w:val="auto"/>
                <w:sz w:val="21"/>
                <w:szCs w:val="21"/>
              </w:rPr>
              <w:t>4-5</w:t>
            </w:r>
            <w:r>
              <w:rPr>
                <w:rFonts w:eastAsia="宋体" w:cs="Times New Roman"/>
                <w:b/>
                <w:color w:val="auto"/>
                <w:sz w:val="21"/>
                <w:szCs w:val="21"/>
              </w:rPr>
              <w:t>架空线</w:t>
            </w:r>
            <w:r>
              <w:rPr>
                <w:rFonts w:hint="eastAsia" w:eastAsia="宋体" w:cs="Times New Roman"/>
                <w:b/>
                <w:color w:val="auto"/>
                <w:sz w:val="21"/>
                <w:szCs w:val="21"/>
              </w:rPr>
              <w:t>路衰减断面噪声监测结果表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458"/>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检测地点</w:t>
                  </w:r>
                </w:p>
              </w:tc>
              <w:tc>
                <w:tcPr>
                  <w:tcW w:w="916"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昼间（</w:t>
                  </w:r>
                  <w:r>
                    <w:rPr>
                      <w:rFonts w:cs="Times New Roman"/>
                      <w:bCs/>
                      <w:color w:val="auto"/>
                      <w:sz w:val="21"/>
                      <w:szCs w:val="21"/>
                    </w:rPr>
                    <w:t>dB(A)</w:t>
                  </w:r>
                  <w:r>
                    <w:rPr>
                      <w:rFonts w:hint="eastAsia" w:eastAsia="宋体" w:cs="Times New Roman"/>
                      <w:color w:val="auto"/>
                      <w:kern w:val="0"/>
                      <w:sz w:val="21"/>
                      <w:szCs w:val="21"/>
                    </w:rPr>
                    <w:t>）</w:t>
                  </w:r>
                </w:p>
              </w:tc>
              <w:tc>
                <w:tcPr>
                  <w:tcW w:w="102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夜间（</w:t>
                  </w:r>
                  <w:r>
                    <w:rPr>
                      <w:rFonts w:cs="Times New Roman"/>
                      <w:bCs/>
                      <w:color w:val="auto"/>
                      <w:sz w:val="21"/>
                      <w:szCs w:val="21"/>
                    </w:rPr>
                    <w:t>dB(A)</w:t>
                  </w:r>
                  <w:r>
                    <w:rPr>
                      <w:rFonts w:hint="eastAsia"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30 号~31 号塔杆中相导线最低处地面投影 0m</w:t>
                  </w:r>
                </w:p>
              </w:tc>
              <w:tc>
                <w:tcPr>
                  <w:tcW w:w="916"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35</w:t>
                  </w:r>
                </w:p>
              </w:tc>
              <w:tc>
                <w:tcPr>
                  <w:tcW w:w="102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9"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176 号~177 号塔杆中相导线最低处地面投影 0m</w:t>
                  </w:r>
                </w:p>
              </w:tc>
              <w:tc>
                <w:tcPr>
                  <w:tcW w:w="916"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33</w:t>
                  </w:r>
                </w:p>
              </w:tc>
              <w:tc>
                <w:tcPr>
                  <w:tcW w:w="1025" w:type="pct"/>
                  <w:vAlign w:val="center"/>
                </w:tcPr>
                <w:p>
                  <w:pPr>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32</w:t>
                  </w:r>
                </w:p>
              </w:tc>
            </w:tr>
          </w:tbl>
          <w:p>
            <w:pPr>
              <w:ind w:firstLine="480"/>
              <w:rPr>
                <w:rFonts w:cs="Times New Roman"/>
                <w:bCs/>
                <w:color w:val="auto"/>
                <w:szCs w:val="24"/>
              </w:rPr>
            </w:pPr>
            <w:r>
              <w:rPr>
                <w:rFonts w:eastAsia="宋体" w:cs="Times New Roman"/>
                <w:color w:val="auto"/>
                <w:szCs w:val="24"/>
              </w:rPr>
              <w:t>根据监测结果，</w:t>
            </w:r>
            <w:r>
              <w:rPr>
                <w:rFonts w:hint="eastAsia" w:eastAsia="宋体" w:cs="Times New Roman"/>
                <w:color w:val="auto"/>
                <w:szCs w:val="24"/>
              </w:rPr>
              <w:t>类比线路</w:t>
            </w:r>
            <w:r>
              <w:rPr>
                <w:rFonts w:eastAsia="宋体" w:cs="Times New Roman"/>
                <w:color w:val="auto"/>
                <w:szCs w:val="24"/>
              </w:rPr>
              <w:t>运行期间架空线路测点</w:t>
            </w:r>
            <w:r>
              <w:rPr>
                <w:rFonts w:cs="Times New Roman"/>
                <w:bCs/>
                <w:color w:val="auto"/>
                <w:szCs w:val="24"/>
              </w:rPr>
              <w:t>噪声监测值昼间在</w:t>
            </w:r>
            <w:r>
              <w:rPr>
                <w:rFonts w:hint="eastAsia" w:cs="Times New Roman"/>
                <w:bCs/>
                <w:color w:val="auto"/>
                <w:szCs w:val="24"/>
              </w:rPr>
              <w:t>33</w:t>
            </w:r>
            <w:r>
              <w:rPr>
                <w:rFonts w:cs="Times New Roman"/>
                <w:bCs/>
                <w:color w:val="auto"/>
                <w:szCs w:val="24"/>
              </w:rPr>
              <w:t>dB(A)~</w:t>
            </w:r>
            <w:r>
              <w:rPr>
                <w:rFonts w:hint="eastAsia" w:cs="Times New Roman"/>
                <w:bCs/>
                <w:color w:val="auto"/>
                <w:szCs w:val="24"/>
              </w:rPr>
              <w:t>35</w:t>
            </w:r>
            <w:r>
              <w:rPr>
                <w:rFonts w:cs="Times New Roman"/>
                <w:bCs/>
                <w:color w:val="auto"/>
                <w:szCs w:val="24"/>
              </w:rPr>
              <w:t xml:space="preserve">dB(A)之间、夜间在 </w:t>
            </w:r>
            <w:r>
              <w:rPr>
                <w:rFonts w:hint="eastAsia" w:cs="Times New Roman"/>
                <w:bCs/>
                <w:color w:val="auto"/>
                <w:szCs w:val="24"/>
              </w:rPr>
              <w:t>32</w:t>
            </w:r>
            <w:r>
              <w:rPr>
                <w:rFonts w:cs="Times New Roman"/>
                <w:bCs/>
                <w:color w:val="auto"/>
                <w:szCs w:val="24"/>
              </w:rPr>
              <w:t>dB(A)~</w:t>
            </w:r>
            <w:r>
              <w:rPr>
                <w:rFonts w:hint="eastAsia" w:cs="Times New Roman"/>
                <w:bCs/>
                <w:color w:val="auto"/>
                <w:szCs w:val="24"/>
              </w:rPr>
              <w:t>32</w:t>
            </w:r>
            <w:r>
              <w:rPr>
                <w:rFonts w:cs="Times New Roman"/>
                <w:bCs/>
                <w:color w:val="auto"/>
                <w:szCs w:val="24"/>
              </w:rPr>
              <w:t>dB(A)之间，满足《声环境质量标准》（GB3096-2008）中 1类标准限值要求。根据类比分析可知，本</w:t>
            </w:r>
            <w:r>
              <w:rPr>
                <w:rFonts w:hint="eastAsia" w:cs="Times New Roman"/>
                <w:bCs/>
                <w:color w:val="auto"/>
                <w:szCs w:val="24"/>
                <w:lang w:eastAsia="zh-CN"/>
              </w:rPr>
              <w:t>工程</w:t>
            </w:r>
            <w:r>
              <w:rPr>
                <w:rFonts w:hint="eastAsia" w:cs="Times New Roman"/>
                <w:bCs/>
                <w:color w:val="auto"/>
                <w:szCs w:val="24"/>
              </w:rPr>
              <w:t>项目</w:t>
            </w:r>
            <w:r>
              <w:rPr>
                <w:rFonts w:cs="Times New Roman"/>
                <w:bCs/>
                <w:color w:val="auto"/>
                <w:szCs w:val="24"/>
              </w:rPr>
              <w:t>送出线路运行后，架空线路沿线环境噪声能满足《声环境质量标准》（GB3096-2008）1 类标准，对沿线附近声环境保护目标的影响较小。</w:t>
            </w:r>
          </w:p>
          <w:p>
            <w:pPr>
              <w:ind w:firstLine="480"/>
              <w:rPr>
                <w:rFonts w:cs="Times New Roman"/>
                <w:bCs/>
                <w:color w:val="auto"/>
                <w:szCs w:val="24"/>
              </w:rPr>
            </w:pPr>
            <w:r>
              <w:rPr>
                <w:rFonts w:cs="Times New Roman"/>
                <w:bCs/>
                <w:color w:val="auto"/>
                <w:szCs w:val="24"/>
              </w:rPr>
              <w:t>（</w:t>
            </w:r>
            <w:r>
              <w:rPr>
                <w:rFonts w:hint="eastAsia" w:cs="Times New Roman"/>
                <w:bCs/>
                <w:color w:val="auto"/>
                <w:szCs w:val="24"/>
              </w:rPr>
              <w:t>2</w:t>
            </w:r>
            <w:r>
              <w:rPr>
                <w:rFonts w:cs="Times New Roman"/>
                <w:bCs/>
                <w:color w:val="auto"/>
                <w:szCs w:val="24"/>
              </w:rPr>
              <w:t>）扩建间隔工程</w:t>
            </w:r>
          </w:p>
          <w:p>
            <w:pPr>
              <w:ind w:firstLine="480"/>
              <w:rPr>
                <w:rFonts w:cs="Times New Roman"/>
                <w:bCs/>
                <w:color w:val="auto"/>
                <w:szCs w:val="24"/>
              </w:rPr>
            </w:pPr>
            <w:r>
              <w:rPr>
                <w:rFonts w:hint="eastAsia" w:cs="Times New Roman"/>
                <w:bCs/>
                <w:color w:val="auto"/>
                <w:szCs w:val="24"/>
              </w:rPr>
              <w:t>项目</w:t>
            </w:r>
            <w:r>
              <w:rPr>
                <w:rFonts w:cs="Times New Roman"/>
                <w:bCs/>
                <w:color w:val="auto"/>
                <w:szCs w:val="24"/>
              </w:rPr>
              <w:t>间隔扩建工程不增加茶花变电站噪声设备，</w:t>
            </w:r>
            <w:r>
              <w:rPr>
                <w:rFonts w:hint="eastAsia" w:cs="Times New Roman"/>
                <w:bCs/>
                <w:color w:val="auto"/>
                <w:szCs w:val="24"/>
              </w:rPr>
              <w:t>扩建间隔建设运行后对其边界噪声影响较小</w:t>
            </w:r>
            <w:r>
              <w:rPr>
                <w:rFonts w:cs="Times New Roman"/>
                <w:bCs/>
                <w:color w:val="auto"/>
                <w:szCs w:val="24"/>
              </w:rPr>
              <w:t>，厂界噪声仍满足《工业企业厂界环境噪声排放标准》（GB12348-2008）中的1类区排放要求。</w:t>
            </w:r>
          </w:p>
          <w:p>
            <w:pPr>
              <w:ind w:firstLine="482"/>
              <w:rPr>
                <w:rFonts w:cs="Times New Roman"/>
                <w:b/>
                <w:bCs/>
                <w:color w:val="auto"/>
                <w:szCs w:val="24"/>
              </w:rPr>
            </w:pPr>
            <w:r>
              <w:rPr>
                <w:rFonts w:cs="Times New Roman"/>
                <w:b/>
                <w:bCs/>
                <w:color w:val="auto"/>
                <w:szCs w:val="24"/>
              </w:rPr>
              <w:t>3、水环境影响分析</w:t>
            </w:r>
          </w:p>
          <w:p>
            <w:pPr>
              <w:ind w:firstLine="480"/>
              <w:rPr>
                <w:rFonts w:cs="Times New Roman"/>
                <w:bCs/>
                <w:color w:val="auto"/>
                <w:szCs w:val="24"/>
              </w:rPr>
            </w:pPr>
            <w:r>
              <w:rPr>
                <w:rFonts w:cs="Times New Roman"/>
                <w:bCs/>
                <w:color w:val="auto"/>
                <w:szCs w:val="24"/>
              </w:rPr>
              <w:t>输电线路运营期无废水产生。</w:t>
            </w:r>
          </w:p>
          <w:p>
            <w:pPr>
              <w:ind w:firstLine="482"/>
              <w:rPr>
                <w:rFonts w:cs="Times New Roman"/>
                <w:b/>
                <w:bCs/>
                <w:color w:val="auto"/>
                <w:szCs w:val="24"/>
              </w:rPr>
            </w:pPr>
            <w:r>
              <w:rPr>
                <w:rFonts w:cs="Times New Roman"/>
                <w:b/>
                <w:bCs/>
                <w:color w:val="auto"/>
                <w:szCs w:val="24"/>
              </w:rPr>
              <w:t>4、大气环境影响分析</w:t>
            </w:r>
          </w:p>
          <w:p>
            <w:pPr>
              <w:ind w:firstLine="480"/>
              <w:rPr>
                <w:rFonts w:cs="Times New Roman"/>
                <w:bCs/>
                <w:color w:val="auto"/>
                <w:szCs w:val="24"/>
              </w:rPr>
            </w:pPr>
            <w:r>
              <w:rPr>
                <w:rFonts w:cs="Times New Roman"/>
                <w:bCs/>
                <w:color w:val="auto"/>
                <w:szCs w:val="24"/>
              </w:rPr>
              <w:t>输电线路运营期无废气污染物产生。</w:t>
            </w:r>
          </w:p>
          <w:p>
            <w:pPr>
              <w:ind w:firstLine="482"/>
              <w:rPr>
                <w:rFonts w:cs="Times New Roman"/>
                <w:b/>
                <w:bCs/>
                <w:color w:val="auto"/>
                <w:szCs w:val="24"/>
              </w:rPr>
            </w:pPr>
            <w:r>
              <w:rPr>
                <w:rFonts w:cs="Times New Roman"/>
                <w:b/>
                <w:bCs/>
                <w:color w:val="auto"/>
                <w:szCs w:val="24"/>
              </w:rPr>
              <w:t>5、固体废物影响分析</w:t>
            </w:r>
          </w:p>
          <w:p>
            <w:pPr>
              <w:ind w:firstLine="480"/>
              <w:rPr>
                <w:rFonts w:cs="Times New Roman"/>
                <w:bCs/>
                <w:color w:val="auto"/>
                <w:szCs w:val="24"/>
              </w:rPr>
            </w:pPr>
            <w:r>
              <w:rPr>
                <w:rFonts w:hint="eastAsia" w:cs="Times New Roman"/>
                <w:bCs/>
                <w:color w:val="auto"/>
                <w:szCs w:val="24"/>
              </w:rPr>
              <w:t>输电线路运行期本身无固体废物产生。但检修人员对线路进行维护检修过程中会产生一定量的废旧导线、金具、拉线等，该部分固废均可收集外卖给废旧回收公司，不外排，即该项目运行过程中不会对周围产生不利影响。</w:t>
            </w:r>
          </w:p>
          <w:p>
            <w:pPr>
              <w:ind w:firstLine="480"/>
              <w:rPr>
                <w:rFonts w:cs="Times New Roman"/>
                <w:bCs/>
                <w:color w:val="auto"/>
                <w:szCs w:val="24"/>
              </w:rPr>
            </w:pPr>
            <w:r>
              <w:rPr>
                <w:rFonts w:hint="eastAsia" w:cs="Times New Roman"/>
                <w:bCs/>
                <w:color w:val="auto"/>
                <w:szCs w:val="24"/>
              </w:rPr>
              <w:t>220kV 茶花变电站间隔工程扩建完成后不增加运行人员，无新增生活垃圾。变电站现有生活垃圾通过站内设置的垃圾桶收集，并委托环卫部门定期清运，集中处理。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pPr>
              <w:spacing w:line="240" w:lineRule="auto"/>
              <w:ind w:firstLine="0" w:firstLineChars="0"/>
              <w:jc w:val="center"/>
              <w:rPr>
                <w:rFonts w:cs="Times New Roman"/>
                <w:color w:val="auto"/>
                <w:szCs w:val="24"/>
              </w:rPr>
            </w:pPr>
            <w:r>
              <w:rPr>
                <w:rFonts w:cs="Times New Roman"/>
                <w:color w:val="auto"/>
                <w:szCs w:val="24"/>
              </w:rPr>
              <w:t>选址选线环境合理性分析</w:t>
            </w:r>
          </w:p>
        </w:tc>
        <w:tc>
          <w:tcPr>
            <w:tcW w:w="4694" w:type="pct"/>
          </w:tcPr>
          <w:p>
            <w:pPr>
              <w:ind w:firstLine="480"/>
              <w:rPr>
                <w:rFonts w:cs="Times New Roman"/>
                <w:color w:val="auto"/>
                <w:szCs w:val="24"/>
              </w:rPr>
            </w:pPr>
            <w:r>
              <w:rPr>
                <w:rFonts w:cs="Times New Roman"/>
                <w:color w:val="auto"/>
                <w:szCs w:val="24"/>
              </w:rPr>
              <w:t>本工程属于“电网改造与建设，增量配电网建设”类项目，为国家鼓励类项目，符合国家当前产业政策</w:t>
            </w:r>
            <w:r>
              <w:rPr>
                <w:rFonts w:hint="eastAsia" w:cs="Times New Roman"/>
                <w:color w:val="auto"/>
                <w:szCs w:val="24"/>
              </w:rPr>
              <w:t>，</w:t>
            </w:r>
            <w:r>
              <w:rPr>
                <w:rFonts w:cs="Times New Roman"/>
                <w:color w:val="auto"/>
                <w:szCs w:val="24"/>
              </w:rPr>
              <w:t>符合“三线一单”。</w:t>
            </w:r>
          </w:p>
          <w:p>
            <w:pPr>
              <w:ind w:firstLine="480"/>
              <w:rPr>
                <w:rFonts w:cs="Times New Roman"/>
                <w:color w:val="auto"/>
                <w:szCs w:val="24"/>
              </w:rPr>
            </w:pPr>
            <w:r>
              <w:rPr>
                <w:rFonts w:cs="Times New Roman"/>
                <w:color w:val="auto"/>
                <w:szCs w:val="24"/>
              </w:rPr>
              <w:t>工程</w:t>
            </w:r>
            <w:r>
              <w:rPr>
                <w:rFonts w:hint="eastAsia" w:cs="Times New Roman"/>
                <w:color w:val="auto"/>
                <w:szCs w:val="24"/>
              </w:rPr>
              <w:t>输电</w:t>
            </w:r>
            <w:r>
              <w:rPr>
                <w:rFonts w:cs="Times New Roman"/>
                <w:color w:val="auto"/>
                <w:szCs w:val="24"/>
              </w:rPr>
              <w:t>线路不涉及</w:t>
            </w:r>
            <w:r>
              <w:rPr>
                <w:rFonts w:hint="eastAsia" w:cs="Times New Roman"/>
                <w:color w:val="auto"/>
                <w:szCs w:val="24"/>
              </w:rPr>
              <w:t>国家公园、自然保护区、自然公园等自然保护地、世界自然遗产、重要生境等，也不涉及森林公园、地质公园、风景名胜区</w:t>
            </w:r>
            <w:r>
              <w:rPr>
                <w:rFonts w:cs="Times New Roman"/>
                <w:color w:val="auto"/>
                <w:szCs w:val="24"/>
              </w:rPr>
              <w:t>等特殊生态敏感区、重要生态敏感区。</w:t>
            </w:r>
            <w:r>
              <w:rPr>
                <w:rFonts w:hint="eastAsia" w:cs="Times New Roman"/>
                <w:color w:val="auto"/>
                <w:szCs w:val="24"/>
              </w:rPr>
              <w:t>不在</w:t>
            </w:r>
            <w:r>
              <w:rPr>
                <w:rFonts w:cs="Times New Roman"/>
                <w:color w:val="auto"/>
                <w:szCs w:val="24"/>
              </w:rPr>
              <w:t>基本农田、天然林地、生态保护红线、饮用水源保护区内设立塔基。线路评价范围内无开采的矿产资源；无文化遗址、地下文物、古墓等。经现场踏勘与沿线有关单位进行资料收集、调查和协商，本工程路径方案不涉及在规划区内走线，规划区外尽量远离村庄走线，本项目的选线符合《输变电建设项目环境保护技术要求》（HJ1113-2020）相关要求，具有环境合理性，本项目选线合理。</w:t>
            </w:r>
          </w:p>
          <w:p>
            <w:pPr>
              <w:ind w:firstLine="480"/>
              <w:rPr>
                <w:rFonts w:cs="Times New Roman"/>
                <w:color w:val="auto"/>
                <w:szCs w:val="24"/>
              </w:rPr>
            </w:pPr>
          </w:p>
        </w:tc>
      </w:tr>
    </w:tbl>
    <w:p>
      <w:pPr>
        <w:pStyle w:val="2"/>
        <w:rPr>
          <w:color w:val="auto"/>
        </w:rPr>
      </w:pPr>
      <w:bookmarkStart w:id="14" w:name="_Toc147654219"/>
      <w:bookmarkStart w:id="15" w:name="_Toc147654120"/>
      <w:r>
        <w:rPr>
          <w:rFonts w:hint="eastAsia"/>
          <w:color w:val="auto"/>
        </w:rPr>
        <w:t>五、主要生态环境保护措施</w:t>
      </w:r>
      <w:bookmarkEnd w:id="14"/>
      <w:bookmarkEnd w:id="15"/>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tcPr>
          <w:p>
            <w:pPr>
              <w:spacing w:line="240" w:lineRule="auto"/>
              <w:ind w:firstLine="0" w:firstLineChars="0"/>
              <w:jc w:val="center"/>
              <w:rPr>
                <w:rFonts w:cs="Times New Roman"/>
                <w:color w:val="auto"/>
                <w:szCs w:val="24"/>
              </w:rPr>
            </w:pPr>
            <w:r>
              <w:rPr>
                <w:rFonts w:cs="Times New Roman"/>
                <w:color w:val="auto"/>
                <w:szCs w:val="24"/>
              </w:rPr>
              <w:t>施工期生态环境保护措施</w:t>
            </w:r>
          </w:p>
        </w:tc>
        <w:tc>
          <w:tcPr>
            <w:tcW w:w="4739" w:type="pct"/>
          </w:tcPr>
          <w:p>
            <w:pPr>
              <w:ind w:firstLine="482"/>
              <w:rPr>
                <w:rFonts w:cs="Times New Roman"/>
                <w:b/>
                <w:bCs/>
                <w:color w:val="auto"/>
                <w:szCs w:val="24"/>
              </w:rPr>
            </w:pPr>
            <w:r>
              <w:rPr>
                <w:rFonts w:cs="Times New Roman"/>
                <w:b/>
                <w:bCs/>
                <w:color w:val="auto"/>
                <w:szCs w:val="24"/>
              </w:rPr>
              <w:t>1、生态保护措施</w:t>
            </w:r>
          </w:p>
          <w:p>
            <w:pPr>
              <w:ind w:firstLine="480"/>
              <w:rPr>
                <w:rFonts w:cs="Times New Roman"/>
                <w:bCs/>
                <w:color w:val="auto"/>
                <w:szCs w:val="24"/>
              </w:rPr>
            </w:pPr>
            <w:r>
              <w:rPr>
                <w:rFonts w:cs="Times New Roman"/>
                <w:bCs/>
                <w:color w:val="auto"/>
                <w:szCs w:val="24"/>
              </w:rPr>
              <w:t>（1）施工前施工区域可利用的表土进行剥离，剥离的表土临时堆放到附近空地上，采取密目网苫盖。表土单独存放，加强表土堆存防护和管理，施工后期回覆表土，用于恢复作物种植或绿化。</w:t>
            </w:r>
          </w:p>
          <w:p>
            <w:pPr>
              <w:ind w:firstLine="480"/>
              <w:rPr>
                <w:rFonts w:cs="Times New Roman"/>
                <w:bCs/>
                <w:color w:val="auto"/>
                <w:szCs w:val="24"/>
              </w:rPr>
            </w:pPr>
            <w:r>
              <w:rPr>
                <w:rFonts w:cs="Times New Roman"/>
                <w:bCs/>
                <w:color w:val="auto"/>
                <w:szCs w:val="24"/>
              </w:rPr>
              <w:t>（2）施工过程采取绿色施工工艺，减少地表开挖和扰动。合理规划施工临时道路、牵张场等临时场地，合理划定施工范围和人员、车辆的行走路线，避免对施工范围之外区域的动植物造成碾压和破坏。变电站间隔扩建施工期间将站区的施工严格控制在变电站围墙范围内，避免施工活动对站外生态环境造成扰动；施工便道应充分利用周边现有交通道路设置，杆塔、导线等施工材料尽可能布置于现有空地或植被较稀疏的地方。</w:t>
            </w:r>
          </w:p>
          <w:p>
            <w:pPr>
              <w:ind w:firstLine="480"/>
              <w:rPr>
                <w:rFonts w:cs="Times New Roman"/>
                <w:bCs/>
                <w:color w:val="auto"/>
                <w:szCs w:val="24"/>
              </w:rPr>
            </w:pPr>
            <w:r>
              <w:rPr>
                <w:rFonts w:cs="Times New Roman"/>
                <w:bCs/>
                <w:color w:val="auto"/>
                <w:szCs w:val="24"/>
              </w:rPr>
              <w:t>（3）对输电线路的施工临时占地和塔基未固化的部分，根据原占地类型进行生态恢复，尽量保持与周围环境一致。</w:t>
            </w:r>
          </w:p>
          <w:p>
            <w:pPr>
              <w:ind w:firstLine="480"/>
              <w:rPr>
                <w:rFonts w:cs="Times New Roman"/>
                <w:bCs/>
                <w:color w:val="auto"/>
                <w:szCs w:val="24"/>
              </w:rPr>
            </w:pPr>
            <w:r>
              <w:rPr>
                <w:rFonts w:cs="Times New Roman"/>
                <w:bCs/>
                <w:color w:val="auto"/>
                <w:szCs w:val="24"/>
              </w:rPr>
              <w:t>（4）选用低噪声环保施工设备，采取降噪措施降低施工噪声对周边野生动物的影响，禁止夜间施工灯光对野生动物影响。</w:t>
            </w:r>
          </w:p>
          <w:p>
            <w:pPr>
              <w:ind w:firstLine="480"/>
              <w:rPr>
                <w:rFonts w:cs="Times New Roman"/>
                <w:bCs/>
                <w:color w:val="auto"/>
                <w:szCs w:val="24"/>
              </w:rPr>
            </w:pPr>
            <w:r>
              <w:rPr>
                <w:rFonts w:cs="Times New Roman"/>
                <w:bCs/>
                <w:color w:val="auto"/>
                <w:szCs w:val="24"/>
              </w:rPr>
              <w:t>（5）加快施工进度，对已开挖的基础加快回填，对未能及时回填的裸露地表采取临时密目网苫盖。</w:t>
            </w:r>
          </w:p>
          <w:p>
            <w:pPr>
              <w:ind w:firstLine="480"/>
              <w:rPr>
                <w:rFonts w:cs="Times New Roman"/>
                <w:bCs/>
                <w:color w:val="auto"/>
                <w:szCs w:val="24"/>
              </w:rPr>
            </w:pPr>
            <w:r>
              <w:rPr>
                <w:rFonts w:cs="Times New Roman"/>
                <w:bCs/>
                <w:color w:val="auto"/>
                <w:szCs w:val="24"/>
              </w:rPr>
              <w:t>（6）在施工区竖立防火警示牌，严格控制用火；设立专人进行专项检查和监督，以预防和杜绝火灾发生。</w:t>
            </w:r>
          </w:p>
          <w:p>
            <w:pPr>
              <w:ind w:firstLine="480"/>
              <w:rPr>
                <w:rFonts w:cs="Times New Roman"/>
                <w:bCs/>
                <w:color w:val="auto"/>
                <w:szCs w:val="24"/>
              </w:rPr>
            </w:pPr>
            <w:r>
              <w:rPr>
                <w:rFonts w:cs="Times New Roman"/>
                <w:bCs/>
                <w:color w:val="auto"/>
                <w:szCs w:val="24"/>
              </w:rPr>
              <w:t>（7）杆塔施工区施工前进行表土剥离，临时堆放的土方采用装土编织袋拦挡和密目网苫盖；施工时杆塔周边人工开挖土质临时排水沟，后期改建为浆砌石排水沟；施工结束后对施工空地覆土，并撒播草籽绿化。</w:t>
            </w:r>
          </w:p>
          <w:p>
            <w:pPr>
              <w:ind w:firstLine="480"/>
              <w:rPr>
                <w:rFonts w:cs="Times New Roman"/>
                <w:bCs/>
                <w:color w:val="auto"/>
                <w:szCs w:val="24"/>
              </w:rPr>
            </w:pPr>
            <w:r>
              <w:rPr>
                <w:rFonts w:cs="Times New Roman"/>
                <w:bCs/>
                <w:color w:val="auto"/>
                <w:szCs w:val="24"/>
              </w:rPr>
              <w:t>（8）堆料场及牵张场施工区施工时在周边开挖临时土质排水沟；施工结束后对施工区进行整地，并撒播草籽绿化。</w:t>
            </w:r>
          </w:p>
          <w:p>
            <w:pPr>
              <w:ind w:firstLine="480"/>
              <w:rPr>
                <w:rFonts w:cs="Times New Roman"/>
                <w:bCs/>
                <w:color w:val="auto"/>
                <w:szCs w:val="24"/>
              </w:rPr>
            </w:pPr>
            <w:r>
              <w:rPr>
                <w:rFonts w:cs="Times New Roman"/>
                <w:bCs/>
                <w:color w:val="auto"/>
                <w:szCs w:val="24"/>
              </w:rPr>
              <w:t>（9）施工道路区施工结束后整地并绿化。</w:t>
            </w:r>
          </w:p>
          <w:p>
            <w:pPr>
              <w:ind w:firstLine="480"/>
              <w:rPr>
                <w:rFonts w:cs="Times New Roman"/>
                <w:bCs/>
                <w:color w:val="auto"/>
                <w:szCs w:val="24"/>
              </w:rPr>
            </w:pPr>
            <w:r>
              <w:rPr>
                <w:rFonts w:hint="eastAsia" w:cs="Times New Roman"/>
                <w:bCs/>
                <w:color w:val="auto"/>
                <w:szCs w:val="24"/>
              </w:rPr>
              <w:t>（10）临近生态保护红线施工前对施工人员开展生态保护红线保护知识培训，让施工人员了解生态保护红线范围、保护对象的有关管理规定。在靠近保护红线设置警示牌，严格控制施工范围，严格控制施工人员、施工车辆活动范围，禁止超范围施工。靠近生态红线塔基应避开雨季施工，塔基施工导致地表裸露的及时恢复植被，避免水土流失。</w:t>
            </w:r>
          </w:p>
          <w:p>
            <w:pPr>
              <w:ind w:firstLine="482"/>
              <w:rPr>
                <w:rFonts w:cs="Times New Roman"/>
                <w:b/>
                <w:bCs/>
                <w:color w:val="auto"/>
                <w:szCs w:val="24"/>
              </w:rPr>
            </w:pPr>
            <w:r>
              <w:rPr>
                <w:rFonts w:cs="Times New Roman"/>
                <w:b/>
                <w:bCs/>
                <w:color w:val="auto"/>
                <w:szCs w:val="24"/>
              </w:rPr>
              <w:t>2、环境空气保护措施</w:t>
            </w:r>
          </w:p>
          <w:p>
            <w:pPr>
              <w:ind w:firstLine="480"/>
              <w:rPr>
                <w:rFonts w:cs="Times New Roman"/>
                <w:bCs/>
                <w:color w:val="auto"/>
                <w:szCs w:val="24"/>
              </w:rPr>
            </w:pPr>
            <w:r>
              <w:rPr>
                <w:rFonts w:cs="Times New Roman"/>
                <w:bCs/>
                <w:color w:val="auto"/>
                <w:szCs w:val="24"/>
              </w:rPr>
              <w:t>工程施工废气主要为扬尘，为进一步减少施工扬尘对周围环境产生的影响，施工单位应做好以下措施：</w:t>
            </w:r>
          </w:p>
          <w:p>
            <w:pPr>
              <w:ind w:firstLine="480"/>
              <w:rPr>
                <w:rFonts w:cs="Times New Roman"/>
                <w:bCs/>
                <w:color w:val="auto"/>
                <w:szCs w:val="24"/>
              </w:rPr>
            </w:pPr>
            <w:r>
              <w:rPr>
                <w:rFonts w:hint="eastAsia" w:cs="Times New Roman"/>
                <w:bCs/>
                <w:color w:val="auto"/>
                <w:szCs w:val="24"/>
              </w:rPr>
              <w:t>①</w:t>
            </w:r>
            <w:r>
              <w:rPr>
                <w:rFonts w:cs="Times New Roman"/>
                <w:bCs/>
                <w:color w:val="auto"/>
                <w:szCs w:val="24"/>
              </w:rPr>
              <w:t>施工单位应文明施工，加强施工期的环境管理和环境监控工作。施工单位在塔基开挖时，应对临时堆砌的土方进行合理遮盖，减少大风天气引起的二次扬尘，施工完毕后及时进行回填压实。</w:t>
            </w:r>
          </w:p>
          <w:p>
            <w:pPr>
              <w:ind w:firstLine="480"/>
              <w:rPr>
                <w:rFonts w:cs="Times New Roman"/>
                <w:bCs/>
                <w:color w:val="auto"/>
                <w:szCs w:val="24"/>
              </w:rPr>
            </w:pPr>
            <w:r>
              <w:rPr>
                <w:rFonts w:hint="eastAsia" w:cs="Times New Roman"/>
                <w:bCs/>
                <w:color w:val="auto"/>
                <w:szCs w:val="24"/>
              </w:rPr>
              <w:t>②</w:t>
            </w:r>
            <w:r>
              <w:rPr>
                <w:rFonts w:cs="Times New Roman"/>
                <w:bCs/>
                <w:color w:val="auto"/>
                <w:szCs w:val="24"/>
              </w:rPr>
              <w:t>施工时，使用商品混凝土，然后用罐装车运至施工点进行浇筑，避免因混凝土拌制产生扬尘；对裸露施工面应定期洒水，减少施工扬尘。</w:t>
            </w:r>
          </w:p>
          <w:p>
            <w:pPr>
              <w:ind w:firstLine="480"/>
              <w:rPr>
                <w:rFonts w:cs="Times New Roman"/>
                <w:bCs/>
                <w:color w:val="auto"/>
                <w:szCs w:val="24"/>
              </w:rPr>
            </w:pPr>
            <w:r>
              <w:rPr>
                <w:rFonts w:hint="eastAsia" w:cs="Times New Roman"/>
                <w:bCs/>
                <w:color w:val="auto"/>
                <w:szCs w:val="24"/>
              </w:rPr>
              <w:t>③</w:t>
            </w:r>
            <w:r>
              <w:rPr>
                <w:rFonts w:cs="Times New Roman"/>
                <w:bCs/>
                <w:color w:val="auto"/>
                <w:szCs w:val="24"/>
              </w:rPr>
              <w:t>车辆运输散体材料和废弃物时，必须密闭、包扎、覆盖，避免沿途漏撒；运载土方的车辆必须在规定时间内，按指定路段行驶，控制扬尘污染。</w:t>
            </w:r>
          </w:p>
          <w:p>
            <w:pPr>
              <w:ind w:firstLine="480"/>
              <w:rPr>
                <w:rFonts w:cs="Times New Roman"/>
                <w:bCs/>
                <w:color w:val="auto"/>
                <w:szCs w:val="24"/>
              </w:rPr>
            </w:pPr>
            <w:r>
              <w:rPr>
                <w:rFonts w:hint="eastAsia" w:cs="Times New Roman"/>
                <w:bCs/>
                <w:color w:val="auto"/>
                <w:szCs w:val="24"/>
              </w:rPr>
              <w:t>④</w:t>
            </w:r>
            <w:r>
              <w:rPr>
                <w:rFonts w:cs="Times New Roman"/>
                <w:bCs/>
                <w:color w:val="auto"/>
                <w:szCs w:val="24"/>
              </w:rPr>
              <w:t>选择符合国家排放标准的施工车辆和施工机械，并加强施工车辆和机械的维护，使其性能保持在良好状态。</w:t>
            </w:r>
          </w:p>
          <w:p>
            <w:pPr>
              <w:ind w:firstLine="480"/>
              <w:rPr>
                <w:rFonts w:cs="Times New Roman"/>
                <w:bCs/>
                <w:color w:val="auto"/>
                <w:szCs w:val="24"/>
              </w:rPr>
            </w:pPr>
            <w:r>
              <w:rPr>
                <w:rFonts w:hint="eastAsia" w:cs="Times New Roman"/>
                <w:bCs/>
                <w:color w:val="auto"/>
                <w:szCs w:val="24"/>
              </w:rPr>
              <w:t>⑤</w:t>
            </w:r>
            <w:r>
              <w:rPr>
                <w:rFonts w:cs="Times New Roman"/>
                <w:bCs/>
                <w:color w:val="auto"/>
                <w:szCs w:val="24"/>
              </w:rPr>
              <w:t>合理布置线路施工料场，并加强材料转运与使用的管理，合理装卸，规范操作。</w:t>
            </w:r>
          </w:p>
          <w:p>
            <w:pPr>
              <w:ind w:firstLine="480"/>
              <w:rPr>
                <w:rFonts w:cs="Times New Roman"/>
                <w:bCs/>
                <w:color w:val="auto"/>
                <w:szCs w:val="24"/>
              </w:rPr>
            </w:pPr>
            <w:r>
              <w:rPr>
                <w:rFonts w:hint="eastAsia" w:cs="Times New Roman"/>
                <w:bCs/>
                <w:color w:val="auto"/>
                <w:szCs w:val="24"/>
              </w:rPr>
              <w:t>⑥</w:t>
            </w:r>
            <w:r>
              <w:rPr>
                <w:rFonts w:cs="Times New Roman"/>
                <w:bCs/>
                <w:color w:val="auto"/>
                <w:szCs w:val="24"/>
              </w:rPr>
              <w:t>对施工道路和施工现场定时洒水、喷淋，避免尘土飞扬。</w:t>
            </w:r>
          </w:p>
          <w:p>
            <w:pPr>
              <w:ind w:firstLine="480"/>
              <w:rPr>
                <w:rFonts w:cs="Times New Roman"/>
                <w:bCs/>
                <w:color w:val="auto"/>
                <w:szCs w:val="24"/>
              </w:rPr>
            </w:pPr>
            <w:r>
              <w:rPr>
                <w:rFonts w:hint="eastAsia" w:cs="Times New Roman"/>
                <w:bCs/>
                <w:color w:val="auto"/>
                <w:szCs w:val="24"/>
              </w:rPr>
              <w:t>⑦</w:t>
            </w:r>
            <w:r>
              <w:rPr>
                <w:rFonts w:cs="Times New Roman"/>
                <w:bCs/>
                <w:color w:val="auto"/>
                <w:szCs w:val="24"/>
              </w:rPr>
              <w:t>施工结束后，按“工完料尽场地清”的原则立即进行空地硬化和覆盖，减少裸露地面面积。</w:t>
            </w:r>
          </w:p>
          <w:p>
            <w:pPr>
              <w:ind w:firstLine="482"/>
              <w:rPr>
                <w:rFonts w:cs="Times New Roman"/>
                <w:b/>
                <w:bCs/>
                <w:color w:val="auto"/>
                <w:szCs w:val="24"/>
              </w:rPr>
            </w:pPr>
            <w:r>
              <w:rPr>
                <w:rFonts w:cs="Times New Roman"/>
                <w:b/>
                <w:bCs/>
                <w:color w:val="auto"/>
                <w:szCs w:val="24"/>
              </w:rPr>
              <w:t>3、水环境保护措施</w:t>
            </w:r>
          </w:p>
          <w:p>
            <w:pPr>
              <w:ind w:firstLine="480"/>
              <w:rPr>
                <w:rFonts w:cs="Times New Roman"/>
                <w:bCs/>
                <w:color w:val="auto"/>
                <w:szCs w:val="24"/>
              </w:rPr>
            </w:pPr>
            <w:r>
              <w:rPr>
                <w:rFonts w:hint="eastAsia" w:cs="Times New Roman"/>
                <w:bCs/>
                <w:color w:val="auto"/>
                <w:szCs w:val="24"/>
              </w:rPr>
              <w:t>茶花变</w:t>
            </w:r>
            <w:r>
              <w:rPr>
                <w:rFonts w:cs="Times New Roman"/>
                <w:bCs/>
                <w:color w:val="auto"/>
                <w:szCs w:val="24"/>
              </w:rPr>
              <w:t>电站间隔扩建工程施工人员产生的生活污水经电站已有的污水处理设施处理后定期清运处理；输电线路采用商品混凝土，基本无施工废水产生。施工人员租住周边民房，生活污水依托民房现有设施处理。</w:t>
            </w:r>
          </w:p>
          <w:p>
            <w:pPr>
              <w:ind w:firstLine="482"/>
              <w:rPr>
                <w:rFonts w:cs="Times New Roman"/>
                <w:b/>
                <w:bCs/>
                <w:color w:val="auto"/>
                <w:szCs w:val="24"/>
              </w:rPr>
            </w:pPr>
            <w:r>
              <w:rPr>
                <w:rFonts w:cs="Times New Roman"/>
                <w:b/>
                <w:bCs/>
                <w:color w:val="auto"/>
                <w:szCs w:val="24"/>
              </w:rPr>
              <w:t>4、声环境保护措施</w:t>
            </w:r>
          </w:p>
          <w:p>
            <w:pPr>
              <w:ind w:firstLine="480"/>
              <w:rPr>
                <w:rFonts w:cs="Times New Roman"/>
                <w:bCs/>
                <w:color w:val="auto"/>
                <w:szCs w:val="24"/>
              </w:rPr>
            </w:pPr>
            <w:r>
              <w:rPr>
                <w:rFonts w:cs="Times New Roman"/>
                <w:bCs/>
                <w:color w:val="auto"/>
                <w:szCs w:val="24"/>
              </w:rPr>
              <w:t>（1）施工车辆经过居民区时减缓行驶速度，减少鸣笛。</w:t>
            </w:r>
          </w:p>
          <w:p>
            <w:pPr>
              <w:ind w:firstLine="480"/>
              <w:rPr>
                <w:rFonts w:cs="Times New Roman"/>
                <w:bCs/>
                <w:color w:val="auto"/>
                <w:szCs w:val="24"/>
              </w:rPr>
            </w:pPr>
            <w:r>
              <w:rPr>
                <w:rFonts w:cs="Times New Roman"/>
                <w:bCs/>
                <w:color w:val="auto"/>
                <w:szCs w:val="24"/>
              </w:rPr>
              <w:t>（2）尽量避免夜间施工，如因工艺要求需夜间施工，应禁止高噪声设备施工。</w:t>
            </w:r>
          </w:p>
          <w:p>
            <w:pPr>
              <w:ind w:firstLine="480"/>
              <w:rPr>
                <w:rFonts w:cs="Times New Roman"/>
                <w:bCs/>
                <w:color w:val="auto"/>
                <w:szCs w:val="24"/>
              </w:rPr>
            </w:pPr>
            <w:r>
              <w:rPr>
                <w:rFonts w:cs="Times New Roman"/>
                <w:bCs/>
                <w:color w:val="auto"/>
                <w:szCs w:val="24"/>
              </w:rPr>
              <w:t>（3）距离居民区较近的输电线路施工，严格控制人为噪声，并应采取措施控制施工中的噪声与振动，最大限度地减少噪声扰民。</w:t>
            </w:r>
          </w:p>
          <w:p>
            <w:pPr>
              <w:ind w:firstLine="480"/>
              <w:rPr>
                <w:rFonts w:cs="Times New Roman"/>
                <w:bCs/>
                <w:color w:val="auto"/>
                <w:szCs w:val="24"/>
              </w:rPr>
            </w:pPr>
            <w:r>
              <w:rPr>
                <w:rFonts w:cs="Times New Roman"/>
                <w:bCs/>
                <w:color w:val="auto"/>
                <w:szCs w:val="24"/>
              </w:rPr>
              <w:t>（4）优选低噪声施工机械设备，采用噪声水平满足国家相关标准的施工机械或采取带隔声、消声设备的机械，加强设备的运行管理，使其保持良好的运行状态，从源强上控制施工噪声对周边环境的影响。</w:t>
            </w:r>
          </w:p>
          <w:p>
            <w:pPr>
              <w:ind w:firstLine="480"/>
              <w:rPr>
                <w:rFonts w:cs="Times New Roman"/>
                <w:bCs/>
                <w:color w:val="auto"/>
                <w:szCs w:val="24"/>
              </w:rPr>
            </w:pPr>
            <w:r>
              <w:rPr>
                <w:rFonts w:cs="Times New Roman"/>
                <w:bCs/>
                <w:color w:val="auto"/>
                <w:szCs w:val="24"/>
              </w:rPr>
              <w:t>在采取依法限制产生噪声的夜间作业等噪声污染控制措施后，本项目在施工期的噪声对周边环境保护目标声环境的影响能满足法规和标准的要求，并且施工结束后施工噪声影响即可消失。</w:t>
            </w:r>
          </w:p>
          <w:p>
            <w:pPr>
              <w:ind w:firstLine="482"/>
              <w:rPr>
                <w:rFonts w:cs="Times New Roman"/>
                <w:b/>
                <w:bCs/>
                <w:color w:val="auto"/>
                <w:szCs w:val="24"/>
              </w:rPr>
            </w:pPr>
            <w:r>
              <w:rPr>
                <w:rFonts w:cs="Times New Roman"/>
                <w:b/>
                <w:bCs/>
                <w:color w:val="auto"/>
                <w:szCs w:val="24"/>
              </w:rPr>
              <w:t>5、固体废物</w:t>
            </w:r>
          </w:p>
          <w:p>
            <w:pPr>
              <w:ind w:firstLine="480"/>
              <w:rPr>
                <w:rFonts w:cs="Times New Roman"/>
                <w:bCs/>
                <w:color w:val="auto"/>
                <w:szCs w:val="24"/>
              </w:rPr>
            </w:pPr>
            <w:r>
              <w:rPr>
                <w:rFonts w:hint="eastAsia" w:cs="Times New Roman"/>
                <w:bCs/>
                <w:color w:val="auto"/>
                <w:szCs w:val="24"/>
              </w:rPr>
              <w:t>（1）本项目开挖土石方全部回填于线路塔基和塔基占地范围内，无弃方。施工剥离表土集中堆放，施工结束后回覆于施工区，用于植被恢复或复垦。</w:t>
            </w:r>
          </w:p>
          <w:p>
            <w:pPr>
              <w:ind w:firstLine="480"/>
              <w:rPr>
                <w:rFonts w:cs="Times New Roman"/>
                <w:bCs/>
                <w:color w:val="auto"/>
                <w:szCs w:val="24"/>
              </w:rPr>
            </w:pPr>
            <w:r>
              <w:rPr>
                <w:rFonts w:cs="Times New Roman"/>
                <w:bCs/>
                <w:color w:val="auto"/>
                <w:szCs w:val="24"/>
              </w:rPr>
              <w:t>（</w:t>
            </w:r>
            <w:r>
              <w:rPr>
                <w:rFonts w:hint="eastAsia" w:cs="Times New Roman"/>
                <w:bCs/>
                <w:color w:val="auto"/>
                <w:szCs w:val="24"/>
              </w:rPr>
              <w:t>2</w:t>
            </w:r>
            <w:r>
              <w:rPr>
                <w:rFonts w:cs="Times New Roman"/>
                <w:bCs/>
                <w:color w:val="auto"/>
                <w:szCs w:val="24"/>
              </w:rPr>
              <w:t>）</w:t>
            </w:r>
            <w:r>
              <w:rPr>
                <w:rFonts w:hint="eastAsia" w:cs="Times New Roman"/>
                <w:bCs/>
                <w:color w:val="auto"/>
                <w:szCs w:val="24"/>
              </w:rPr>
              <w:t>茶花变</w:t>
            </w:r>
            <w:r>
              <w:rPr>
                <w:rFonts w:cs="Times New Roman"/>
                <w:bCs/>
                <w:color w:val="auto"/>
                <w:szCs w:val="24"/>
              </w:rPr>
              <w:t>电站间隔扩建施工人员产生的生活垃圾由变电站已有的垃圾箱统一收集，交由环卫部门处置。输电线路施工人员租住周边民房，产生的生活垃圾可纳入当地生活垃圾收集处理系统。</w:t>
            </w:r>
          </w:p>
          <w:p>
            <w:pPr>
              <w:ind w:firstLine="480"/>
              <w:rPr>
                <w:rFonts w:cs="Times New Roman"/>
                <w:bCs/>
                <w:color w:val="auto"/>
                <w:szCs w:val="24"/>
              </w:rPr>
            </w:pPr>
            <w:r>
              <w:rPr>
                <w:rFonts w:cs="Times New Roman"/>
                <w:bCs/>
                <w:color w:val="auto"/>
                <w:szCs w:val="24"/>
              </w:rPr>
              <w:t>（</w:t>
            </w:r>
            <w:r>
              <w:rPr>
                <w:rFonts w:hint="eastAsia" w:cs="Times New Roman"/>
                <w:bCs/>
                <w:color w:val="auto"/>
                <w:szCs w:val="24"/>
              </w:rPr>
              <w:t>3</w:t>
            </w:r>
            <w:r>
              <w:rPr>
                <w:rFonts w:cs="Times New Roman"/>
                <w:bCs/>
                <w:color w:val="auto"/>
                <w:szCs w:val="24"/>
              </w:rPr>
              <w:t>）施工过程中产生的施工废物料应分类集中堆放，尽可能回收利用。</w:t>
            </w:r>
          </w:p>
          <w:p>
            <w:pPr>
              <w:ind w:firstLine="480"/>
              <w:rPr>
                <w:rFonts w:cs="Times New Roman"/>
                <w:bCs/>
                <w:color w:val="auto"/>
                <w:szCs w:val="24"/>
              </w:rPr>
            </w:pPr>
            <w:r>
              <w:rPr>
                <w:rFonts w:cs="Times New Roman"/>
                <w:bCs/>
                <w:color w:val="auto"/>
                <w:szCs w:val="24"/>
              </w:rPr>
              <w:t>（</w:t>
            </w:r>
            <w:r>
              <w:rPr>
                <w:rFonts w:hint="eastAsia" w:cs="Times New Roman"/>
                <w:bCs/>
                <w:color w:val="auto"/>
                <w:szCs w:val="24"/>
              </w:rPr>
              <w:t>4</w:t>
            </w:r>
            <w:r>
              <w:rPr>
                <w:rFonts w:cs="Times New Roman"/>
                <w:bCs/>
                <w:color w:val="auto"/>
                <w:szCs w:val="24"/>
              </w:rPr>
              <w:t>）施工临时占地宜采取隔离保护措施，施工结束后应将混凝土余料和残渣及时清除。</w:t>
            </w:r>
          </w:p>
          <w:p>
            <w:pPr>
              <w:ind w:firstLine="480"/>
              <w:rPr>
                <w:rFonts w:cs="Times New Roman"/>
                <w:color w:val="auto"/>
                <w:szCs w:val="24"/>
              </w:rPr>
            </w:pPr>
            <w:r>
              <w:rPr>
                <w:rFonts w:cs="Times New Roman"/>
                <w:bCs/>
                <w:color w:val="auto"/>
                <w:szCs w:val="24"/>
              </w:rPr>
              <w:t>在采取以上环保措施后，本项目施工期产生的固体废物对周边环境的影响较小。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tcPr>
          <w:p>
            <w:pPr>
              <w:spacing w:line="240" w:lineRule="auto"/>
              <w:ind w:firstLine="0" w:firstLineChars="0"/>
              <w:jc w:val="center"/>
              <w:rPr>
                <w:rFonts w:cs="Times New Roman"/>
                <w:color w:val="auto"/>
                <w:szCs w:val="24"/>
              </w:rPr>
            </w:pPr>
            <w:r>
              <w:rPr>
                <w:rFonts w:cs="Times New Roman"/>
                <w:color w:val="auto"/>
                <w:szCs w:val="24"/>
              </w:rPr>
              <w:t>运营期生态环境保护措施</w:t>
            </w:r>
          </w:p>
        </w:tc>
        <w:tc>
          <w:tcPr>
            <w:tcW w:w="4739" w:type="pct"/>
          </w:tcPr>
          <w:p>
            <w:pPr>
              <w:ind w:firstLine="482"/>
              <w:rPr>
                <w:rFonts w:cs="Times New Roman"/>
                <w:b/>
                <w:bCs/>
                <w:color w:val="auto"/>
                <w:szCs w:val="24"/>
              </w:rPr>
            </w:pPr>
            <w:r>
              <w:rPr>
                <w:rFonts w:cs="Times New Roman"/>
                <w:b/>
                <w:bCs/>
                <w:color w:val="auto"/>
                <w:szCs w:val="24"/>
              </w:rPr>
              <w:t>1、生态环境保护措施</w:t>
            </w:r>
          </w:p>
          <w:p>
            <w:pPr>
              <w:ind w:firstLine="480"/>
              <w:rPr>
                <w:rFonts w:cs="Times New Roman"/>
                <w:bCs/>
                <w:color w:val="auto"/>
                <w:szCs w:val="24"/>
              </w:rPr>
            </w:pPr>
            <w:r>
              <w:rPr>
                <w:rFonts w:cs="Times New Roman"/>
                <w:bCs/>
                <w:color w:val="auto"/>
                <w:szCs w:val="24"/>
              </w:rPr>
              <w:t>（1）强化对线路巡维人员的生态保护意识教育，加强管理，禁止滥采滥伐和捕猎野生动物，避免因此导致的沿线自然植被破坏和野生动物的影响；</w:t>
            </w:r>
          </w:p>
          <w:p>
            <w:pPr>
              <w:ind w:firstLine="480"/>
              <w:rPr>
                <w:rFonts w:cs="Times New Roman"/>
                <w:bCs/>
                <w:color w:val="auto"/>
                <w:szCs w:val="24"/>
              </w:rPr>
            </w:pPr>
            <w:r>
              <w:rPr>
                <w:rFonts w:cs="Times New Roman"/>
                <w:bCs/>
                <w:color w:val="auto"/>
                <w:szCs w:val="24"/>
              </w:rPr>
              <w:t>（2）定期对线路沿线生态保护和防护措施及设施进行检查，跟踪生态保护与恢复效果，以便及时采取后续措施。</w:t>
            </w:r>
          </w:p>
          <w:p>
            <w:pPr>
              <w:ind w:firstLine="480"/>
              <w:rPr>
                <w:rFonts w:cs="Times New Roman"/>
                <w:bCs/>
                <w:color w:val="auto"/>
                <w:szCs w:val="24"/>
              </w:rPr>
            </w:pPr>
            <w:r>
              <w:rPr>
                <w:rFonts w:cs="Times New Roman"/>
                <w:bCs/>
                <w:color w:val="auto"/>
                <w:szCs w:val="24"/>
              </w:rPr>
              <w:t>（3）运行期为满足输电线路正常运行需对导线下方与树木垂直距离小于4.5m 的树冠进行定期修剪，防止导线因为热胀冷缩下垂后造成森林火灾，同时保障输电线路的安全。</w:t>
            </w:r>
          </w:p>
          <w:p>
            <w:pPr>
              <w:ind w:firstLine="482"/>
              <w:rPr>
                <w:rFonts w:cs="Times New Roman"/>
                <w:b/>
                <w:bCs/>
                <w:color w:val="auto"/>
                <w:szCs w:val="24"/>
              </w:rPr>
            </w:pPr>
            <w:r>
              <w:rPr>
                <w:rFonts w:cs="Times New Roman"/>
                <w:b/>
                <w:bCs/>
                <w:color w:val="auto"/>
                <w:szCs w:val="24"/>
              </w:rPr>
              <w:t>2、电磁环境保护措施</w:t>
            </w:r>
          </w:p>
          <w:p>
            <w:pPr>
              <w:ind w:firstLine="480"/>
              <w:rPr>
                <w:rFonts w:cs="Times New Roman"/>
                <w:bCs/>
                <w:color w:val="auto"/>
                <w:szCs w:val="24"/>
              </w:rPr>
            </w:pPr>
            <w:r>
              <w:rPr>
                <w:rFonts w:hint="eastAsia" w:cs="Times New Roman"/>
                <w:bCs/>
                <w:color w:val="auto"/>
                <w:szCs w:val="24"/>
              </w:rPr>
              <w:t>（1）</w:t>
            </w:r>
            <w:r>
              <w:rPr>
                <w:rFonts w:cs="Times New Roman"/>
                <w:bCs/>
                <w:color w:val="auto"/>
                <w:szCs w:val="24"/>
              </w:rPr>
              <w:t>架空地线采用良导体的导线，减小静感应电动势、对地电压和杂音电动势。</w:t>
            </w:r>
          </w:p>
          <w:p>
            <w:pPr>
              <w:ind w:firstLine="480"/>
              <w:rPr>
                <w:rFonts w:cs="Times New Roman"/>
                <w:bCs/>
                <w:color w:val="auto"/>
                <w:szCs w:val="24"/>
              </w:rPr>
            </w:pPr>
            <w:r>
              <w:rPr>
                <w:rFonts w:hint="eastAsia" w:cs="Times New Roman"/>
                <w:bCs/>
                <w:color w:val="auto"/>
                <w:szCs w:val="24"/>
              </w:rPr>
              <w:t>（2）</w:t>
            </w:r>
            <w:r>
              <w:rPr>
                <w:rFonts w:cs="Times New Roman"/>
                <w:bCs/>
                <w:color w:val="auto"/>
                <w:szCs w:val="24"/>
              </w:rPr>
              <w:t>所有线路、高压设备、建筑物钢铁件接地良好，设备导电元件间接触部件连接紧密，减少因接触不良而产生的火花放电。</w:t>
            </w:r>
          </w:p>
          <w:p>
            <w:pPr>
              <w:ind w:firstLine="480"/>
              <w:rPr>
                <w:rFonts w:cs="Times New Roman"/>
                <w:bCs/>
                <w:color w:val="auto"/>
                <w:szCs w:val="24"/>
              </w:rPr>
            </w:pPr>
            <w:r>
              <w:rPr>
                <w:rFonts w:hint="eastAsia" w:cs="Times New Roman"/>
                <w:bCs/>
                <w:color w:val="auto"/>
                <w:szCs w:val="24"/>
              </w:rPr>
              <w:t>（3）</w:t>
            </w:r>
            <w:r>
              <w:rPr>
                <w:rFonts w:cs="Times New Roman"/>
                <w:bCs/>
                <w:color w:val="auto"/>
                <w:szCs w:val="24"/>
              </w:rPr>
              <w:t>线路投运后，建设单位应与规划部门配合，控制线路周围敏感建筑物的建设。</w:t>
            </w:r>
          </w:p>
          <w:p>
            <w:pPr>
              <w:ind w:firstLine="480"/>
              <w:rPr>
                <w:rFonts w:cs="Times New Roman"/>
                <w:bCs/>
                <w:color w:val="auto"/>
                <w:szCs w:val="24"/>
              </w:rPr>
            </w:pPr>
            <w:r>
              <w:rPr>
                <w:rFonts w:hint="eastAsia" w:cs="Times New Roman"/>
                <w:bCs/>
                <w:color w:val="auto"/>
                <w:szCs w:val="24"/>
              </w:rPr>
              <w:t>（4）</w:t>
            </w:r>
            <w:r>
              <w:rPr>
                <w:rFonts w:cs="Times New Roman"/>
                <w:bCs/>
                <w:color w:val="auto"/>
                <w:szCs w:val="24"/>
              </w:rPr>
              <w:t>线路设计按《110～750kV 架空输电线路设计规范》（GB50545-2010）执行的基础上，尽量优化设计。</w:t>
            </w:r>
          </w:p>
          <w:p>
            <w:pPr>
              <w:ind w:firstLine="480"/>
              <w:rPr>
                <w:rFonts w:cs="Times New Roman"/>
                <w:bCs/>
                <w:color w:val="auto"/>
                <w:szCs w:val="24"/>
              </w:rPr>
            </w:pPr>
            <w:r>
              <w:rPr>
                <w:rFonts w:hint="eastAsia" w:cs="Times New Roman"/>
                <w:bCs/>
                <w:color w:val="auto"/>
                <w:szCs w:val="24"/>
              </w:rPr>
              <w:t>（5）</w:t>
            </w:r>
            <w:r>
              <w:rPr>
                <w:rFonts w:cs="Times New Roman"/>
                <w:bCs/>
                <w:color w:val="auto"/>
                <w:szCs w:val="24"/>
              </w:rPr>
              <w:t>线路、塔基下方给出警示和防护指示标志。</w:t>
            </w:r>
          </w:p>
          <w:p>
            <w:pPr>
              <w:ind w:firstLine="480"/>
              <w:rPr>
                <w:rFonts w:cs="Times New Roman"/>
                <w:bCs/>
                <w:color w:val="auto"/>
                <w:szCs w:val="24"/>
              </w:rPr>
            </w:pPr>
            <w:r>
              <w:rPr>
                <w:rFonts w:hint="eastAsia" w:cs="Times New Roman"/>
                <w:bCs/>
                <w:color w:val="auto"/>
                <w:szCs w:val="24"/>
              </w:rPr>
              <w:t>（6）</w:t>
            </w:r>
            <w:r>
              <w:rPr>
                <w:rFonts w:cs="Times New Roman"/>
                <w:bCs/>
                <w:color w:val="auto"/>
                <w:szCs w:val="24"/>
              </w:rPr>
              <w:t>合理选择金具及绝缘子等电气设备、设施，定期检修，电磁环境影响范围内的工频电场、工频磁场满足《电磁环境控制限值》（GB8702-2014）中相应控制限值要求。</w:t>
            </w:r>
          </w:p>
          <w:p>
            <w:pPr>
              <w:ind w:firstLine="482"/>
              <w:rPr>
                <w:rFonts w:cs="Times New Roman"/>
                <w:b/>
                <w:bCs/>
                <w:color w:val="auto"/>
                <w:szCs w:val="24"/>
              </w:rPr>
            </w:pPr>
            <w:r>
              <w:rPr>
                <w:rFonts w:cs="Times New Roman"/>
                <w:b/>
                <w:bCs/>
                <w:color w:val="auto"/>
                <w:szCs w:val="24"/>
              </w:rPr>
              <w:t>3、噪声环境保护措施</w:t>
            </w:r>
          </w:p>
          <w:p>
            <w:pPr>
              <w:ind w:firstLine="480"/>
              <w:rPr>
                <w:rFonts w:cs="Times New Roman"/>
                <w:color w:val="auto"/>
                <w:szCs w:val="24"/>
              </w:rPr>
            </w:pPr>
            <w:r>
              <w:rPr>
                <w:rFonts w:cs="Times New Roman"/>
                <w:bCs/>
                <w:color w:val="auto"/>
                <w:szCs w:val="24"/>
              </w:rPr>
              <w:t>在设备选型时选用符合国家噪声标准的低噪声设备，定期检修维护，减少线路火花和电晕放电噪声。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tcPr>
          <w:p>
            <w:pPr>
              <w:spacing w:line="240" w:lineRule="auto"/>
              <w:ind w:firstLine="0" w:firstLineChars="0"/>
              <w:jc w:val="center"/>
              <w:rPr>
                <w:rFonts w:cs="Times New Roman"/>
                <w:color w:val="auto"/>
                <w:szCs w:val="24"/>
              </w:rPr>
            </w:pPr>
            <w:r>
              <w:rPr>
                <w:rFonts w:cs="Times New Roman"/>
                <w:color w:val="auto"/>
                <w:szCs w:val="24"/>
              </w:rPr>
              <w:t>其他</w:t>
            </w:r>
          </w:p>
        </w:tc>
        <w:tc>
          <w:tcPr>
            <w:tcW w:w="4739" w:type="pct"/>
          </w:tcPr>
          <w:p>
            <w:pPr>
              <w:ind w:firstLine="482"/>
              <w:rPr>
                <w:rFonts w:cs="Times New Roman"/>
                <w:b/>
                <w:bCs/>
                <w:color w:val="auto"/>
                <w:szCs w:val="24"/>
              </w:rPr>
            </w:pPr>
            <w:r>
              <w:rPr>
                <w:rFonts w:cs="Times New Roman"/>
                <w:b/>
                <w:bCs/>
                <w:color w:val="auto"/>
                <w:szCs w:val="24"/>
              </w:rPr>
              <w:t>1、环境管理及监测计划</w:t>
            </w:r>
          </w:p>
          <w:p>
            <w:pPr>
              <w:ind w:firstLine="480"/>
              <w:rPr>
                <w:rFonts w:cs="Times New Roman"/>
                <w:bCs/>
                <w:color w:val="auto"/>
                <w:szCs w:val="24"/>
              </w:rPr>
            </w:pPr>
            <w:r>
              <w:rPr>
                <w:rFonts w:cs="Times New Roman"/>
                <w:bCs/>
                <w:color w:val="auto"/>
                <w:szCs w:val="24"/>
              </w:rPr>
              <w:t>本工程的建设将会对工程区域自然环境、社会环境造成一定的影响。施工期和运行期应加强环境管理，执行环境管理和监测计划，掌握项目工程建设前后、运行前后实际产生的环境影响变化情况，确保各项环保防治措施的有效落实，并根据管理、监测中发现的信息及时解决相关问题，尽可能降低、减少工程建设及工程运行对环境带来的负面影响，力争做到经济、社会、环境效益的统一和可持续发展。</w:t>
            </w:r>
          </w:p>
          <w:p>
            <w:pPr>
              <w:ind w:firstLine="480"/>
              <w:rPr>
                <w:rFonts w:cs="Times New Roman"/>
                <w:bCs/>
                <w:color w:val="auto"/>
                <w:szCs w:val="24"/>
              </w:rPr>
            </w:pPr>
            <w:r>
              <w:rPr>
                <w:rFonts w:cs="Times New Roman"/>
                <w:bCs/>
                <w:color w:val="auto"/>
                <w:szCs w:val="24"/>
              </w:rPr>
              <w:t>（1）施工期的环境管理</w:t>
            </w:r>
          </w:p>
          <w:p>
            <w:pPr>
              <w:ind w:firstLine="480"/>
              <w:rPr>
                <w:rFonts w:cs="Times New Roman"/>
                <w:bCs/>
                <w:color w:val="auto"/>
                <w:szCs w:val="24"/>
              </w:rPr>
            </w:pPr>
            <w:r>
              <w:rPr>
                <w:rFonts w:cs="Times New Roman"/>
                <w:bCs/>
                <w:color w:val="auto"/>
                <w:szCs w:val="24"/>
              </w:rPr>
              <w:t>施工现场的环境管理包括施工期防尘降噪、固废处理、生态保护等。组织落实环境监测计划、分析、整理监测结果。并进行有关环保法规的宣传，对</w:t>
            </w:r>
            <w:r>
              <w:rPr>
                <w:rFonts w:hint="eastAsia" w:cs="Times New Roman"/>
                <w:bCs/>
                <w:color w:val="auto"/>
                <w:szCs w:val="24"/>
                <w:lang w:eastAsia="zh-CN"/>
              </w:rPr>
              <w:t>有</w:t>
            </w:r>
            <w:r>
              <w:rPr>
                <w:rFonts w:cs="Times New Roman"/>
                <w:bCs/>
                <w:color w:val="auto"/>
                <w:szCs w:val="24"/>
              </w:rPr>
              <w:t>关人员进行环保培训。</w:t>
            </w:r>
            <w:r>
              <w:rPr>
                <w:rFonts w:hint="eastAsia" w:cs="Times New Roman"/>
                <w:bCs/>
                <w:color w:val="auto"/>
                <w:szCs w:val="24"/>
              </w:rPr>
              <w:t>本项目由建设单位负责建设管理，配置 1-2 名专员对施工期的环境保护工作统一领导和组织。施工期的废污水处理、声环境保护、环境空气保护、固体废物处理、生态环境保护等环境保护费用应由施工单位承担，并在招标文件中明确。施工单位应确保措施到位，落实相关费用。施工单位在进场后应设置1-2 名环保专员，负责建设生产过程中的环境保护管理工作。</w:t>
            </w:r>
          </w:p>
          <w:p>
            <w:pPr>
              <w:ind w:firstLine="480"/>
              <w:rPr>
                <w:rFonts w:cs="Times New Roman"/>
                <w:bCs/>
                <w:color w:val="auto"/>
                <w:szCs w:val="24"/>
              </w:rPr>
            </w:pPr>
            <w:r>
              <w:rPr>
                <w:rFonts w:cs="Times New Roman"/>
                <w:bCs/>
                <w:color w:val="auto"/>
                <w:szCs w:val="24"/>
              </w:rPr>
              <w:t>（2）运行期的环境管理</w:t>
            </w:r>
          </w:p>
          <w:p>
            <w:pPr>
              <w:ind w:firstLine="480"/>
              <w:rPr>
                <w:rFonts w:cs="Times New Roman"/>
                <w:bCs/>
                <w:color w:val="auto"/>
                <w:szCs w:val="24"/>
              </w:rPr>
            </w:pPr>
            <w:r>
              <w:rPr>
                <w:rFonts w:cs="Times New Roman"/>
                <w:bCs/>
                <w:color w:val="auto"/>
                <w:szCs w:val="24"/>
              </w:rPr>
              <w:t>落实有关环保措施，确保其正常运行；组织落实环境监测计划，分析、整理监测结果，积累监测数据；负责安排环保设施的投产运行和环境管理、环保设施的经费；组织人员进行环保知识的学习和培训，提高工作人员的环保意识。</w:t>
            </w:r>
          </w:p>
          <w:p>
            <w:pPr>
              <w:ind w:firstLine="480"/>
              <w:rPr>
                <w:rFonts w:cs="Times New Roman"/>
                <w:bCs/>
                <w:color w:val="auto"/>
                <w:szCs w:val="24"/>
              </w:rPr>
            </w:pPr>
            <w:r>
              <w:rPr>
                <w:rFonts w:cs="Times New Roman"/>
                <w:bCs/>
                <w:color w:val="auto"/>
                <w:szCs w:val="24"/>
              </w:rPr>
              <w:t>（3）监测计划</w:t>
            </w:r>
          </w:p>
          <w:p>
            <w:pPr>
              <w:ind w:firstLine="480"/>
              <w:rPr>
                <w:rFonts w:cs="Times New Roman"/>
                <w:bCs/>
                <w:color w:val="auto"/>
                <w:szCs w:val="24"/>
              </w:rPr>
            </w:pPr>
            <w:r>
              <w:rPr>
                <w:rFonts w:cs="Times New Roman"/>
                <w:bCs/>
                <w:color w:val="auto"/>
                <w:szCs w:val="24"/>
              </w:rPr>
              <w:t>为更好的开展输变电工程的环境保护工作，进行有效的环境监督、管理，为工程的环境管理提供依据，制订了具体的环境监测计划，具体监测计划见下表5-1。</w:t>
            </w:r>
          </w:p>
          <w:p>
            <w:pPr>
              <w:ind w:firstLine="482"/>
              <w:jc w:val="center"/>
              <w:rPr>
                <w:rFonts w:cs="Times New Roman"/>
                <w:b/>
                <w:bCs/>
                <w:color w:val="auto"/>
                <w:szCs w:val="24"/>
              </w:rPr>
            </w:pPr>
            <w:r>
              <w:rPr>
                <w:rFonts w:cs="Times New Roman"/>
                <w:b/>
                <w:bCs/>
                <w:color w:val="auto"/>
                <w:szCs w:val="24"/>
              </w:rPr>
              <w:t>表5-1 运营期环境监测计划</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101"/>
              <w:gridCol w:w="1843"/>
              <w:gridCol w:w="4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序号</w:t>
                  </w:r>
                </w:p>
              </w:tc>
              <w:tc>
                <w:tcPr>
                  <w:tcW w:w="2944" w:type="dxa"/>
                  <w:gridSpan w:val="2"/>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名称</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1</w:t>
                  </w:r>
                </w:p>
              </w:tc>
              <w:tc>
                <w:tcPr>
                  <w:tcW w:w="1101" w:type="dxa"/>
                  <w:vMerge w:val="restar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工频电场、工频磁场</w:t>
                  </w: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点位布设</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扩建间隔侧，线路衰减断面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监测项目</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工频电场强度、工频磁感应强度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监测方法</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《交流输变电工程电磁环境监测方法（试行）》（HJ681-2013）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监测时间及频次</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竣工环境保护验收完成前监测 1 次，如有环保投诉或纠纷，根据需要进行监测。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2</w:t>
                  </w:r>
                </w:p>
              </w:tc>
              <w:tc>
                <w:tcPr>
                  <w:tcW w:w="1101" w:type="dxa"/>
                  <w:vMerge w:val="restart"/>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噪声</w:t>
                  </w: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点位布设</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扩建间隔侧，线路衰减断面、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监测项目</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等效连续 A 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监测方法</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《声环境质量标准》（GB3096-2008）、《工业企业厂界环境噪声排放标准》（GB12348-2008）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pPr>
                    <w:spacing w:line="240" w:lineRule="auto"/>
                    <w:ind w:firstLine="0" w:firstLineChars="0"/>
                    <w:jc w:val="center"/>
                    <w:rPr>
                      <w:rFonts w:cs="Times New Roman"/>
                      <w:bCs/>
                      <w:color w:val="auto"/>
                      <w:sz w:val="21"/>
                      <w:szCs w:val="21"/>
                    </w:rPr>
                  </w:pPr>
                </w:p>
              </w:tc>
              <w:tc>
                <w:tcPr>
                  <w:tcW w:w="1101" w:type="dxa"/>
                  <w:vMerge w:val="continue"/>
                  <w:vAlign w:val="center"/>
                </w:tcPr>
                <w:p>
                  <w:pPr>
                    <w:spacing w:line="240" w:lineRule="auto"/>
                    <w:ind w:firstLine="0" w:firstLineChars="0"/>
                    <w:jc w:val="center"/>
                    <w:rPr>
                      <w:rFonts w:cs="Times New Roman"/>
                      <w:bCs/>
                      <w:color w:val="auto"/>
                      <w:sz w:val="21"/>
                      <w:szCs w:val="21"/>
                    </w:rPr>
                  </w:pPr>
                </w:p>
              </w:tc>
              <w:tc>
                <w:tcPr>
                  <w:tcW w:w="1843"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监测时间及频次</w:t>
                  </w:r>
                </w:p>
              </w:tc>
              <w:tc>
                <w:tcPr>
                  <w:tcW w:w="4388" w:type="dxa"/>
                  <w:vAlign w:val="center"/>
                </w:tcPr>
                <w:p>
                  <w:pPr>
                    <w:spacing w:line="240" w:lineRule="auto"/>
                    <w:ind w:firstLine="0" w:firstLineChars="0"/>
                    <w:jc w:val="center"/>
                    <w:rPr>
                      <w:rFonts w:cs="Times New Roman"/>
                      <w:bCs/>
                      <w:color w:val="auto"/>
                      <w:sz w:val="21"/>
                      <w:szCs w:val="21"/>
                    </w:rPr>
                  </w:pPr>
                  <w:r>
                    <w:rPr>
                      <w:rFonts w:cs="Times New Roman"/>
                      <w:bCs/>
                      <w:color w:val="auto"/>
                      <w:sz w:val="21"/>
                      <w:szCs w:val="21"/>
                    </w:rPr>
                    <w:t>竣工环境保护验收完成前监测 1 次，如有环保投诉或纠纷，根据需要进行监测。</w:t>
                  </w:r>
                </w:p>
              </w:tc>
            </w:tr>
          </w:tbl>
          <w:p>
            <w:pPr>
              <w:ind w:firstLine="480"/>
              <w:rPr>
                <w:rFonts w:cs="Times New Roman"/>
                <w:bCs/>
                <w:color w:val="auto"/>
                <w:szCs w:val="24"/>
              </w:rPr>
            </w:pPr>
            <w:r>
              <w:rPr>
                <w:rFonts w:cs="Times New Roman"/>
                <w:bCs/>
                <w:color w:val="auto"/>
                <w:szCs w:val="24"/>
              </w:rPr>
              <w:t>（4）排污许可证申领</w:t>
            </w:r>
          </w:p>
          <w:p>
            <w:pPr>
              <w:ind w:firstLine="480"/>
              <w:rPr>
                <w:rFonts w:cs="Times New Roman"/>
                <w:bCs/>
                <w:color w:val="auto"/>
                <w:szCs w:val="24"/>
              </w:rPr>
            </w:pPr>
            <w:r>
              <w:rPr>
                <w:rFonts w:cs="Times New Roman"/>
                <w:bCs/>
                <w:color w:val="auto"/>
                <w:szCs w:val="24"/>
              </w:rPr>
              <w:t>根据《排污许可管理办法（试行）》（2018 年环境保护部部令第 48 号）规定，对照《固定污染源排污许可分类管理名录（2019 年版）》（2019 年环境保护部部令第 11号），输变电工程不在该目录中，不需要办理排污许可证。</w:t>
            </w: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p>
            <w:pPr>
              <w:ind w:firstLine="480"/>
              <w:rPr>
                <w:rFonts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tcPr>
          <w:p>
            <w:pPr>
              <w:spacing w:line="240" w:lineRule="auto"/>
              <w:ind w:firstLine="0" w:firstLineChars="0"/>
              <w:jc w:val="center"/>
              <w:rPr>
                <w:rFonts w:cs="Times New Roman"/>
                <w:color w:val="auto"/>
                <w:szCs w:val="24"/>
              </w:rPr>
            </w:pPr>
            <w:r>
              <w:rPr>
                <w:rFonts w:cs="Times New Roman"/>
                <w:color w:val="auto"/>
                <w:szCs w:val="24"/>
              </w:rPr>
              <w:t>环保投资</w:t>
            </w:r>
          </w:p>
        </w:tc>
        <w:tc>
          <w:tcPr>
            <w:tcW w:w="4739" w:type="pct"/>
          </w:tcPr>
          <w:p>
            <w:pPr>
              <w:adjustRightInd w:val="0"/>
              <w:snapToGrid w:val="0"/>
              <w:ind w:firstLine="520"/>
              <w:rPr>
                <w:rFonts w:eastAsia="宋体" w:cs="Times New Roman"/>
                <w:bCs/>
                <w:color w:val="auto"/>
                <w:spacing w:val="10"/>
                <w:szCs w:val="24"/>
              </w:rPr>
            </w:pPr>
            <w:r>
              <w:rPr>
                <w:rFonts w:eastAsia="宋体" w:cs="Times New Roman"/>
                <w:bCs/>
                <w:color w:val="auto"/>
                <w:spacing w:val="10"/>
                <w:szCs w:val="24"/>
              </w:rPr>
              <w:t>本工程总投资约</w:t>
            </w:r>
            <w:r>
              <w:rPr>
                <w:rFonts w:hint="eastAsia" w:eastAsia="宋体" w:cs="Times New Roman"/>
                <w:bCs/>
                <w:color w:val="auto"/>
                <w:spacing w:val="10"/>
                <w:szCs w:val="24"/>
              </w:rPr>
              <w:t>7094</w:t>
            </w:r>
            <w:r>
              <w:rPr>
                <w:rFonts w:eastAsia="宋体" w:cs="Times New Roman"/>
                <w:bCs/>
                <w:color w:val="auto"/>
                <w:spacing w:val="10"/>
                <w:szCs w:val="24"/>
              </w:rPr>
              <w:t>万元，预计环保投资约</w:t>
            </w:r>
            <w:r>
              <w:rPr>
                <w:rFonts w:hint="eastAsia" w:eastAsia="宋体" w:cs="Times New Roman"/>
                <w:bCs/>
                <w:color w:val="auto"/>
                <w:spacing w:val="10"/>
                <w:szCs w:val="24"/>
              </w:rPr>
              <w:t>40.9</w:t>
            </w:r>
            <w:r>
              <w:rPr>
                <w:rFonts w:eastAsia="宋体" w:cs="Times New Roman"/>
                <w:bCs/>
                <w:color w:val="auto"/>
                <w:spacing w:val="10"/>
                <w:szCs w:val="24"/>
              </w:rPr>
              <w:t>万元，占工程总投资的</w:t>
            </w:r>
            <w:r>
              <w:rPr>
                <w:rFonts w:hint="eastAsia" w:eastAsia="宋体" w:cs="Times New Roman"/>
                <w:bCs/>
                <w:color w:val="auto"/>
                <w:spacing w:val="10"/>
                <w:szCs w:val="24"/>
              </w:rPr>
              <w:t>0.58</w:t>
            </w:r>
            <w:r>
              <w:rPr>
                <w:rFonts w:eastAsia="宋体" w:cs="Times New Roman"/>
                <w:bCs/>
                <w:color w:val="auto"/>
                <w:spacing w:val="10"/>
                <w:szCs w:val="24"/>
              </w:rPr>
              <w:t>%。</w:t>
            </w:r>
          </w:p>
          <w:p>
            <w:pPr>
              <w:adjustRightInd w:val="0"/>
              <w:snapToGrid w:val="0"/>
              <w:spacing w:line="240" w:lineRule="auto"/>
              <w:ind w:firstLine="0" w:firstLineChars="0"/>
              <w:jc w:val="center"/>
              <w:rPr>
                <w:rFonts w:eastAsia="宋体" w:cs="Times New Roman"/>
                <w:b/>
                <w:bCs/>
                <w:color w:val="auto"/>
                <w:spacing w:val="10"/>
                <w:szCs w:val="24"/>
              </w:rPr>
            </w:pPr>
            <w:r>
              <w:rPr>
                <w:rFonts w:eastAsia="宋体" w:cs="Times New Roman"/>
                <w:b/>
                <w:bCs/>
                <w:color w:val="auto"/>
                <w:spacing w:val="10"/>
                <w:szCs w:val="24"/>
              </w:rPr>
              <w:t>表5-2项目主要环保投资明细表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388"/>
              <w:gridCol w:w="4690"/>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adjustRightInd w:val="0"/>
                    <w:snapToGrid w:val="0"/>
                    <w:spacing w:line="240" w:lineRule="auto"/>
                    <w:ind w:firstLine="0" w:firstLineChars="0"/>
                    <w:jc w:val="center"/>
                    <w:rPr>
                      <w:rFonts w:eastAsia="宋体" w:cs="Times New Roman"/>
                      <w:b/>
                      <w:bCs/>
                      <w:color w:val="auto"/>
                      <w:spacing w:val="10"/>
                      <w:sz w:val="21"/>
                      <w:szCs w:val="21"/>
                    </w:rPr>
                  </w:pPr>
                  <w:r>
                    <w:rPr>
                      <w:rFonts w:eastAsia="宋体" w:cs="Times New Roman"/>
                      <w:b/>
                      <w:bCs/>
                      <w:color w:val="auto"/>
                      <w:spacing w:val="10"/>
                      <w:sz w:val="21"/>
                      <w:szCs w:val="21"/>
                    </w:rPr>
                    <w:t>阶段</w:t>
                  </w:r>
                </w:p>
              </w:tc>
              <w:tc>
                <w:tcPr>
                  <w:tcW w:w="1418" w:type="dxa"/>
                  <w:vAlign w:val="center"/>
                </w:tcPr>
                <w:p>
                  <w:pPr>
                    <w:adjustRightInd w:val="0"/>
                    <w:snapToGrid w:val="0"/>
                    <w:spacing w:line="240" w:lineRule="auto"/>
                    <w:ind w:firstLine="0" w:firstLineChars="0"/>
                    <w:jc w:val="center"/>
                    <w:rPr>
                      <w:rFonts w:eastAsia="宋体" w:cs="Times New Roman"/>
                      <w:b/>
                      <w:bCs/>
                      <w:color w:val="auto"/>
                      <w:spacing w:val="10"/>
                      <w:sz w:val="21"/>
                      <w:szCs w:val="21"/>
                    </w:rPr>
                  </w:pPr>
                  <w:r>
                    <w:rPr>
                      <w:rFonts w:eastAsia="宋体" w:cs="Times New Roman"/>
                      <w:b/>
                      <w:bCs/>
                      <w:color w:val="auto"/>
                      <w:spacing w:val="10"/>
                      <w:sz w:val="21"/>
                      <w:szCs w:val="21"/>
                    </w:rPr>
                    <w:t>内容</w:t>
                  </w:r>
                </w:p>
              </w:tc>
              <w:tc>
                <w:tcPr>
                  <w:tcW w:w="4819" w:type="dxa"/>
                  <w:vAlign w:val="center"/>
                </w:tcPr>
                <w:p>
                  <w:pPr>
                    <w:adjustRightInd w:val="0"/>
                    <w:snapToGrid w:val="0"/>
                    <w:spacing w:line="240" w:lineRule="auto"/>
                    <w:ind w:firstLine="0" w:firstLineChars="0"/>
                    <w:jc w:val="center"/>
                    <w:rPr>
                      <w:rFonts w:eastAsia="宋体" w:cs="Times New Roman"/>
                      <w:b/>
                      <w:bCs/>
                      <w:color w:val="auto"/>
                      <w:spacing w:val="10"/>
                      <w:sz w:val="21"/>
                      <w:szCs w:val="21"/>
                    </w:rPr>
                  </w:pPr>
                  <w:r>
                    <w:rPr>
                      <w:rFonts w:eastAsia="宋体" w:cs="Times New Roman"/>
                      <w:b/>
                      <w:bCs/>
                      <w:color w:val="auto"/>
                      <w:spacing w:val="10"/>
                      <w:sz w:val="21"/>
                      <w:szCs w:val="21"/>
                    </w:rPr>
                    <w:t>治理措施</w:t>
                  </w:r>
                </w:p>
              </w:tc>
              <w:tc>
                <w:tcPr>
                  <w:tcW w:w="1272" w:type="dxa"/>
                  <w:vAlign w:val="center"/>
                </w:tcPr>
                <w:p>
                  <w:pPr>
                    <w:adjustRightInd w:val="0"/>
                    <w:snapToGrid w:val="0"/>
                    <w:spacing w:line="240" w:lineRule="auto"/>
                    <w:ind w:firstLine="0" w:firstLineChars="0"/>
                    <w:jc w:val="center"/>
                    <w:rPr>
                      <w:rFonts w:eastAsia="宋体" w:cs="Times New Roman"/>
                      <w:b/>
                      <w:bCs/>
                      <w:color w:val="auto"/>
                      <w:spacing w:val="10"/>
                      <w:sz w:val="21"/>
                      <w:szCs w:val="21"/>
                    </w:rPr>
                  </w:pPr>
                  <w:r>
                    <w:rPr>
                      <w:rFonts w:eastAsia="宋体" w:cs="Times New Roman"/>
                      <w:b/>
                      <w:bCs/>
                      <w:color w:val="auto"/>
                      <w:spacing w:val="10"/>
                      <w:sz w:val="21"/>
                      <w:szCs w:val="21"/>
                    </w:rPr>
                    <w:t>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施工期</w:t>
                  </w:r>
                </w:p>
              </w:tc>
              <w:tc>
                <w:tcPr>
                  <w:tcW w:w="1418"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废气</w:t>
                  </w:r>
                </w:p>
              </w:tc>
              <w:tc>
                <w:tcPr>
                  <w:tcW w:w="4819"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洒水降尘、材料覆盖、加强对设备和运输车辆的检修和维护</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adjustRightInd w:val="0"/>
                    <w:snapToGrid w:val="0"/>
                    <w:spacing w:line="240" w:lineRule="auto"/>
                    <w:ind w:firstLine="0" w:firstLineChars="0"/>
                    <w:jc w:val="center"/>
                    <w:rPr>
                      <w:rFonts w:eastAsia="宋体" w:cs="Times New Roman"/>
                      <w:bCs/>
                      <w:color w:val="auto"/>
                      <w:spacing w:val="10"/>
                      <w:sz w:val="21"/>
                      <w:szCs w:val="21"/>
                    </w:rPr>
                  </w:pPr>
                </w:p>
              </w:tc>
              <w:tc>
                <w:tcPr>
                  <w:tcW w:w="1418"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固体废物</w:t>
                  </w:r>
                </w:p>
              </w:tc>
              <w:tc>
                <w:tcPr>
                  <w:tcW w:w="4819"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垃圾收集、清运处置</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7" w:type="dxa"/>
                  <w:vMerge w:val="continue"/>
                  <w:vAlign w:val="center"/>
                </w:tcPr>
                <w:p>
                  <w:pPr>
                    <w:adjustRightInd w:val="0"/>
                    <w:snapToGrid w:val="0"/>
                    <w:spacing w:line="240" w:lineRule="auto"/>
                    <w:ind w:firstLine="0" w:firstLineChars="0"/>
                    <w:jc w:val="center"/>
                    <w:rPr>
                      <w:rFonts w:eastAsia="宋体" w:cs="Times New Roman"/>
                      <w:bCs/>
                      <w:color w:val="auto"/>
                      <w:spacing w:val="10"/>
                      <w:sz w:val="21"/>
                      <w:szCs w:val="21"/>
                    </w:rPr>
                  </w:pPr>
                </w:p>
              </w:tc>
              <w:tc>
                <w:tcPr>
                  <w:tcW w:w="1418"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噪声</w:t>
                  </w:r>
                </w:p>
              </w:tc>
              <w:tc>
                <w:tcPr>
                  <w:tcW w:w="4819"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选用低噪声设备；道路养护和车辆的维修保养</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pPr>
                    <w:adjustRightInd w:val="0"/>
                    <w:snapToGrid w:val="0"/>
                    <w:spacing w:line="240" w:lineRule="auto"/>
                    <w:ind w:firstLine="0" w:firstLineChars="0"/>
                    <w:jc w:val="center"/>
                    <w:rPr>
                      <w:rFonts w:eastAsia="宋体" w:cs="Times New Roman"/>
                      <w:bCs/>
                      <w:color w:val="auto"/>
                      <w:spacing w:val="10"/>
                      <w:sz w:val="21"/>
                      <w:szCs w:val="21"/>
                    </w:rPr>
                  </w:pPr>
                </w:p>
              </w:tc>
              <w:tc>
                <w:tcPr>
                  <w:tcW w:w="1418"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生态恢复</w:t>
                  </w:r>
                </w:p>
              </w:tc>
              <w:tc>
                <w:tcPr>
                  <w:tcW w:w="4819"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表土剥离、堆存、密目网苫盖，植被恢复等</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运营期</w:t>
                  </w:r>
                </w:p>
              </w:tc>
              <w:tc>
                <w:tcPr>
                  <w:tcW w:w="1418"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电磁环境</w:t>
                  </w:r>
                </w:p>
              </w:tc>
              <w:tc>
                <w:tcPr>
                  <w:tcW w:w="4819"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设置安全警示标志，标明严禁攀登、线</w:t>
                  </w:r>
                </w:p>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下高位操作应有防护措施等安全注意</w:t>
                  </w:r>
                </w:p>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事项，加强巡查</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4" w:type="dxa"/>
                  <w:gridSpan w:val="3"/>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bCs/>
                      <w:color w:val="auto"/>
                      <w:spacing w:val="10"/>
                      <w:sz w:val="21"/>
                      <w:szCs w:val="21"/>
                    </w:rPr>
                    <w:t>合计</w:t>
                  </w:r>
                </w:p>
              </w:tc>
              <w:tc>
                <w:tcPr>
                  <w:tcW w:w="1272" w:type="dxa"/>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hint="eastAsia" w:eastAsia="宋体" w:cs="Times New Roman"/>
                      <w:bCs/>
                      <w:color w:val="auto"/>
                      <w:spacing w:val="10"/>
                      <w:sz w:val="21"/>
                      <w:szCs w:val="21"/>
                    </w:rPr>
                    <w:t>40.9</w:t>
                  </w:r>
                </w:p>
              </w:tc>
            </w:tr>
          </w:tbl>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p>
            <w:pPr>
              <w:adjustRightInd w:val="0"/>
              <w:snapToGrid w:val="0"/>
              <w:spacing w:line="240" w:lineRule="auto"/>
              <w:ind w:firstLine="0" w:firstLineChars="0"/>
              <w:rPr>
                <w:rFonts w:cs="Times New Roman"/>
                <w:color w:val="auto"/>
                <w:szCs w:val="24"/>
              </w:rPr>
            </w:pPr>
          </w:p>
        </w:tc>
      </w:tr>
    </w:tbl>
    <w:p>
      <w:pPr>
        <w:ind w:firstLine="480"/>
        <w:rPr>
          <w:color w:val="auto"/>
          <w:szCs w:val="24"/>
        </w:rPr>
      </w:pPr>
      <w:r>
        <w:rPr>
          <w:color w:val="auto"/>
          <w:szCs w:val="24"/>
        </w:rPr>
        <w:br w:type="page"/>
      </w:r>
    </w:p>
    <w:p>
      <w:pPr>
        <w:pStyle w:val="2"/>
        <w:rPr>
          <w:color w:val="auto"/>
        </w:rPr>
      </w:pPr>
      <w:bookmarkStart w:id="16" w:name="_Toc147654121"/>
      <w:bookmarkStart w:id="17" w:name="_Toc147654220"/>
      <w:r>
        <w:rPr>
          <w:color w:val="auto"/>
        </w:rPr>
        <w:t>六、生态环境保护措施监督检查清单</w:t>
      </w:r>
      <w:bookmarkEnd w:id="16"/>
      <w:bookmarkEnd w:id="17"/>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122"/>
        <w:gridCol w:w="950"/>
        <w:gridCol w:w="2817"/>
        <w:gridCol w:w="1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38" w:type="pct"/>
            <w:vMerge w:val="restart"/>
            <w:tcBorders>
              <w:tl2br w:val="single" w:color="auto" w:sz="4" w:space="0"/>
            </w:tcBorders>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内容</w:t>
            </w:r>
          </w:p>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 xml:space="preserve">要素       </w:t>
            </w:r>
          </w:p>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 xml:space="preserve">        </w:t>
            </w:r>
          </w:p>
        </w:tc>
        <w:tc>
          <w:tcPr>
            <w:tcW w:w="2335" w:type="pct"/>
            <w:gridSpan w:val="2"/>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施工期</w:t>
            </w:r>
          </w:p>
        </w:tc>
        <w:tc>
          <w:tcPr>
            <w:tcW w:w="2227" w:type="pct"/>
            <w:gridSpan w:val="2"/>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8" w:type="pct"/>
            <w:vMerge w:val="continue"/>
          </w:tcPr>
          <w:p>
            <w:pPr>
              <w:widowControl/>
              <w:adjustRightInd w:val="0"/>
              <w:snapToGrid w:val="0"/>
              <w:spacing w:line="240" w:lineRule="auto"/>
              <w:ind w:firstLine="0" w:firstLineChars="0"/>
              <w:jc w:val="center"/>
              <w:rPr>
                <w:rFonts w:eastAsia="宋体" w:cs="Times New Roman"/>
                <w:color w:val="auto"/>
                <w:sz w:val="21"/>
                <w:szCs w:val="21"/>
              </w:rPr>
            </w:pPr>
          </w:p>
        </w:tc>
        <w:tc>
          <w:tcPr>
            <w:tcW w:w="1790" w:type="pct"/>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环境保护措施</w:t>
            </w:r>
          </w:p>
        </w:tc>
        <w:tc>
          <w:tcPr>
            <w:tcW w:w="545" w:type="pct"/>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验收要求</w:t>
            </w:r>
          </w:p>
        </w:tc>
        <w:tc>
          <w:tcPr>
            <w:tcW w:w="1615" w:type="pct"/>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环境保护措施</w:t>
            </w:r>
          </w:p>
        </w:tc>
        <w:tc>
          <w:tcPr>
            <w:tcW w:w="612" w:type="pct"/>
            <w:vAlign w:val="center"/>
          </w:tcPr>
          <w:p>
            <w:pPr>
              <w:widowControl/>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陆生生态</w:t>
            </w:r>
          </w:p>
        </w:tc>
        <w:tc>
          <w:tcPr>
            <w:tcW w:w="1790" w:type="pct"/>
            <w:vAlign w:val="center"/>
          </w:tcPr>
          <w:p>
            <w:pPr>
              <w:adjustRightInd w:val="0"/>
              <w:snapToGrid w:val="0"/>
              <w:spacing w:line="240" w:lineRule="auto"/>
              <w:ind w:firstLine="0" w:firstLineChars="0"/>
              <w:jc w:val="center"/>
              <w:rPr>
                <w:rFonts w:eastAsia="宋体" w:cs="Times New Roman"/>
                <w:bCs/>
                <w:color w:val="auto"/>
                <w:spacing w:val="10"/>
                <w:sz w:val="21"/>
                <w:szCs w:val="21"/>
              </w:rPr>
            </w:pPr>
            <w:r>
              <w:rPr>
                <w:rFonts w:eastAsia="宋体" w:cs="Times New Roman"/>
                <w:color w:val="auto"/>
                <w:sz w:val="21"/>
                <w:szCs w:val="21"/>
              </w:rPr>
              <w:fldChar w:fldCharType="begin"/>
            </w:r>
            <w:r>
              <w:rPr>
                <w:rFonts w:eastAsia="宋体" w:cs="Times New Roman"/>
                <w:color w:val="auto"/>
                <w:sz w:val="21"/>
                <w:szCs w:val="21"/>
              </w:rPr>
              <w:instrText xml:space="preserve"> </w:instrText>
            </w:r>
            <w:r>
              <w:rPr>
                <w:rFonts w:hint="eastAsia" w:eastAsia="宋体" w:cs="Times New Roman"/>
                <w:color w:val="auto"/>
                <w:sz w:val="21"/>
                <w:szCs w:val="21"/>
              </w:rPr>
              <w:instrText xml:space="preserve">= 1 \* GB3</w:instrText>
            </w:r>
            <w:r>
              <w:rPr>
                <w:rFonts w:eastAsia="宋体" w:cs="Times New Roman"/>
                <w:color w:val="auto"/>
                <w:sz w:val="21"/>
                <w:szCs w:val="21"/>
              </w:rPr>
              <w:instrText xml:space="preserve"> </w:instrText>
            </w:r>
            <w:r>
              <w:rPr>
                <w:rFonts w:eastAsia="宋体" w:cs="Times New Roman"/>
                <w:color w:val="auto"/>
                <w:sz w:val="21"/>
                <w:szCs w:val="21"/>
              </w:rPr>
              <w:fldChar w:fldCharType="separate"/>
            </w:r>
            <w:r>
              <w:rPr>
                <w:rFonts w:hint="eastAsia" w:eastAsia="宋体" w:cs="Times New Roman"/>
                <w:color w:val="auto"/>
                <w:sz w:val="21"/>
                <w:szCs w:val="21"/>
              </w:rPr>
              <w:t>①</w:t>
            </w:r>
            <w:r>
              <w:rPr>
                <w:rFonts w:eastAsia="宋体" w:cs="Times New Roman"/>
                <w:color w:val="auto"/>
                <w:sz w:val="21"/>
                <w:szCs w:val="21"/>
              </w:rPr>
              <w:fldChar w:fldCharType="end"/>
            </w:r>
            <w:r>
              <w:rPr>
                <w:rFonts w:eastAsia="宋体" w:cs="Times New Roman"/>
                <w:color w:val="auto"/>
                <w:sz w:val="21"/>
                <w:szCs w:val="21"/>
              </w:rPr>
              <w:t>剥离表土，密目网苫盖，施工结束后回覆表土并恢复种植或绿化。</w:t>
            </w:r>
            <w:r>
              <w:rPr>
                <w:rFonts w:hint="eastAsia" w:ascii="宋体" w:hAnsi="宋体" w:eastAsia="宋体" w:cs="宋体"/>
                <w:color w:val="auto"/>
                <w:sz w:val="21"/>
                <w:szCs w:val="21"/>
              </w:rPr>
              <w:t>②</w:t>
            </w:r>
            <w:r>
              <w:rPr>
                <w:rFonts w:eastAsia="宋体" w:cs="Times New Roman"/>
                <w:color w:val="auto"/>
                <w:sz w:val="21"/>
                <w:szCs w:val="21"/>
              </w:rPr>
              <w:t>采取绿色施工工艺，减少地表开挖及扰动。</w:t>
            </w:r>
            <w:r>
              <w:rPr>
                <w:rFonts w:eastAsia="宋体" w:cs="Times New Roman"/>
                <w:bCs/>
                <w:color w:val="auto"/>
                <w:sz w:val="21"/>
                <w:szCs w:val="21"/>
              </w:rPr>
              <w:t>合理规划施工临时道路、牵张场等临时场地，合理划定施工范围和人员、车辆的行走路线，避免对施工范围之外区域的动植物造成碾压和破坏。</w:t>
            </w:r>
            <w:r>
              <w:rPr>
                <w:rFonts w:hint="eastAsia" w:eastAsia="宋体" w:cs="Times New Roman"/>
                <w:color w:val="auto"/>
                <w:sz w:val="21"/>
                <w:szCs w:val="21"/>
              </w:rPr>
              <w:t>茶花变电站</w:t>
            </w:r>
            <w:r>
              <w:rPr>
                <w:rFonts w:eastAsia="宋体" w:cs="Times New Roman"/>
                <w:bCs/>
                <w:color w:val="auto"/>
                <w:sz w:val="21"/>
                <w:szCs w:val="21"/>
              </w:rPr>
              <w:t>间隔扩建施工期间将站区的施工严格控制在变电站围墙范围内，避免施工活动对站外生态环境造成扰动；施工便道应充分利用周边现有交通道路设置，杆塔、导线等施工材料尽可能布置于现有空地或植被较稀疏的地方。</w:t>
            </w:r>
            <w:r>
              <w:rPr>
                <w:rFonts w:hint="eastAsia" w:ascii="宋体" w:hAnsi="宋体" w:eastAsia="宋体" w:cs="宋体"/>
                <w:color w:val="auto"/>
                <w:sz w:val="21"/>
                <w:szCs w:val="21"/>
              </w:rPr>
              <w:t>③</w:t>
            </w:r>
            <w:r>
              <w:rPr>
                <w:rFonts w:eastAsia="宋体" w:cs="Times New Roman"/>
                <w:bCs/>
                <w:color w:val="auto"/>
                <w:sz w:val="21"/>
                <w:szCs w:val="21"/>
              </w:rPr>
              <w:t>对输电线路的施工临时占地和塔基未固化的部分，根据原占地类型进行生态恢复，尽量保持与周围环境一致</w:t>
            </w:r>
            <w:r>
              <w:rPr>
                <w:rFonts w:eastAsia="宋体" w:cs="Times New Roman"/>
                <w:color w:val="auto"/>
                <w:sz w:val="21"/>
                <w:szCs w:val="21"/>
              </w:rPr>
              <w:t>。</w:t>
            </w:r>
            <w:r>
              <w:rPr>
                <w:rFonts w:eastAsia="宋体" w:cs="Times New Roman"/>
                <w:color w:val="auto"/>
                <w:sz w:val="21"/>
                <w:szCs w:val="21"/>
              </w:rPr>
              <w:fldChar w:fldCharType="begin"/>
            </w:r>
            <w:r>
              <w:rPr>
                <w:rFonts w:eastAsia="宋体" w:cs="Times New Roman"/>
                <w:color w:val="auto"/>
                <w:sz w:val="21"/>
                <w:szCs w:val="21"/>
              </w:rPr>
              <w:instrText xml:space="preserve"> = 4 \* GB3 </w:instrText>
            </w:r>
            <w:r>
              <w:rPr>
                <w:rFonts w:eastAsia="宋体" w:cs="Times New Roman"/>
                <w:color w:val="auto"/>
                <w:sz w:val="21"/>
                <w:szCs w:val="21"/>
              </w:rPr>
              <w:fldChar w:fldCharType="separate"/>
            </w:r>
            <w:r>
              <w:rPr>
                <w:rFonts w:hint="eastAsia" w:ascii="宋体" w:hAnsi="宋体" w:eastAsia="宋体" w:cs="宋体"/>
                <w:color w:val="auto"/>
                <w:sz w:val="21"/>
                <w:szCs w:val="21"/>
              </w:rPr>
              <w:t>④</w:t>
            </w:r>
            <w:r>
              <w:rPr>
                <w:rFonts w:eastAsia="宋体" w:cs="Times New Roman"/>
                <w:color w:val="auto"/>
                <w:sz w:val="21"/>
                <w:szCs w:val="21"/>
              </w:rPr>
              <w:fldChar w:fldCharType="end"/>
            </w:r>
            <w:r>
              <w:rPr>
                <w:rFonts w:eastAsia="宋体" w:cs="Times New Roman"/>
                <w:bCs/>
                <w:color w:val="auto"/>
                <w:sz w:val="21"/>
                <w:szCs w:val="21"/>
              </w:rPr>
              <w:t>选用低噪声环保施工设备，采取降噪措施降低施工噪声对周边野生动物的影响，禁止夜间施工灯光对野生动物影响。</w:t>
            </w:r>
            <w:r>
              <w:rPr>
                <w:rFonts w:eastAsia="宋体" w:cs="Times New Roman"/>
                <w:bCs/>
                <w:color w:val="auto"/>
                <w:spacing w:val="10"/>
                <w:sz w:val="21"/>
                <w:szCs w:val="21"/>
              </w:rPr>
              <w:fldChar w:fldCharType="begin"/>
            </w:r>
            <w:r>
              <w:rPr>
                <w:rFonts w:eastAsia="宋体" w:cs="Times New Roman"/>
                <w:bCs/>
                <w:color w:val="auto"/>
                <w:spacing w:val="10"/>
                <w:sz w:val="21"/>
                <w:szCs w:val="21"/>
              </w:rPr>
              <w:instrText xml:space="preserve"> = 5 \* GB3 </w:instrText>
            </w:r>
            <w:r>
              <w:rPr>
                <w:rFonts w:eastAsia="宋体" w:cs="Times New Roman"/>
                <w:bCs/>
                <w:color w:val="auto"/>
                <w:spacing w:val="10"/>
                <w:sz w:val="21"/>
                <w:szCs w:val="21"/>
              </w:rPr>
              <w:fldChar w:fldCharType="separate"/>
            </w:r>
            <w:r>
              <w:rPr>
                <w:rFonts w:hint="eastAsia" w:ascii="宋体" w:hAnsi="宋体" w:eastAsia="宋体" w:cs="宋体"/>
                <w:bCs/>
                <w:color w:val="auto"/>
                <w:spacing w:val="10"/>
                <w:sz w:val="21"/>
                <w:szCs w:val="21"/>
              </w:rPr>
              <w:t>⑤</w:t>
            </w:r>
            <w:r>
              <w:rPr>
                <w:rFonts w:eastAsia="宋体" w:cs="Times New Roman"/>
                <w:bCs/>
                <w:color w:val="auto"/>
                <w:spacing w:val="10"/>
                <w:sz w:val="21"/>
                <w:szCs w:val="21"/>
              </w:rPr>
              <w:fldChar w:fldCharType="end"/>
            </w:r>
            <w:r>
              <w:rPr>
                <w:rFonts w:eastAsia="宋体" w:cs="Times New Roman"/>
                <w:bCs/>
                <w:color w:val="auto"/>
                <w:spacing w:val="10"/>
                <w:sz w:val="21"/>
                <w:szCs w:val="21"/>
              </w:rPr>
              <w:t>加快施工进度，对已开挖的基础加快回填，对未能及时回填的裸露地表采取临时密目网苫盖。</w:t>
            </w:r>
            <w:r>
              <w:rPr>
                <w:rFonts w:eastAsia="宋体" w:cs="Times New Roman"/>
                <w:bCs/>
                <w:color w:val="auto"/>
                <w:spacing w:val="10"/>
                <w:sz w:val="21"/>
                <w:szCs w:val="21"/>
              </w:rPr>
              <w:fldChar w:fldCharType="begin"/>
            </w:r>
            <w:r>
              <w:rPr>
                <w:rFonts w:eastAsia="宋体" w:cs="Times New Roman"/>
                <w:bCs/>
                <w:color w:val="auto"/>
                <w:spacing w:val="10"/>
                <w:sz w:val="21"/>
                <w:szCs w:val="21"/>
              </w:rPr>
              <w:instrText xml:space="preserve"> = 6 \* GB3 </w:instrText>
            </w:r>
            <w:r>
              <w:rPr>
                <w:rFonts w:eastAsia="宋体" w:cs="Times New Roman"/>
                <w:bCs/>
                <w:color w:val="auto"/>
                <w:spacing w:val="10"/>
                <w:sz w:val="21"/>
                <w:szCs w:val="21"/>
              </w:rPr>
              <w:fldChar w:fldCharType="separate"/>
            </w:r>
            <w:r>
              <w:rPr>
                <w:rFonts w:hint="eastAsia" w:ascii="宋体" w:hAnsi="宋体" w:eastAsia="宋体" w:cs="宋体"/>
                <w:bCs/>
                <w:color w:val="auto"/>
                <w:spacing w:val="10"/>
                <w:sz w:val="21"/>
                <w:szCs w:val="21"/>
              </w:rPr>
              <w:t>⑥</w:t>
            </w:r>
            <w:r>
              <w:rPr>
                <w:rFonts w:eastAsia="宋体" w:cs="Times New Roman"/>
                <w:bCs/>
                <w:color w:val="auto"/>
                <w:spacing w:val="10"/>
                <w:sz w:val="21"/>
                <w:szCs w:val="21"/>
              </w:rPr>
              <w:fldChar w:fldCharType="end"/>
            </w:r>
            <w:r>
              <w:rPr>
                <w:rFonts w:eastAsia="宋体" w:cs="Times New Roman"/>
                <w:bCs/>
                <w:color w:val="auto"/>
                <w:spacing w:val="10"/>
                <w:sz w:val="21"/>
                <w:szCs w:val="21"/>
              </w:rPr>
              <w:t>在施工区竖立防火警示牌，严格控制用火；设立专人进行专项检查和监督，以预防和杜绝火灾发生。</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落实环保措施</w:t>
            </w:r>
          </w:p>
        </w:tc>
        <w:tc>
          <w:tcPr>
            <w:tcW w:w="1615" w:type="pct"/>
            <w:vAlign w:val="center"/>
          </w:tcPr>
          <w:p>
            <w:pPr>
              <w:adjustRightInd w:val="0"/>
              <w:snapToGrid w:val="0"/>
              <w:spacing w:line="240" w:lineRule="auto"/>
              <w:ind w:firstLine="0" w:firstLineChars="0"/>
              <w:jc w:val="center"/>
              <w:rPr>
                <w:rFonts w:eastAsia="宋体" w:cs="Times New Roman"/>
                <w:bCs/>
                <w:color w:val="auto"/>
                <w:sz w:val="21"/>
                <w:szCs w:val="21"/>
              </w:rPr>
            </w:pPr>
            <w:r>
              <w:rPr>
                <w:rFonts w:eastAsia="宋体" w:cs="Times New Roman"/>
                <w:bCs/>
                <w:color w:val="auto"/>
                <w:sz w:val="21"/>
                <w:szCs w:val="21"/>
              </w:rPr>
              <w:fldChar w:fldCharType="begin"/>
            </w:r>
            <w:r>
              <w:rPr>
                <w:rFonts w:eastAsia="宋体" w:cs="Times New Roman"/>
                <w:bCs/>
                <w:color w:val="auto"/>
                <w:sz w:val="21"/>
                <w:szCs w:val="21"/>
              </w:rPr>
              <w:instrText xml:space="preserve"> = 1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①</w:t>
            </w:r>
            <w:r>
              <w:rPr>
                <w:rFonts w:eastAsia="宋体" w:cs="Times New Roman"/>
                <w:bCs/>
                <w:color w:val="auto"/>
                <w:sz w:val="21"/>
                <w:szCs w:val="21"/>
              </w:rPr>
              <w:fldChar w:fldCharType="end"/>
            </w:r>
            <w:r>
              <w:rPr>
                <w:rFonts w:eastAsia="宋体" w:cs="Times New Roman"/>
                <w:bCs/>
                <w:color w:val="auto"/>
                <w:sz w:val="21"/>
                <w:szCs w:val="21"/>
              </w:rPr>
              <w:t>强化对线路巡维人员的生态保护意识教育，加强管理，禁止滥采滥伐和捕猎野生动物，避免因此导致的沿线自然植被破坏和野生动物的影响；</w:t>
            </w:r>
            <w:r>
              <w:rPr>
                <w:rFonts w:eastAsia="宋体" w:cs="Times New Roman"/>
                <w:bCs/>
                <w:color w:val="auto"/>
                <w:sz w:val="21"/>
                <w:szCs w:val="21"/>
              </w:rPr>
              <w:fldChar w:fldCharType="begin"/>
            </w:r>
            <w:r>
              <w:rPr>
                <w:rFonts w:eastAsia="宋体" w:cs="Times New Roman"/>
                <w:bCs/>
                <w:color w:val="auto"/>
                <w:sz w:val="21"/>
                <w:szCs w:val="21"/>
              </w:rPr>
              <w:instrText xml:space="preserve"> = 2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②</w:t>
            </w:r>
            <w:r>
              <w:rPr>
                <w:rFonts w:eastAsia="宋体" w:cs="Times New Roman"/>
                <w:bCs/>
                <w:color w:val="auto"/>
                <w:sz w:val="21"/>
                <w:szCs w:val="21"/>
              </w:rPr>
              <w:fldChar w:fldCharType="end"/>
            </w:r>
            <w:r>
              <w:rPr>
                <w:rFonts w:eastAsia="宋体" w:cs="Times New Roman"/>
                <w:bCs/>
                <w:color w:val="auto"/>
                <w:sz w:val="21"/>
                <w:szCs w:val="21"/>
              </w:rPr>
              <w:t>定期对线路沿线生态保护和防护措施及设施进行检查，跟踪生态保护与恢复效果，以便及时采取后续措施。</w:t>
            </w:r>
          </w:p>
          <w:p>
            <w:pPr>
              <w:adjustRightInd w:val="0"/>
              <w:snapToGrid w:val="0"/>
              <w:spacing w:line="240" w:lineRule="auto"/>
              <w:ind w:firstLine="0" w:firstLineChars="0"/>
              <w:jc w:val="center"/>
              <w:rPr>
                <w:rFonts w:eastAsia="宋体" w:cs="Times New Roman"/>
                <w:color w:val="auto"/>
                <w:sz w:val="21"/>
                <w:szCs w:val="21"/>
              </w:rPr>
            </w:pP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落实环保措施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水生生态</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地表水环境</w:t>
            </w:r>
          </w:p>
        </w:tc>
        <w:tc>
          <w:tcPr>
            <w:tcW w:w="1790" w:type="pct"/>
            <w:vAlign w:val="center"/>
          </w:tcPr>
          <w:p>
            <w:pPr>
              <w:adjustRightInd w:val="0"/>
              <w:snapToGrid w:val="0"/>
              <w:spacing w:line="240" w:lineRule="auto"/>
              <w:ind w:firstLine="0" w:firstLineChars="0"/>
              <w:jc w:val="center"/>
              <w:rPr>
                <w:rFonts w:eastAsia="宋体" w:cs="Times New Roman"/>
                <w:bCs/>
                <w:color w:val="auto"/>
                <w:sz w:val="21"/>
                <w:szCs w:val="21"/>
              </w:rPr>
            </w:pPr>
            <w:r>
              <w:rPr>
                <w:rFonts w:eastAsia="宋体" w:cs="Times New Roman"/>
                <w:bCs/>
                <w:color w:val="auto"/>
                <w:sz w:val="21"/>
                <w:szCs w:val="21"/>
              </w:rPr>
              <w:t>间隔扩建工程施工人员产生的生活污水经</w:t>
            </w:r>
            <w:r>
              <w:rPr>
                <w:rFonts w:hint="eastAsia" w:eastAsia="宋体" w:cs="Times New Roman"/>
                <w:bCs/>
                <w:color w:val="auto"/>
                <w:sz w:val="21"/>
                <w:szCs w:val="21"/>
              </w:rPr>
              <w:t>茶花变</w:t>
            </w:r>
            <w:r>
              <w:rPr>
                <w:rFonts w:eastAsia="宋体" w:cs="Times New Roman"/>
                <w:bCs/>
                <w:color w:val="auto"/>
                <w:sz w:val="21"/>
                <w:szCs w:val="21"/>
              </w:rPr>
              <w:t>电站已有的污水处理设施处理后定期清运处理；输电线路采用商品混凝土，基本无施工废水产生。施工人员租住周边民房，生活污水依托民房现有设施处理。</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落实环保措施</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地下水及土壤环境</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声环境</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合理安排施工时间，高噪声施工时间尽量安排在昼间；优先选用低噪声施工工艺和施工机械；</w:t>
            </w:r>
            <w:r>
              <w:rPr>
                <w:rFonts w:eastAsia="宋体" w:cs="Times New Roman"/>
                <w:bCs/>
                <w:color w:val="auto"/>
                <w:sz w:val="21"/>
                <w:szCs w:val="21"/>
              </w:rPr>
              <w:t>施工车辆经过居民区时减缓行驶速度，减少鸣笛；距离居民区较近的输电线路施工，施工前施工场地周围应先设置围挡，严格控制人为噪声，并应采取措施控制施工中的噪声与振动，最大限度地减少噪声扰民。</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满足《建筑施工场界环境噪声排放标准》（GB12</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523-201</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1）标准</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bCs/>
                <w:color w:val="auto"/>
                <w:sz w:val="21"/>
                <w:szCs w:val="21"/>
              </w:rPr>
              <w:t>在设备选型时选用符合国家噪声标准的低噪声施工设备。</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达到《工</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业企业厂界环境噪声排放标</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准》（GB1</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2348-2</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008）1</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振动</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大气环境</w:t>
            </w:r>
          </w:p>
        </w:tc>
        <w:tc>
          <w:tcPr>
            <w:tcW w:w="1790" w:type="pct"/>
            <w:vAlign w:val="center"/>
          </w:tcPr>
          <w:p>
            <w:pPr>
              <w:adjustRightInd w:val="0"/>
              <w:snapToGrid w:val="0"/>
              <w:spacing w:line="240" w:lineRule="auto"/>
              <w:ind w:firstLine="0" w:firstLineChars="0"/>
              <w:jc w:val="center"/>
              <w:rPr>
                <w:rFonts w:eastAsia="宋体" w:cs="Times New Roman"/>
                <w:bCs/>
                <w:color w:val="auto"/>
                <w:sz w:val="21"/>
                <w:szCs w:val="21"/>
              </w:rPr>
            </w:pPr>
            <w:r>
              <w:rPr>
                <w:rFonts w:hint="eastAsia" w:ascii="宋体" w:hAnsi="宋体" w:eastAsia="宋体" w:cs="宋体"/>
                <w:bCs/>
                <w:color w:val="auto"/>
                <w:sz w:val="21"/>
                <w:szCs w:val="21"/>
              </w:rPr>
              <w:t>①</w:t>
            </w:r>
            <w:r>
              <w:rPr>
                <w:rFonts w:eastAsia="宋体" w:cs="Times New Roman"/>
                <w:bCs/>
                <w:color w:val="auto"/>
                <w:sz w:val="21"/>
                <w:szCs w:val="21"/>
              </w:rPr>
              <w:t>施工单位应文明施工，加强施工期的环境管理和环境监控工作。施工单位在塔基开挖时，应对临时堆砌的土方进行合理遮盖，减少大风天气引起的二次扬尘，施工完毕后及时进行回填压实。</w:t>
            </w:r>
            <w:r>
              <w:rPr>
                <w:rFonts w:hint="eastAsia" w:ascii="宋体" w:hAnsi="宋体" w:eastAsia="宋体" w:cs="宋体"/>
                <w:bCs/>
                <w:color w:val="auto"/>
                <w:sz w:val="21"/>
                <w:szCs w:val="21"/>
              </w:rPr>
              <w:t>②</w:t>
            </w:r>
            <w:r>
              <w:rPr>
                <w:rFonts w:eastAsia="宋体" w:cs="Times New Roman"/>
                <w:bCs/>
                <w:color w:val="auto"/>
                <w:sz w:val="21"/>
                <w:szCs w:val="21"/>
              </w:rPr>
              <w:t>施工时，使用商品混凝土，然后用罐装车运至施工点进行浇筑，避免因混凝土拌制产生扬尘；对裸露施工面应定期洒水，减少施工扬尘。</w:t>
            </w:r>
            <w:r>
              <w:rPr>
                <w:rFonts w:hint="eastAsia" w:ascii="宋体" w:hAnsi="宋体" w:eastAsia="宋体" w:cs="宋体"/>
                <w:bCs/>
                <w:color w:val="auto"/>
                <w:sz w:val="21"/>
                <w:szCs w:val="21"/>
              </w:rPr>
              <w:t>③</w:t>
            </w:r>
            <w:r>
              <w:rPr>
                <w:rFonts w:eastAsia="宋体" w:cs="Times New Roman"/>
                <w:bCs/>
                <w:color w:val="auto"/>
                <w:sz w:val="21"/>
                <w:szCs w:val="21"/>
              </w:rPr>
              <w:t>车辆运输散体材料和废弃物时，必须密闭、包扎、覆盖，避免沿途漏撒；运载土方的车辆必须在规定时间内，按指定路段行驶，控制扬尘污染。</w:t>
            </w:r>
            <w:r>
              <w:rPr>
                <w:rFonts w:hint="eastAsia" w:ascii="宋体" w:hAnsi="宋体" w:eastAsia="宋体" w:cs="宋体"/>
                <w:bCs/>
                <w:color w:val="auto"/>
                <w:sz w:val="21"/>
                <w:szCs w:val="21"/>
              </w:rPr>
              <w:t>④</w:t>
            </w:r>
            <w:r>
              <w:rPr>
                <w:rFonts w:eastAsia="宋体" w:cs="Times New Roman"/>
                <w:bCs/>
                <w:color w:val="auto"/>
                <w:sz w:val="21"/>
                <w:szCs w:val="21"/>
              </w:rPr>
              <w:t>选择符合国家排放标准的施工车辆和施工机械，并加强施工车辆和机械的维护，使其性能保持在良好状态。</w:t>
            </w:r>
            <w:r>
              <w:rPr>
                <w:rFonts w:hint="eastAsia" w:ascii="宋体" w:hAnsi="宋体" w:eastAsia="宋体" w:cs="宋体"/>
                <w:bCs/>
                <w:color w:val="auto"/>
                <w:sz w:val="21"/>
                <w:szCs w:val="21"/>
              </w:rPr>
              <w:t>⑤</w:t>
            </w:r>
            <w:r>
              <w:rPr>
                <w:rFonts w:eastAsia="宋体" w:cs="Times New Roman"/>
                <w:bCs/>
                <w:color w:val="auto"/>
                <w:sz w:val="21"/>
                <w:szCs w:val="21"/>
              </w:rPr>
              <w:t>合理布置线路施工料场，并加强材料转运与使用的管理，合理装卸，规范操作。</w:t>
            </w:r>
            <w:r>
              <w:rPr>
                <w:rFonts w:hint="eastAsia" w:ascii="宋体" w:hAnsi="宋体" w:eastAsia="宋体" w:cs="宋体"/>
                <w:bCs/>
                <w:color w:val="auto"/>
                <w:sz w:val="21"/>
                <w:szCs w:val="21"/>
              </w:rPr>
              <w:t>⑥</w:t>
            </w:r>
            <w:r>
              <w:rPr>
                <w:rFonts w:eastAsia="宋体" w:cs="Times New Roman"/>
                <w:bCs/>
                <w:color w:val="auto"/>
                <w:sz w:val="21"/>
                <w:szCs w:val="21"/>
              </w:rPr>
              <w:t>对施工道路和施工现场定时洒水、喷淋，避免尘土飞扬。</w:t>
            </w:r>
          </w:p>
          <w:p>
            <w:pPr>
              <w:adjustRightInd w:val="0"/>
              <w:snapToGrid w:val="0"/>
              <w:spacing w:line="240" w:lineRule="auto"/>
              <w:ind w:firstLine="0" w:firstLineChars="0"/>
              <w:jc w:val="center"/>
              <w:rPr>
                <w:rFonts w:eastAsia="宋体" w:cs="Times New Roman"/>
                <w:bCs/>
                <w:color w:val="auto"/>
                <w:sz w:val="21"/>
                <w:szCs w:val="21"/>
              </w:rPr>
            </w:pPr>
            <w:r>
              <w:rPr>
                <w:rFonts w:hint="eastAsia" w:ascii="宋体" w:hAnsi="宋体" w:eastAsia="宋体" w:cs="宋体"/>
                <w:bCs/>
                <w:color w:val="auto"/>
                <w:sz w:val="21"/>
                <w:szCs w:val="21"/>
              </w:rPr>
              <w:t>⑦</w:t>
            </w:r>
            <w:r>
              <w:rPr>
                <w:rFonts w:eastAsia="宋体" w:cs="Times New Roman"/>
                <w:bCs/>
                <w:color w:val="auto"/>
                <w:sz w:val="21"/>
                <w:szCs w:val="21"/>
              </w:rPr>
              <w:t>施工结束后，按“工完料尽场地清”的原则立即进行空地硬化和覆盖，减少裸露地面面积。</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《大气</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污染物</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综合排</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放标准》</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（GB16</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297-199</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6）中无</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组织排</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放监控</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浓度限</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值标准</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固体废物</w:t>
            </w:r>
          </w:p>
        </w:tc>
        <w:tc>
          <w:tcPr>
            <w:tcW w:w="1790" w:type="pct"/>
            <w:vAlign w:val="center"/>
          </w:tcPr>
          <w:p>
            <w:pPr>
              <w:adjustRightInd w:val="0"/>
              <w:snapToGrid w:val="0"/>
              <w:spacing w:line="240" w:lineRule="auto"/>
              <w:ind w:firstLine="0" w:firstLineChars="0"/>
              <w:jc w:val="center"/>
              <w:rPr>
                <w:rFonts w:eastAsia="宋体" w:cs="Times New Roman"/>
                <w:bCs/>
                <w:color w:val="auto"/>
                <w:sz w:val="21"/>
                <w:szCs w:val="21"/>
              </w:rPr>
            </w:pPr>
            <w:r>
              <w:rPr>
                <w:rFonts w:eastAsia="宋体" w:cs="Times New Roman"/>
                <w:bCs/>
                <w:color w:val="auto"/>
                <w:sz w:val="21"/>
                <w:szCs w:val="21"/>
              </w:rPr>
              <w:fldChar w:fldCharType="begin"/>
            </w:r>
            <w:r>
              <w:rPr>
                <w:rFonts w:eastAsia="宋体" w:cs="Times New Roman"/>
                <w:bCs/>
                <w:color w:val="auto"/>
                <w:sz w:val="21"/>
                <w:szCs w:val="21"/>
              </w:rPr>
              <w:instrText xml:space="preserve"> = 1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①</w:t>
            </w:r>
            <w:r>
              <w:rPr>
                <w:rFonts w:eastAsia="宋体" w:cs="Times New Roman"/>
                <w:bCs/>
                <w:color w:val="auto"/>
                <w:sz w:val="21"/>
                <w:szCs w:val="21"/>
              </w:rPr>
              <w:fldChar w:fldCharType="end"/>
            </w:r>
            <w:r>
              <w:rPr>
                <w:rFonts w:eastAsia="宋体" w:cs="Times New Roman"/>
                <w:bCs/>
                <w:color w:val="auto"/>
                <w:sz w:val="21"/>
                <w:szCs w:val="21"/>
              </w:rPr>
              <w:t>间隔扩建施工人员产生的生活垃圾由变电站已有的垃圾箱统一收集，交由环卫部门处置。输电线路施工人员租住周边民房，产生的生活垃圾可纳入当地生</w:t>
            </w:r>
            <w:bookmarkStart w:id="20" w:name="_GoBack"/>
            <w:bookmarkEnd w:id="20"/>
            <w:r>
              <w:rPr>
                <w:rFonts w:eastAsia="宋体" w:cs="Times New Roman"/>
                <w:bCs/>
                <w:color w:val="auto"/>
                <w:sz w:val="21"/>
                <w:szCs w:val="21"/>
              </w:rPr>
              <w:t>活垃圾收集处理系统。</w:t>
            </w:r>
            <w:r>
              <w:rPr>
                <w:rFonts w:eastAsia="宋体" w:cs="Times New Roman"/>
                <w:bCs/>
                <w:color w:val="auto"/>
                <w:sz w:val="21"/>
                <w:szCs w:val="21"/>
              </w:rPr>
              <w:fldChar w:fldCharType="begin"/>
            </w:r>
            <w:r>
              <w:rPr>
                <w:rFonts w:eastAsia="宋体" w:cs="Times New Roman"/>
                <w:bCs/>
                <w:color w:val="auto"/>
                <w:sz w:val="21"/>
                <w:szCs w:val="21"/>
              </w:rPr>
              <w:instrText xml:space="preserve"> = 2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②</w:t>
            </w:r>
            <w:r>
              <w:rPr>
                <w:rFonts w:eastAsia="宋体" w:cs="Times New Roman"/>
                <w:bCs/>
                <w:color w:val="auto"/>
                <w:sz w:val="21"/>
                <w:szCs w:val="21"/>
              </w:rPr>
              <w:fldChar w:fldCharType="end"/>
            </w:r>
            <w:r>
              <w:rPr>
                <w:rFonts w:eastAsia="宋体" w:cs="Times New Roman"/>
                <w:bCs/>
                <w:color w:val="auto"/>
                <w:sz w:val="21"/>
                <w:szCs w:val="21"/>
              </w:rPr>
              <w:t>施工过程中产生的施工废物料应分类集中堆放，尽可能回收利用。</w:t>
            </w:r>
            <w:r>
              <w:rPr>
                <w:rFonts w:eastAsia="宋体" w:cs="Times New Roman"/>
                <w:bCs/>
                <w:color w:val="auto"/>
                <w:sz w:val="21"/>
                <w:szCs w:val="21"/>
              </w:rPr>
              <w:fldChar w:fldCharType="begin"/>
            </w:r>
            <w:r>
              <w:rPr>
                <w:rFonts w:eastAsia="宋体" w:cs="Times New Roman"/>
                <w:bCs/>
                <w:color w:val="auto"/>
                <w:sz w:val="21"/>
                <w:szCs w:val="21"/>
              </w:rPr>
              <w:instrText xml:space="preserve"> = 3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③</w:t>
            </w:r>
            <w:r>
              <w:rPr>
                <w:rFonts w:eastAsia="宋体" w:cs="Times New Roman"/>
                <w:bCs/>
                <w:color w:val="auto"/>
                <w:sz w:val="21"/>
                <w:szCs w:val="21"/>
              </w:rPr>
              <w:fldChar w:fldCharType="end"/>
            </w:r>
            <w:r>
              <w:rPr>
                <w:rFonts w:eastAsia="宋体" w:cs="Times New Roman"/>
                <w:bCs/>
                <w:color w:val="auto"/>
                <w:sz w:val="21"/>
                <w:szCs w:val="21"/>
              </w:rPr>
              <w:t>拆除的导线、杆塔、绝缘子等金具由电力公司物资部门回收处理。</w:t>
            </w:r>
            <w:r>
              <w:rPr>
                <w:rFonts w:eastAsia="宋体" w:cs="Times New Roman"/>
                <w:bCs/>
                <w:color w:val="auto"/>
                <w:sz w:val="21"/>
                <w:szCs w:val="21"/>
              </w:rPr>
              <w:fldChar w:fldCharType="begin"/>
            </w:r>
            <w:r>
              <w:rPr>
                <w:rFonts w:eastAsia="宋体" w:cs="Times New Roman"/>
                <w:bCs/>
                <w:color w:val="auto"/>
                <w:sz w:val="21"/>
                <w:szCs w:val="21"/>
              </w:rPr>
              <w:instrText xml:space="preserve"> = 4 \* GB3 </w:instrText>
            </w:r>
            <w:r>
              <w:rPr>
                <w:rFonts w:eastAsia="宋体" w:cs="Times New Roman"/>
                <w:bCs/>
                <w:color w:val="auto"/>
                <w:sz w:val="21"/>
                <w:szCs w:val="21"/>
              </w:rPr>
              <w:fldChar w:fldCharType="separate"/>
            </w:r>
            <w:r>
              <w:rPr>
                <w:rFonts w:hint="eastAsia" w:ascii="宋体" w:hAnsi="宋体" w:eastAsia="宋体" w:cs="宋体"/>
                <w:bCs/>
                <w:color w:val="auto"/>
                <w:sz w:val="21"/>
                <w:szCs w:val="21"/>
              </w:rPr>
              <w:t>④</w:t>
            </w:r>
            <w:r>
              <w:rPr>
                <w:rFonts w:eastAsia="宋体" w:cs="Times New Roman"/>
                <w:bCs/>
                <w:color w:val="auto"/>
                <w:sz w:val="21"/>
                <w:szCs w:val="21"/>
              </w:rPr>
              <w:fldChar w:fldCharType="end"/>
            </w:r>
            <w:r>
              <w:rPr>
                <w:rFonts w:eastAsia="宋体" w:cs="Times New Roman"/>
                <w:bCs/>
                <w:color w:val="auto"/>
                <w:sz w:val="21"/>
                <w:szCs w:val="21"/>
              </w:rPr>
              <w:t>施工临时占地宜采取隔离保护措施，施工结束后应将混凝土余料和残渣及时清除。</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落实环保措施</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电磁环境</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bCs/>
                <w:color w:val="auto"/>
                <w:sz w:val="21"/>
                <w:szCs w:val="21"/>
              </w:rPr>
            </w:pPr>
            <w:r>
              <w:rPr>
                <w:rFonts w:hint="eastAsia" w:ascii="宋体" w:hAnsi="宋体" w:eastAsia="宋体" w:cs="宋体"/>
                <w:bCs/>
                <w:color w:val="auto"/>
                <w:sz w:val="21"/>
                <w:szCs w:val="21"/>
              </w:rPr>
              <w:t>①</w:t>
            </w:r>
            <w:r>
              <w:rPr>
                <w:rFonts w:eastAsia="宋体" w:cs="Times New Roman"/>
                <w:bCs/>
                <w:color w:val="auto"/>
                <w:sz w:val="21"/>
                <w:szCs w:val="21"/>
              </w:rPr>
              <w:t>架空地线采用良导体的导线，减小静感应电动势、对地电压和杂音电动势。</w:t>
            </w:r>
            <w:r>
              <w:rPr>
                <w:rFonts w:hint="eastAsia" w:ascii="宋体" w:hAnsi="宋体" w:eastAsia="宋体" w:cs="宋体"/>
                <w:bCs/>
                <w:color w:val="auto"/>
                <w:sz w:val="21"/>
                <w:szCs w:val="21"/>
              </w:rPr>
              <w:t>②</w:t>
            </w:r>
            <w:r>
              <w:rPr>
                <w:rFonts w:eastAsia="宋体" w:cs="Times New Roman"/>
                <w:bCs/>
                <w:color w:val="auto"/>
                <w:sz w:val="21"/>
                <w:szCs w:val="21"/>
              </w:rPr>
              <w:t>所有线路、高压设备、建筑物钢铁件接地良好，设备导电元件间接触部件连接紧密，减少因接触不良而产生的火花放电。</w:t>
            </w:r>
            <w:r>
              <w:rPr>
                <w:rFonts w:hint="eastAsia" w:ascii="宋体" w:hAnsi="宋体" w:eastAsia="宋体" w:cs="宋体"/>
                <w:bCs/>
                <w:color w:val="auto"/>
                <w:sz w:val="21"/>
                <w:szCs w:val="21"/>
              </w:rPr>
              <w:t>③</w:t>
            </w:r>
            <w:r>
              <w:rPr>
                <w:rFonts w:eastAsia="宋体" w:cs="Times New Roman"/>
                <w:bCs/>
                <w:color w:val="auto"/>
                <w:sz w:val="21"/>
                <w:szCs w:val="21"/>
              </w:rPr>
              <w:t>线路投运后，建设单位应与规划部门配合，控制线路周围敏感建筑物的建设。</w:t>
            </w:r>
            <w:r>
              <w:rPr>
                <w:rFonts w:hint="eastAsia" w:ascii="宋体" w:hAnsi="宋体" w:eastAsia="宋体" w:cs="宋体"/>
                <w:bCs/>
                <w:color w:val="auto"/>
                <w:sz w:val="21"/>
                <w:szCs w:val="21"/>
              </w:rPr>
              <w:t>④</w:t>
            </w:r>
            <w:r>
              <w:rPr>
                <w:rFonts w:eastAsia="宋体" w:cs="Times New Roman"/>
                <w:bCs/>
                <w:color w:val="auto"/>
                <w:sz w:val="21"/>
                <w:szCs w:val="21"/>
              </w:rPr>
              <w:t>线路设计按《110～750kV 架空输电线路设计规范》（GB50545-2010）执行的基础上，尽量优化设计。</w:t>
            </w:r>
          </w:p>
          <w:p>
            <w:pPr>
              <w:adjustRightInd w:val="0"/>
              <w:snapToGrid w:val="0"/>
              <w:spacing w:line="240" w:lineRule="auto"/>
              <w:ind w:firstLine="0" w:firstLineChars="0"/>
              <w:jc w:val="center"/>
              <w:rPr>
                <w:rFonts w:eastAsia="宋体" w:cs="Times New Roman"/>
                <w:bCs/>
                <w:color w:val="auto"/>
                <w:sz w:val="21"/>
                <w:szCs w:val="21"/>
              </w:rPr>
            </w:pPr>
            <w:r>
              <w:rPr>
                <w:rFonts w:hint="eastAsia" w:ascii="宋体" w:hAnsi="宋体" w:eastAsia="宋体" w:cs="宋体"/>
                <w:bCs/>
                <w:color w:val="auto"/>
                <w:sz w:val="21"/>
                <w:szCs w:val="21"/>
              </w:rPr>
              <w:t>⑤</w:t>
            </w:r>
            <w:r>
              <w:rPr>
                <w:rFonts w:eastAsia="宋体" w:cs="Times New Roman"/>
                <w:bCs/>
                <w:color w:val="auto"/>
                <w:sz w:val="21"/>
                <w:szCs w:val="21"/>
              </w:rPr>
              <w:t>线路下方给出警示和防护指示标志。</w:t>
            </w:r>
            <w:r>
              <w:rPr>
                <w:rFonts w:hint="eastAsia" w:ascii="宋体" w:hAnsi="宋体" w:eastAsia="宋体" w:cs="宋体"/>
                <w:bCs/>
                <w:color w:val="auto"/>
                <w:sz w:val="21"/>
                <w:szCs w:val="21"/>
              </w:rPr>
              <w:t>⑥</w:t>
            </w:r>
            <w:r>
              <w:rPr>
                <w:rFonts w:eastAsia="宋体" w:cs="Times New Roman"/>
                <w:bCs/>
                <w:color w:val="auto"/>
                <w:sz w:val="21"/>
                <w:szCs w:val="21"/>
              </w:rPr>
              <w:t>合理选择金具及绝缘子等电气设备、设施，定期检修，电磁环境影响范围内的工频电场、工频磁场满足《电磁环境控制限值》（GB8702-2014）中相应控制限值要求。</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达到《电</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磁环境控 制限</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值 》</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（GB87</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02-2014</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）中的工</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频 电 场4000V/m、磁感</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应 强度</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100μT</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的 标准</w:t>
            </w:r>
          </w:p>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环境风险</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环境监测</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定期对噪声、电磁污染进行监测</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8"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其他</w:t>
            </w:r>
          </w:p>
        </w:tc>
        <w:tc>
          <w:tcPr>
            <w:tcW w:w="1790"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54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1615"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c>
          <w:tcPr>
            <w:tcW w:w="612" w:type="pct"/>
            <w:vAlign w:val="center"/>
          </w:tcPr>
          <w:p>
            <w:pPr>
              <w:adjustRightInd w:val="0"/>
              <w:snapToGrid w:val="0"/>
              <w:spacing w:line="240" w:lineRule="auto"/>
              <w:ind w:firstLine="0" w:firstLineChars="0"/>
              <w:jc w:val="center"/>
              <w:rPr>
                <w:rFonts w:eastAsia="宋体" w:cs="Times New Roman"/>
                <w:color w:val="auto"/>
                <w:sz w:val="21"/>
                <w:szCs w:val="21"/>
              </w:rPr>
            </w:pPr>
            <w:r>
              <w:rPr>
                <w:rFonts w:eastAsia="宋体" w:cs="Times New Roman"/>
                <w:color w:val="auto"/>
                <w:sz w:val="21"/>
                <w:szCs w:val="21"/>
              </w:rPr>
              <w:t>/</w:t>
            </w:r>
          </w:p>
        </w:tc>
      </w:tr>
    </w:tbl>
    <w:p>
      <w:pPr>
        <w:ind w:firstLine="480"/>
        <w:rPr>
          <w:color w:val="auto"/>
        </w:rPr>
      </w:pPr>
    </w:p>
    <w:p>
      <w:pPr>
        <w:ind w:firstLine="480"/>
        <w:rPr>
          <w:color w:val="auto"/>
        </w:rPr>
      </w:pPr>
    </w:p>
    <w:p>
      <w:pPr>
        <w:ind w:firstLine="480"/>
        <w:rPr>
          <w:color w:val="auto"/>
        </w:rPr>
      </w:pPr>
      <w:r>
        <w:rPr>
          <w:color w:val="auto"/>
        </w:rPr>
        <w:br w:type="page"/>
      </w:r>
    </w:p>
    <w:p>
      <w:pPr>
        <w:pStyle w:val="2"/>
        <w:rPr>
          <w:color w:val="auto"/>
        </w:rPr>
      </w:pPr>
      <w:bookmarkStart w:id="18" w:name="_Toc147654221"/>
      <w:bookmarkStart w:id="19" w:name="_Toc147654122"/>
      <w:r>
        <w:rPr>
          <w:color w:val="auto"/>
        </w:rPr>
        <w:t>七、结论</w:t>
      </w:r>
      <w:bookmarkEnd w:id="18"/>
      <w:bookmarkEnd w:id="1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adjustRightInd w:val="0"/>
              <w:snapToGrid w:val="0"/>
              <w:ind w:firstLine="480"/>
              <w:rPr>
                <w:rFonts w:eastAsia="宋体" w:cs="Times New Roman"/>
                <w:color w:val="auto"/>
                <w:szCs w:val="24"/>
              </w:rPr>
            </w:pPr>
            <w:r>
              <w:rPr>
                <w:rFonts w:eastAsia="宋体" w:cs="Times New Roman"/>
                <w:color w:val="auto"/>
                <w:szCs w:val="24"/>
              </w:rPr>
              <w:t>项目符合国家环境保护相关法律法规、符合国家产业政策、符合当地城乡规划、符合“三线一单”管控要求。虽然工程产生的工频电场强度、磁感应强度以及噪声等会对周围环境带来一定程度的影响，但在切实落实本报告表提出的污染防治措施和生态保护措施前提下，污染物能够达标排放，生态环境影响不大，项目对周围环境的影响可控制在国家标准允许的范围内。</w:t>
            </w:r>
          </w:p>
          <w:p>
            <w:pPr>
              <w:pStyle w:val="22"/>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建设单位必须严格遵守“三同时”的管理规定，完成各项报建手续，落实各项环保措施，确保期项目所在区域的环境质量受到不良影响。项目建成后，须通过环境保护验收合格后方可投入使用，在投入使用后，应加强对设备的维修保养，确保环保设施的正常运转。在落实各项生态环境保护措施并加强运营管理后，该项目对周围环境将不会产生明显的影响。从环境保护角度分析、论证，项目的选址和建设可行。</w:t>
            </w: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pStyle w:val="22"/>
              <w:spacing w:line="360" w:lineRule="auto"/>
              <w:ind w:firstLine="480"/>
              <w:rPr>
                <w:rFonts w:ascii="Times New Roman" w:hAnsi="Times New Roman" w:cs="Times New Roman"/>
                <w:sz w:val="24"/>
                <w:szCs w:val="24"/>
              </w:rPr>
            </w:pPr>
          </w:p>
          <w:p>
            <w:pPr>
              <w:ind w:firstLine="0" w:firstLineChars="0"/>
              <w:rPr>
                <w:color w:val="auto"/>
              </w:rPr>
            </w:pPr>
          </w:p>
          <w:p>
            <w:pPr>
              <w:ind w:firstLine="0" w:firstLineChars="0"/>
              <w:rPr>
                <w:color w:val="auto"/>
              </w:rPr>
            </w:pPr>
          </w:p>
          <w:p>
            <w:pPr>
              <w:ind w:firstLine="0" w:firstLineChars="0"/>
              <w:rPr>
                <w:color w:val="auto"/>
              </w:rPr>
            </w:pPr>
          </w:p>
        </w:tc>
      </w:tr>
    </w:tbl>
    <w:p>
      <w:pPr>
        <w:ind w:firstLine="480"/>
        <w:rPr>
          <w:color w:val="auto"/>
        </w:rPr>
      </w:pPr>
    </w:p>
    <w:sectPr>
      <w:pgSz w:w="11906" w:h="16838"/>
      <w:pgMar w:top="1418" w:right="1701" w:bottom="1418" w:left="1701" w:header="851" w:footer="850"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MS Gothic">
    <w:altName w:val="宋体"/>
    <w:panose1 w:val="020B0609070205080204"/>
    <w:charset w:val="80"/>
    <w:family w:val="modern"/>
    <w:pitch w:val="default"/>
    <w:sig w:usb0="00000000" w:usb1="00000000" w:usb2="08000012" w:usb3="00000000" w:csb0="0002009F" w:csb1="00000000"/>
  </w:font>
  <w:font w:name="Cambria Math">
    <w:altName w:val="DejaVu Math TeX Gyre"/>
    <w:panose1 w:val="02040503050406030204"/>
    <w:charset w:val="00"/>
    <w:family w:val="roman"/>
    <w:pitch w:val="default"/>
    <w:sig w:usb0="00000000" w:usb1="00000000" w:usb2="02000000" w:usb3="00000000" w:csb0="0000019F" w:csb1="00000000"/>
  </w:font>
  <w:font w:name="DejaVu Sans">
    <w:panose1 w:val="020B0603030804020204"/>
    <w:charset w:val="00"/>
    <w:family w:val="auto"/>
    <w:pitch w:val="default"/>
    <w:sig w:usb0="E7006EFF" w:usb1="D200FDFF" w:usb2="0A246029" w:usb3="0400200C" w:csb0="600001FF" w:csb1="DFFF0000"/>
  </w:font>
  <w:font w:name="方正仿宋_GBK">
    <w:panose1 w:val="03000509000000000000"/>
    <w:charset w:val="86"/>
    <w:family w:val="auto"/>
    <w:pitch w:val="default"/>
    <w:sig w:usb0="00000001" w:usb1="080E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565582"/>
      <w:docPartObj>
        <w:docPartGallery w:val="AutoText"/>
      </w:docPartObj>
    </w:sdtPr>
    <w:sdtContent>
      <w:p>
        <w:pPr>
          <w:pStyle w:val="8"/>
          <w:ind w:firstLine="360"/>
          <w:jc w:val="center"/>
        </w:pPr>
        <w:r>
          <w:fldChar w:fldCharType="begin"/>
        </w:r>
        <w:r>
          <w:instrText xml:space="preserve">PAGE   \* MERGEFORMAT</w:instrText>
        </w:r>
        <w:r>
          <w:fldChar w:fldCharType="separate"/>
        </w:r>
        <w:r>
          <w:rPr>
            <w:lang w:val="zh-CN"/>
          </w:rPr>
          <w:t>51</w:t>
        </w:r>
        <w:r>
          <w:fldChar w:fldCharType="end"/>
        </w:r>
      </w:p>
    </w:sdtContent>
  </w:sdt>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154"/>
    <w:rsid w:val="000017A8"/>
    <w:rsid w:val="0000373B"/>
    <w:rsid w:val="00003F40"/>
    <w:rsid w:val="00011E83"/>
    <w:rsid w:val="00015BD0"/>
    <w:rsid w:val="000174A8"/>
    <w:rsid w:val="00023BC3"/>
    <w:rsid w:val="0002565E"/>
    <w:rsid w:val="000266B4"/>
    <w:rsid w:val="00026713"/>
    <w:rsid w:val="00030C4E"/>
    <w:rsid w:val="00030F0B"/>
    <w:rsid w:val="000330E5"/>
    <w:rsid w:val="00033BE3"/>
    <w:rsid w:val="000345EE"/>
    <w:rsid w:val="00036FAF"/>
    <w:rsid w:val="00044DEE"/>
    <w:rsid w:val="00046251"/>
    <w:rsid w:val="00051987"/>
    <w:rsid w:val="00055215"/>
    <w:rsid w:val="00057AF2"/>
    <w:rsid w:val="00060F1C"/>
    <w:rsid w:val="000620B0"/>
    <w:rsid w:val="000621B3"/>
    <w:rsid w:val="00066C99"/>
    <w:rsid w:val="00067ECD"/>
    <w:rsid w:val="00070223"/>
    <w:rsid w:val="000718A2"/>
    <w:rsid w:val="00081FE8"/>
    <w:rsid w:val="00085CFC"/>
    <w:rsid w:val="00086640"/>
    <w:rsid w:val="000875B4"/>
    <w:rsid w:val="00094A75"/>
    <w:rsid w:val="00097E57"/>
    <w:rsid w:val="000A77FC"/>
    <w:rsid w:val="000B1090"/>
    <w:rsid w:val="000B39E8"/>
    <w:rsid w:val="000B4358"/>
    <w:rsid w:val="000B44A4"/>
    <w:rsid w:val="000B7FDB"/>
    <w:rsid w:val="000C5C91"/>
    <w:rsid w:val="000C6731"/>
    <w:rsid w:val="000C6CC5"/>
    <w:rsid w:val="000C6E16"/>
    <w:rsid w:val="000C7482"/>
    <w:rsid w:val="000D57A3"/>
    <w:rsid w:val="000E2501"/>
    <w:rsid w:val="000E3573"/>
    <w:rsid w:val="000E37E6"/>
    <w:rsid w:val="000E50BF"/>
    <w:rsid w:val="000E5466"/>
    <w:rsid w:val="000E631A"/>
    <w:rsid w:val="000F2AAD"/>
    <w:rsid w:val="000F4358"/>
    <w:rsid w:val="001009F5"/>
    <w:rsid w:val="00100D60"/>
    <w:rsid w:val="00103B47"/>
    <w:rsid w:val="00106AD7"/>
    <w:rsid w:val="00110B67"/>
    <w:rsid w:val="0011253E"/>
    <w:rsid w:val="0011284E"/>
    <w:rsid w:val="001130CD"/>
    <w:rsid w:val="00116B6C"/>
    <w:rsid w:val="00120167"/>
    <w:rsid w:val="001201BD"/>
    <w:rsid w:val="00121605"/>
    <w:rsid w:val="00122236"/>
    <w:rsid w:val="001246B6"/>
    <w:rsid w:val="00126757"/>
    <w:rsid w:val="001306A3"/>
    <w:rsid w:val="00131BF9"/>
    <w:rsid w:val="00131C2F"/>
    <w:rsid w:val="001323FC"/>
    <w:rsid w:val="00134003"/>
    <w:rsid w:val="00134F5A"/>
    <w:rsid w:val="00144B3D"/>
    <w:rsid w:val="0014630D"/>
    <w:rsid w:val="00147FF2"/>
    <w:rsid w:val="0015120B"/>
    <w:rsid w:val="00151F3B"/>
    <w:rsid w:val="00152184"/>
    <w:rsid w:val="00153BF3"/>
    <w:rsid w:val="00156E7C"/>
    <w:rsid w:val="00161DD4"/>
    <w:rsid w:val="00170AD0"/>
    <w:rsid w:val="00177EFA"/>
    <w:rsid w:val="00181C88"/>
    <w:rsid w:val="0018276E"/>
    <w:rsid w:val="0018573B"/>
    <w:rsid w:val="0018650E"/>
    <w:rsid w:val="00187C05"/>
    <w:rsid w:val="001902CC"/>
    <w:rsid w:val="00196141"/>
    <w:rsid w:val="001B0C95"/>
    <w:rsid w:val="001B1AAC"/>
    <w:rsid w:val="001B3AA9"/>
    <w:rsid w:val="001B59A8"/>
    <w:rsid w:val="001B7D9E"/>
    <w:rsid w:val="001C0B85"/>
    <w:rsid w:val="001C3BA4"/>
    <w:rsid w:val="001C4064"/>
    <w:rsid w:val="001C6C31"/>
    <w:rsid w:val="001D034B"/>
    <w:rsid w:val="001D05AA"/>
    <w:rsid w:val="001D4F6F"/>
    <w:rsid w:val="001D7ADC"/>
    <w:rsid w:val="001E3235"/>
    <w:rsid w:val="001E5297"/>
    <w:rsid w:val="001E59E3"/>
    <w:rsid w:val="001F00D8"/>
    <w:rsid w:val="001F27EE"/>
    <w:rsid w:val="001F421F"/>
    <w:rsid w:val="001F54CD"/>
    <w:rsid w:val="001F6063"/>
    <w:rsid w:val="002018A0"/>
    <w:rsid w:val="00204695"/>
    <w:rsid w:val="00206027"/>
    <w:rsid w:val="00211E8A"/>
    <w:rsid w:val="00214B3F"/>
    <w:rsid w:val="00215294"/>
    <w:rsid w:val="00220DE4"/>
    <w:rsid w:val="002217A0"/>
    <w:rsid w:val="002220E4"/>
    <w:rsid w:val="00223E63"/>
    <w:rsid w:val="0022413C"/>
    <w:rsid w:val="00224CD6"/>
    <w:rsid w:val="00226A9C"/>
    <w:rsid w:val="00226FEA"/>
    <w:rsid w:val="0022730E"/>
    <w:rsid w:val="00230D5E"/>
    <w:rsid w:val="002333FD"/>
    <w:rsid w:val="0023428A"/>
    <w:rsid w:val="00234D80"/>
    <w:rsid w:val="00237192"/>
    <w:rsid w:val="002372D9"/>
    <w:rsid w:val="00240772"/>
    <w:rsid w:val="00240C59"/>
    <w:rsid w:val="002419F9"/>
    <w:rsid w:val="002423F6"/>
    <w:rsid w:val="002426AB"/>
    <w:rsid w:val="00242C12"/>
    <w:rsid w:val="00245C3B"/>
    <w:rsid w:val="00245EE5"/>
    <w:rsid w:val="00246998"/>
    <w:rsid w:val="0024798E"/>
    <w:rsid w:val="00247AEA"/>
    <w:rsid w:val="00250910"/>
    <w:rsid w:val="00250DCE"/>
    <w:rsid w:val="00252C75"/>
    <w:rsid w:val="00256A63"/>
    <w:rsid w:val="00261E4C"/>
    <w:rsid w:val="00262EAE"/>
    <w:rsid w:val="00263154"/>
    <w:rsid w:val="00263F0B"/>
    <w:rsid w:val="0026467E"/>
    <w:rsid w:val="00264780"/>
    <w:rsid w:val="00270A89"/>
    <w:rsid w:val="00272AAD"/>
    <w:rsid w:val="00272E28"/>
    <w:rsid w:val="00273733"/>
    <w:rsid w:val="00275273"/>
    <w:rsid w:val="00275CF9"/>
    <w:rsid w:val="00277F3D"/>
    <w:rsid w:val="00281674"/>
    <w:rsid w:val="002829D0"/>
    <w:rsid w:val="00290A26"/>
    <w:rsid w:val="00291412"/>
    <w:rsid w:val="00291C04"/>
    <w:rsid w:val="00293242"/>
    <w:rsid w:val="002A3AE1"/>
    <w:rsid w:val="002A57AC"/>
    <w:rsid w:val="002A7192"/>
    <w:rsid w:val="002A7CD1"/>
    <w:rsid w:val="002B1CE2"/>
    <w:rsid w:val="002B273D"/>
    <w:rsid w:val="002B2CE2"/>
    <w:rsid w:val="002B3542"/>
    <w:rsid w:val="002B3658"/>
    <w:rsid w:val="002B5089"/>
    <w:rsid w:val="002B6A17"/>
    <w:rsid w:val="002B71BE"/>
    <w:rsid w:val="002C2F95"/>
    <w:rsid w:val="002C3371"/>
    <w:rsid w:val="002C49A3"/>
    <w:rsid w:val="002C6D35"/>
    <w:rsid w:val="002D1581"/>
    <w:rsid w:val="002D6980"/>
    <w:rsid w:val="002E180C"/>
    <w:rsid w:val="002E19FF"/>
    <w:rsid w:val="002E3944"/>
    <w:rsid w:val="002E6941"/>
    <w:rsid w:val="002E7D8E"/>
    <w:rsid w:val="002E7F47"/>
    <w:rsid w:val="002F0D41"/>
    <w:rsid w:val="002F209B"/>
    <w:rsid w:val="002F4DD3"/>
    <w:rsid w:val="002F52BA"/>
    <w:rsid w:val="002F68A5"/>
    <w:rsid w:val="002F7E17"/>
    <w:rsid w:val="003032F1"/>
    <w:rsid w:val="00304AAE"/>
    <w:rsid w:val="00305A60"/>
    <w:rsid w:val="00312F1D"/>
    <w:rsid w:val="00315AB8"/>
    <w:rsid w:val="00320E07"/>
    <w:rsid w:val="003215D4"/>
    <w:rsid w:val="00321923"/>
    <w:rsid w:val="00321C1F"/>
    <w:rsid w:val="0032210D"/>
    <w:rsid w:val="00323FD7"/>
    <w:rsid w:val="0032449D"/>
    <w:rsid w:val="0032799F"/>
    <w:rsid w:val="003309CD"/>
    <w:rsid w:val="00330F88"/>
    <w:rsid w:val="00334270"/>
    <w:rsid w:val="003347FE"/>
    <w:rsid w:val="00334A1C"/>
    <w:rsid w:val="00336B59"/>
    <w:rsid w:val="003373A9"/>
    <w:rsid w:val="0034168D"/>
    <w:rsid w:val="00342980"/>
    <w:rsid w:val="00351AB3"/>
    <w:rsid w:val="00352624"/>
    <w:rsid w:val="00354386"/>
    <w:rsid w:val="00354C3F"/>
    <w:rsid w:val="00354E49"/>
    <w:rsid w:val="00361D81"/>
    <w:rsid w:val="003652DB"/>
    <w:rsid w:val="0036565B"/>
    <w:rsid w:val="0036630C"/>
    <w:rsid w:val="0036674B"/>
    <w:rsid w:val="00367491"/>
    <w:rsid w:val="00374048"/>
    <w:rsid w:val="00374C24"/>
    <w:rsid w:val="0037554D"/>
    <w:rsid w:val="00377C26"/>
    <w:rsid w:val="00380663"/>
    <w:rsid w:val="003807C3"/>
    <w:rsid w:val="00380DE0"/>
    <w:rsid w:val="003864DA"/>
    <w:rsid w:val="003904E9"/>
    <w:rsid w:val="00396254"/>
    <w:rsid w:val="00396E99"/>
    <w:rsid w:val="003A1591"/>
    <w:rsid w:val="003A2983"/>
    <w:rsid w:val="003A3805"/>
    <w:rsid w:val="003A40AA"/>
    <w:rsid w:val="003A56F3"/>
    <w:rsid w:val="003A60F4"/>
    <w:rsid w:val="003A69CB"/>
    <w:rsid w:val="003A6A02"/>
    <w:rsid w:val="003B145B"/>
    <w:rsid w:val="003B239D"/>
    <w:rsid w:val="003B63C7"/>
    <w:rsid w:val="003C0D93"/>
    <w:rsid w:val="003C44D0"/>
    <w:rsid w:val="003C4B65"/>
    <w:rsid w:val="003C4DFC"/>
    <w:rsid w:val="003C55AF"/>
    <w:rsid w:val="003D0A52"/>
    <w:rsid w:val="003D4944"/>
    <w:rsid w:val="003D5D98"/>
    <w:rsid w:val="003D6FFB"/>
    <w:rsid w:val="003E62F2"/>
    <w:rsid w:val="003E695D"/>
    <w:rsid w:val="003F363F"/>
    <w:rsid w:val="00402382"/>
    <w:rsid w:val="0040336E"/>
    <w:rsid w:val="00404178"/>
    <w:rsid w:val="00407755"/>
    <w:rsid w:val="00413A25"/>
    <w:rsid w:val="0041422B"/>
    <w:rsid w:val="00422EDE"/>
    <w:rsid w:val="00426B05"/>
    <w:rsid w:val="00427192"/>
    <w:rsid w:val="00427775"/>
    <w:rsid w:val="004329D4"/>
    <w:rsid w:val="00436C02"/>
    <w:rsid w:val="00441C6E"/>
    <w:rsid w:val="00443CEF"/>
    <w:rsid w:val="0044641E"/>
    <w:rsid w:val="0044742F"/>
    <w:rsid w:val="00457C34"/>
    <w:rsid w:val="0046404C"/>
    <w:rsid w:val="004645D0"/>
    <w:rsid w:val="004666A6"/>
    <w:rsid w:val="004707D3"/>
    <w:rsid w:val="00475CEC"/>
    <w:rsid w:val="004812BD"/>
    <w:rsid w:val="004813F5"/>
    <w:rsid w:val="004829AB"/>
    <w:rsid w:val="004863F0"/>
    <w:rsid w:val="00487481"/>
    <w:rsid w:val="0049259B"/>
    <w:rsid w:val="00495D70"/>
    <w:rsid w:val="00497694"/>
    <w:rsid w:val="004A23A9"/>
    <w:rsid w:val="004A3F81"/>
    <w:rsid w:val="004A463E"/>
    <w:rsid w:val="004A6990"/>
    <w:rsid w:val="004B0E56"/>
    <w:rsid w:val="004B20AE"/>
    <w:rsid w:val="004B5BFC"/>
    <w:rsid w:val="004C0830"/>
    <w:rsid w:val="004C3907"/>
    <w:rsid w:val="004C5FB1"/>
    <w:rsid w:val="004D1A6C"/>
    <w:rsid w:val="004D1C01"/>
    <w:rsid w:val="004D2A57"/>
    <w:rsid w:val="004E0184"/>
    <w:rsid w:val="004E1D3C"/>
    <w:rsid w:val="004E5754"/>
    <w:rsid w:val="004F11D4"/>
    <w:rsid w:val="004F13CA"/>
    <w:rsid w:val="004F2D42"/>
    <w:rsid w:val="004F7D42"/>
    <w:rsid w:val="005052BF"/>
    <w:rsid w:val="0051458A"/>
    <w:rsid w:val="00514AD5"/>
    <w:rsid w:val="00514B21"/>
    <w:rsid w:val="00516C02"/>
    <w:rsid w:val="005214DD"/>
    <w:rsid w:val="00525580"/>
    <w:rsid w:val="0053027B"/>
    <w:rsid w:val="00531E1D"/>
    <w:rsid w:val="005337AE"/>
    <w:rsid w:val="00534994"/>
    <w:rsid w:val="00536E80"/>
    <w:rsid w:val="005416E9"/>
    <w:rsid w:val="005418FB"/>
    <w:rsid w:val="00542E8C"/>
    <w:rsid w:val="0054387B"/>
    <w:rsid w:val="00543E56"/>
    <w:rsid w:val="0054784C"/>
    <w:rsid w:val="005479DF"/>
    <w:rsid w:val="00547F01"/>
    <w:rsid w:val="0055456E"/>
    <w:rsid w:val="005570BC"/>
    <w:rsid w:val="00563244"/>
    <w:rsid w:val="00566004"/>
    <w:rsid w:val="005674DA"/>
    <w:rsid w:val="00567EB7"/>
    <w:rsid w:val="0058079F"/>
    <w:rsid w:val="00580C5A"/>
    <w:rsid w:val="005836F2"/>
    <w:rsid w:val="005838A1"/>
    <w:rsid w:val="00584174"/>
    <w:rsid w:val="005848B0"/>
    <w:rsid w:val="005849F1"/>
    <w:rsid w:val="00584C05"/>
    <w:rsid w:val="005907BA"/>
    <w:rsid w:val="0059085E"/>
    <w:rsid w:val="005912C2"/>
    <w:rsid w:val="0059135E"/>
    <w:rsid w:val="005B14C7"/>
    <w:rsid w:val="005B1A54"/>
    <w:rsid w:val="005B1E42"/>
    <w:rsid w:val="005B3DA4"/>
    <w:rsid w:val="005B7694"/>
    <w:rsid w:val="005C1742"/>
    <w:rsid w:val="005C1EE4"/>
    <w:rsid w:val="005C233E"/>
    <w:rsid w:val="005C2341"/>
    <w:rsid w:val="005C5049"/>
    <w:rsid w:val="005D18C8"/>
    <w:rsid w:val="005D27BD"/>
    <w:rsid w:val="005D2E06"/>
    <w:rsid w:val="005D7678"/>
    <w:rsid w:val="005D79CA"/>
    <w:rsid w:val="005D7EBA"/>
    <w:rsid w:val="005E07AF"/>
    <w:rsid w:val="005E117F"/>
    <w:rsid w:val="005E5F8B"/>
    <w:rsid w:val="005E663D"/>
    <w:rsid w:val="005F1291"/>
    <w:rsid w:val="005F1943"/>
    <w:rsid w:val="005F369C"/>
    <w:rsid w:val="005F733F"/>
    <w:rsid w:val="005F7387"/>
    <w:rsid w:val="00607DF6"/>
    <w:rsid w:val="0061231D"/>
    <w:rsid w:val="00616242"/>
    <w:rsid w:val="00620D73"/>
    <w:rsid w:val="006252EE"/>
    <w:rsid w:val="0063050E"/>
    <w:rsid w:val="00631812"/>
    <w:rsid w:val="006338A4"/>
    <w:rsid w:val="006369FF"/>
    <w:rsid w:val="00640589"/>
    <w:rsid w:val="00643673"/>
    <w:rsid w:val="00643AD4"/>
    <w:rsid w:val="00645A0B"/>
    <w:rsid w:val="00646F58"/>
    <w:rsid w:val="006477DF"/>
    <w:rsid w:val="006479FB"/>
    <w:rsid w:val="00650719"/>
    <w:rsid w:val="00650779"/>
    <w:rsid w:val="0065542C"/>
    <w:rsid w:val="00660291"/>
    <w:rsid w:val="006632C9"/>
    <w:rsid w:val="00667F49"/>
    <w:rsid w:val="00676486"/>
    <w:rsid w:val="00676BA3"/>
    <w:rsid w:val="0068210B"/>
    <w:rsid w:val="00682823"/>
    <w:rsid w:val="006847D7"/>
    <w:rsid w:val="00685840"/>
    <w:rsid w:val="006874C3"/>
    <w:rsid w:val="00691517"/>
    <w:rsid w:val="00692E25"/>
    <w:rsid w:val="00693809"/>
    <w:rsid w:val="00695854"/>
    <w:rsid w:val="00696999"/>
    <w:rsid w:val="00697703"/>
    <w:rsid w:val="006A0764"/>
    <w:rsid w:val="006A25D4"/>
    <w:rsid w:val="006A420D"/>
    <w:rsid w:val="006A720E"/>
    <w:rsid w:val="006A77BE"/>
    <w:rsid w:val="006B196C"/>
    <w:rsid w:val="006B44F3"/>
    <w:rsid w:val="006C2EFD"/>
    <w:rsid w:val="006C7210"/>
    <w:rsid w:val="006D20BC"/>
    <w:rsid w:val="006D4B30"/>
    <w:rsid w:val="006D5B80"/>
    <w:rsid w:val="006D5D7C"/>
    <w:rsid w:val="006D6A05"/>
    <w:rsid w:val="006D6FC9"/>
    <w:rsid w:val="006E18DA"/>
    <w:rsid w:val="006E2FC2"/>
    <w:rsid w:val="006E50D3"/>
    <w:rsid w:val="006F0AC8"/>
    <w:rsid w:val="006F1A79"/>
    <w:rsid w:val="006F39EC"/>
    <w:rsid w:val="006F51F9"/>
    <w:rsid w:val="006F61C1"/>
    <w:rsid w:val="006F7332"/>
    <w:rsid w:val="006F7C5F"/>
    <w:rsid w:val="006F7F60"/>
    <w:rsid w:val="00701F53"/>
    <w:rsid w:val="00703BF8"/>
    <w:rsid w:val="00713D9B"/>
    <w:rsid w:val="00715FC4"/>
    <w:rsid w:val="007163C4"/>
    <w:rsid w:val="00717005"/>
    <w:rsid w:val="0071787B"/>
    <w:rsid w:val="0072180C"/>
    <w:rsid w:val="00721C97"/>
    <w:rsid w:val="007253E4"/>
    <w:rsid w:val="00725C05"/>
    <w:rsid w:val="00725FBE"/>
    <w:rsid w:val="007314D0"/>
    <w:rsid w:val="007329B3"/>
    <w:rsid w:val="00732D91"/>
    <w:rsid w:val="007411C8"/>
    <w:rsid w:val="00745616"/>
    <w:rsid w:val="00750889"/>
    <w:rsid w:val="007526BC"/>
    <w:rsid w:val="00752ECD"/>
    <w:rsid w:val="007530E1"/>
    <w:rsid w:val="007530FB"/>
    <w:rsid w:val="007537A0"/>
    <w:rsid w:val="007548A5"/>
    <w:rsid w:val="00755502"/>
    <w:rsid w:val="00760350"/>
    <w:rsid w:val="00761983"/>
    <w:rsid w:val="00762578"/>
    <w:rsid w:val="007640C6"/>
    <w:rsid w:val="00767506"/>
    <w:rsid w:val="00772D9C"/>
    <w:rsid w:val="0078083F"/>
    <w:rsid w:val="007837B3"/>
    <w:rsid w:val="0078446C"/>
    <w:rsid w:val="00787340"/>
    <w:rsid w:val="00795D2C"/>
    <w:rsid w:val="00797CBD"/>
    <w:rsid w:val="007A0832"/>
    <w:rsid w:val="007A16EC"/>
    <w:rsid w:val="007A4A29"/>
    <w:rsid w:val="007A4C61"/>
    <w:rsid w:val="007A5355"/>
    <w:rsid w:val="007A6C43"/>
    <w:rsid w:val="007B077E"/>
    <w:rsid w:val="007B4F3F"/>
    <w:rsid w:val="007C10EC"/>
    <w:rsid w:val="007C1B6E"/>
    <w:rsid w:val="007C3693"/>
    <w:rsid w:val="007C4661"/>
    <w:rsid w:val="007D27F4"/>
    <w:rsid w:val="007D37C7"/>
    <w:rsid w:val="007D40D7"/>
    <w:rsid w:val="007E04E4"/>
    <w:rsid w:val="007E04FB"/>
    <w:rsid w:val="007E150A"/>
    <w:rsid w:val="007E7DC1"/>
    <w:rsid w:val="007F4FCC"/>
    <w:rsid w:val="007F56C6"/>
    <w:rsid w:val="007F6274"/>
    <w:rsid w:val="007F6298"/>
    <w:rsid w:val="007F6B36"/>
    <w:rsid w:val="007F7103"/>
    <w:rsid w:val="008003A7"/>
    <w:rsid w:val="00803428"/>
    <w:rsid w:val="00807236"/>
    <w:rsid w:val="00810F22"/>
    <w:rsid w:val="0082016F"/>
    <w:rsid w:val="008218D7"/>
    <w:rsid w:val="00821B1D"/>
    <w:rsid w:val="008229E8"/>
    <w:rsid w:val="008253FD"/>
    <w:rsid w:val="00825B74"/>
    <w:rsid w:val="00826736"/>
    <w:rsid w:val="00832F80"/>
    <w:rsid w:val="00836E1C"/>
    <w:rsid w:val="0083795C"/>
    <w:rsid w:val="008402E3"/>
    <w:rsid w:val="00840DD5"/>
    <w:rsid w:val="0084112E"/>
    <w:rsid w:val="00841885"/>
    <w:rsid w:val="0084286E"/>
    <w:rsid w:val="0084362F"/>
    <w:rsid w:val="00846067"/>
    <w:rsid w:val="00852BB3"/>
    <w:rsid w:val="0085357F"/>
    <w:rsid w:val="008579B7"/>
    <w:rsid w:val="008608EE"/>
    <w:rsid w:val="008622E1"/>
    <w:rsid w:val="00862C70"/>
    <w:rsid w:val="0086314E"/>
    <w:rsid w:val="00863371"/>
    <w:rsid w:val="00874353"/>
    <w:rsid w:val="00875F01"/>
    <w:rsid w:val="00876B91"/>
    <w:rsid w:val="00876E30"/>
    <w:rsid w:val="00883158"/>
    <w:rsid w:val="00886E47"/>
    <w:rsid w:val="00887419"/>
    <w:rsid w:val="00887537"/>
    <w:rsid w:val="0088763D"/>
    <w:rsid w:val="00887EC4"/>
    <w:rsid w:val="00892AE8"/>
    <w:rsid w:val="00893713"/>
    <w:rsid w:val="008945D0"/>
    <w:rsid w:val="00896B9D"/>
    <w:rsid w:val="00896D9B"/>
    <w:rsid w:val="008B0C28"/>
    <w:rsid w:val="008B2EB9"/>
    <w:rsid w:val="008B566F"/>
    <w:rsid w:val="008B5C00"/>
    <w:rsid w:val="008B60E4"/>
    <w:rsid w:val="008C06F7"/>
    <w:rsid w:val="008C3394"/>
    <w:rsid w:val="008C54E5"/>
    <w:rsid w:val="008D0A38"/>
    <w:rsid w:val="008D1C49"/>
    <w:rsid w:val="008D235E"/>
    <w:rsid w:val="008D25A2"/>
    <w:rsid w:val="008E2081"/>
    <w:rsid w:val="008F337A"/>
    <w:rsid w:val="009005B2"/>
    <w:rsid w:val="00902ACC"/>
    <w:rsid w:val="009044D7"/>
    <w:rsid w:val="00905DA9"/>
    <w:rsid w:val="00907DBB"/>
    <w:rsid w:val="00910E3C"/>
    <w:rsid w:val="00911470"/>
    <w:rsid w:val="0092125E"/>
    <w:rsid w:val="009235FC"/>
    <w:rsid w:val="00942EC0"/>
    <w:rsid w:val="00946727"/>
    <w:rsid w:val="0095016A"/>
    <w:rsid w:val="00954AD7"/>
    <w:rsid w:val="009551BA"/>
    <w:rsid w:val="0096014D"/>
    <w:rsid w:val="00963D3B"/>
    <w:rsid w:val="009662B8"/>
    <w:rsid w:val="00974011"/>
    <w:rsid w:val="009745CB"/>
    <w:rsid w:val="009757DE"/>
    <w:rsid w:val="00976808"/>
    <w:rsid w:val="00976BC5"/>
    <w:rsid w:val="00980A78"/>
    <w:rsid w:val="009825AE"/>
    <w:rsid w:val="00986006"/>
    <w:rsid w:val="00986B8E"/>
    <w:rsid w:val="00987358"/>
    <w:rsid w:val="00987D96"/>
    <w:rsid w:val="00990D1C"/>
    <w:rsid w:val="009961B3"/>
    <w:rsid w:val="00996CCA"/>
    <w:rsid w:val="009972C2"/>
    <w:rsid w:val="009A1AEC"/>
    <w:rsid w:val="009B0CBB"/>
    <w:rsid w:val="009B18FE"/>
    <w:rsid w:val="009B1C7B"/>
    <w:rsid w:val="009B5E14"/>
    <w:rsid w:val="009B6753"/>
    <w:rsid w:val="009C402C"/>
    <w:rsid w:val="009C454B"/>
    <w:rsid w:val="009C5808"/>
    <w:rsid w:val="009C580B"/>
    <w:rsid w:val="009C5A76"/>
    <w:rsid w:val="009C67CD"/>
    <w:rsid w:val="009D457B"/>
    <w:rsid w:val="009D789A"/>
    <w:rsid w:val="009E30DB"/>
    <w:rsid w:val="009E44F9"/>
    <w:rsid w:val="009E4D38"/>
    <w:rsid w:val="009E618F"/>
    <w:rsid w:val="009E6F3A"/>
    <w:rsid w:val="009F38FD"/>
    <w:rsid w:val="009F490A"/>
    <w:rsid w:val="009F6A91"/>
    <w:rsid w:val="009F6DEF"/>
    <w:rsid w:val="00A016C9"/>
    <w:rsid w:val="00A030C7"/>
    <w:rsid w:val="00A039CC"/>
    <w:rsid w:val="00A04E7F"/>
    <w:rsid w:val="00A05940"/>
    <w:rsid w:val="00A114A7"/>
    <w:rsid w:val="00A11797"/>
    <w:rsid w:val="00A13265"/>
    <w:rsid w:val="00A137E6"/>
    <w:rsid w:val="00A21021"/>
    <w:rsid w:val="00A2284A"/>
    <w:rsid w:val="00A23427"/>
    <w:rsid w:val="00A23F75"/>
    <w:rsid w:val="00A308F9"/>
    <w:rsid w:val="00A35747"/>
    <w:rsid w:val="00A35C39"/>
    <w:rsid w:val="00A35E4E"/>
    <w:rsid w:val="00A3678F"/>
    <w:rsid w:val="00A372F7"/>
    <w:rsid w:val="00A41D56"/>
    <w:rsid w:val="00A4783D"/>
    <w:rsid w:val="00A53FC4"/>
    <w:rsid w:val="00A559E5"/>
    <w:rsid w:val="00A5617F"/>
    <w:rsid w:val="00A56F63"/>
    <w:rsid w:val="00A57331"/>
    <w:rsid w:val="00A57675"/>
    <w:rsid w:val="00A62063"/>
    <w:rsid w:val="00A62760"/>
    <w:rsid w:val="00A644DF"/>
    <w:rsid w:val="00A666F5"/>
    <w:rsid w:val="00A70C82"/>
    <w:rsid w:val="00A7475E"/>
    <w:rsid w:val="00A852E6"/>
    <w:rsid w:val="00A907F2"/>
    <w:rsid w:val="00A93554"/>
    <w:rsid w:val="00A94DBB"/>
    <w:rsid w:val="00A94F11"/>
    <w:rsid w:val="00A957FE"/>
    <w:rsid w:val="00A9684A"/>
    <w:rsid w:val="00A971E0"/>
    <w:rsid w:val="00A97418"/>
    <w:rsid w:val="00A97E50"/>
    <w:rsid w:val="00AA43BA"/>
    <w:rsid w:val="00AA4AC2"/>
    <w:rsid w:val="00AA6547"/>
    <w:rsid w:val="00AB009A"/>
    <w:rsid w:val="00AB1105"/>
    <w:rsid w:val="00AB3BFF"/>
    <w:rsid w:val="00AC369F"/>
    <w:rsid w:val="00AC3938"/>
    <w:rsid w:val="00AC3BBB"/>
    <w:rsid w:val="00AC3CC5"/>
    <w:rsid w:val="00AC4F9D"/>
    <w:rsid w:val="00AD2D2B"/>
    <w:rsid w:val="00AD5893"/>
    <w:rsid w:val="00AD7364"/>
    <w:rsid w:val="00AF1685"/>
    <w:rsid w:val="00AF53B3"/>
    <w:rsid w:val="00AF74DA"/>
    <w:rsid w:val="00B040C6"/>
    <w:rsid w:val="00B04EA7"/>
    <w:rsid w:val="00B05820"/>
    <w:rsid w:val="00B06308"/>
    <w:rsid w:val="00B068F3"/>
    <w:rsid w:val="00B07B3B"/>
    <w:rsid w:val="00B11EFE"/>
    <w:rsid w:val="00B12381"/>
    <w:rsid w:val="00B15D7B"/>
    <w:rsid w:val="00B1616E"/>
    <w:rsid w:val="00B17F94"/>
    <w:rsid w:val="00B21272"/>
    <w:rsid w:val="00B21BEC"/>
    <w:rsid w:val="00B21EAE"/>
    <w:rsid w:val="00B22321"/>
    <w:rsid w:val="00B23E13"/>
    <w:rsid w:val="00B242C8"/>
    <w:rsid w:val="00B24F5E"/>
    <w:rsid w:val="00B26821"/>
    <w:rsid w:val="00B27B9A"/>
    <w:rsid w:val="00B32943"/>
    <w:rsid w:val="00B33C7B"/>
    <w:rsid w:val="00B35B28"/>
    <w:rsid w:val="00B3650A"/>
    <w:rsid w:val="00B37224"/>
    <w:rsid w:val="00B37334"/>
    <w:rsid w:val="00B402F7"/>
    <w:rsid w:val="00B408B0"/>
    <w:rsid w:val="00B56B02"/>
    <w:rsid w:val="00B67A71"/>
    <w:rsid w:val="00B67B57"/>
    <w:rsid w:val="00B72D1C"/>
    <w:rsid w:val="00B7323F"/>
    <w:rsid w:val="00B810FE"/>
    <w:rsid w:val="00B827CC"/>
    <w:rsid w:val="00B839B2"/>
    <w:rsid w:val="00B904F4"/>
    <w:rsid w:val="00B964F2"/>
    <w:rsid w:val="00BA4F2F"/>
    <w:rsid w:val="00BA5B93"/>
    <w:rsid w:val="00BB196D"/>
    <w:rsid w:val="00BC56F8"/>
    <w:rsid w:val="00BC6640"/>
    <w:rsid w:val="00BC737C"/>
    <w:rsid w:val="00BD0985"/>
    <w:rsid w:val="00BD1FD7"/>
    <w:rsid w:val="00BD3F8B"/>
    <w:rsid w:val="00BD454F"/>
    <w:rsid w:val="00BD62FF"/>
    <w:rsid w:val="00BD7840"/>
    <w:rsid w:val="00BE1B52"/>
    <w:rsid w:val="00BE2832"/>
    <w:rsid w:val="00BE31BF"/>
    <w:rsid w:val="00BE328F"/>
    <w:rsid w:val="00BE351B"/>
    <w:rsid w:val="00BF26FF"/>
    <w:rsid w:val="00BF2E62"/>
    <w:rsid w:val="00BF395C"/>
    <w:rsid w:val="00BF63C0"/>
    <w:rsid w:val="00BF722E"/>
    <w:rsid w:val="00BF7AD7"/>
    <w:rsid w:val="00C00B67"/>
    <w:rsid w:val="00C00E12"/>
    <w:rsid w:val="00C02588"/>
    <w:rsid w:val="00C02693"/>
    <w:rsid w:val="00C03DEE"/>
    <w:rsid w:val="00C112C2"/>
    <w:rsid w:val="00C134B0"/>
    <w:rsid w:val="00C14B0F"/>
    <w:rsid w:val="00C15368"/>
    <w:rsid w:val="00C220A4"/>
    <w:rsid w:val="00C22A12"/>
    <w:rsid w:val="00C23149"/>
    <w:rsid w:val="00C2340B"/>
    <w:rsid w:val="00C23A58"/>
    <w:rsid w:val="00C2405A"/>
    <w:rsid w:val="00C24380"/>
    <w:rsid w:val="00C25350"/>
    <w:rsid w:val="00C2677C"/>
    <w:rsid w:val="00C354AE"/>
    <w:rsid w:val="00C364B2"/>
    <w:rsid w:val="00C37D53"/>
    <w:rsid w:val="00C402D5"/>
    <w:rsid w:val="00C41607"/>
    <w:rsid w:val="00C427F5"/>
    <w:rsid w:val="00C429E7"/>
    <w:rsid w:val="00C42B13"/>
    <w:rsid w:val="00C47BED"/>
    <w:rsid w:val="00C52319"/>
    <w:rsid w:val="00C56B21"/>
    <w:rsid w:val="00C56F8F"/>
    <w:rsid w:val="00C5749B"/>
    <w:rsid w:val="00C57879"/>
    <w:rsid w:val="00C61298"/>
    <w:rsid w:val="00C613B6"/>
    <w:rsid w:val="00C64AF4"/>
    <w:rsid w:val="00C6638B"/>
    <w:rsid w:val="00C671B0"/>
    <w:rsid w:val="00C7683C"/>
    <w:rsid w:val="00C773DF"/>
    <w:rsid w:val="00C82BB4"/>
    <w:rsid w:val="00C833E1"/>
    <w:rsid w:val="00C854E6"/>
    <w:rsid w:val="00C85AEC"/>
    <w:rsid w:val="00C9440F"/>
    <w:rsid w:val="00C95827"/>
    <w:rsid w:val="00C9603F"/>
    <w:rsid w:val="00C970FC"/>
    <w:rsid w:val="00CA48F1"/>
    <w:rsid w:val="00CA675C"/>
    <w:rsid w:val="00CA7D7C"/>
    <w:rsid w:val="00CB2967"/>
    <w:rsid w:val="00CB496D"/>
    <w:rsid w:val="00CB6386"/>
    <w:rsid w:val="00CB6F15"/>
    <w:rsid w:val="00CC27F6"/>
    <w:rsid w:val="00CC3C61"/>
    <w:rsid w:val="00CC4876"/>
    <w:rsid w:val="00CC54A6"/>
    <w:rsid w:val="00CC5CFB"/>
    <w:rsid w:val="00CC78EC"/>
    <w:rsid w:val="00CD0051"/>
    <w:rsid w:val="00CD54B2"/>
    <w:rsid w:val="00CE0A4A"/>
    <w:rsid w:val="00CE0EB1"/>
    <w:rsid w:val="00CE58C1"/>
    <w:rsid w:val="00CE7909"/>
    <w:rsid w:val="00CF162B"/>
    <w:rsid w:val="00CF2145"/>
    <w:rsid w:val="00CF2D5F"/>
    <w:rsid w:val="00CF3C6E"/>
    <w:rsid w:val="00CF4980"/>
    <w:rsid w:val="00D00D5C"/>
    <w:rsid w:val="00D06E60"/>
    <w:rsid w:val="00D0701C"/>
    <w:rsid w:val="00D21AE8"/>
    <w:rsid w:val="00D22819"/>
    <w:rsid w:val="00D25543"/>
    <w:rsid w:val="00D26ED4"/>
    <w:rsid w:val="00D304C5"/>
    <w:rsid w:val="00D30CB5"/>
    <w:rsid w:val="00D33C0A"/>
    <w:rsid w:val="00D376B5"/>
    <w:rsid w:val="00D410F9"/>
    <w:rsid w:val="00D4123B"/>
    <w:rsid w:val="00D42CF5"/>
    <w:rsid w:val="00D54E8E"/>
    <w:rsid w:val="00D61509"/>
    <w:rsid w:val="00D615B5"/>
    <w:rsid w:val="00D65E1A"/>
    <w:rsid w:val="00D66FF4"/>
    <w:rsid w:val="00D7183A"/>
    <w:rsid w:val="00D72DBD"/>
    <w:rsid w:val="00D73C1C"/>
    <w:rsid w:val="00D746AD"/>
    <w:rsid w:val="00D80C1E"/>
    <w:rsid w:val="00D8202A"/>
    <w:rsid w:val="00D824B3"/>
    <w:rsid w:val="00D83DFC"/>
    <w:rsid w:val="00D848EB"/>
    <w:rsid w:val="00D84AED"/>
    <w:rsid w:val="00D84D04"/>
    <w:rsid w:val="00D8571E"/>
    <w:rsid w:val="00D9036D"/>
    <w:rsid w:val="00D90FC7"/>
    <w:rsid w:val="00D92FD7"/>
    <w:rsid w:val="00D9457C"/>
    <w:rsid w:val="00DA0E94"/>
    <w:rsid w:val="00DA7251"/>
    <w:rsid w:val="00DA774E"/>
    <w:rsid w:val="00DB415C"/>
    <w:rsid w:val="00DB5B5A"/>
    <w:rsid w:val="00DB7D0F"/>
    <w:rsid w:val="00DC5A3D"/>
    <w:rsid w:val="00DC67AE"/>
    <w:rsid w:val="00DC75E7"/>
    <w:rsid w:val="00DD07A1"/>
    <w:rsid w:val="00DD091E"/>
    <w:rsid w:val="00DD0931"/>
    <w:rsid w:val="00DD3833"/>
    <w:rsid w:val="00DD5810"/>
    <w:rsid w:val="00DD6079"/>
    <w:rsid w:val="00DD6629"/>
    <w:rsid w:val="00DD77F7"/>
    <w:rsid w:val="00DE05A4"/>
    <w:rsid w:val="00DE13C1"/>
    <w:rsid w:val="00DE1530"/>
    <w:rsid w:val="00DE3585"/>
    <w:rsid w:val="00DE78BE"/>
    <w:rsid w:val="00DE7986"/>
    <w:rsid w:val="00DF24D7"/>
    <w:rsid w:val="00DF2A73"/>
    <w:rsid w:val="00DF5301"/>
    <w:rsid w:val="00DF798C"/>
    <w:rsid w:val="00DF7E01"/>
    <w:rsid w:val="00E00979"/>
    <w:rsid w:val="00E043E9"/>
    <w:rsid w:val="00E05BE2"/>
    <w:rsid w:val="00E06AD2"/>
    <w:rsid w:val="00E07FB9"/>
    <w:rsid w:val="00E1088C"/>
    <w:rsid w:val="00E13CC6"/>
    <w:rsid w:val="00E17B12"/>
    <w:rsid w:val="00E21873"/>
    <w:rsid w:val="00E22B82"/>
    <w:rsid w:val="00E246C9"/>
    <w:rsid w:val="00E27020"/>
    <w:rsid w:val="00E2702C"/>
    <w:rsid w:val="00E306E1"/>
    <w:rsid w:val="00E30A3E"/>
    <w:rsid w:val="00E314F6"/>
    <w:rsid w:val="00E3200A"/>
    <w:rsid w:val="00E33CE8"/>
    <w:rsid w:val="00E34E4C"/>
    <w:rsid w:val="00E4267A"/>
    <w:rsid w:val="00E43DAC"/>
    <w:rsid w:val="00E43FC8"/>
    <w:rsid w:val="00E442DA"/>
    <w:rsid w:val="00E56D13"/>
    <w:rsid w:val="00E62445"/>
    <w:rsid w:val="00E64BA3"/>
    <w:rsid w:val="00E66001"/>
    <w:rsid w:val="00E66F2C"/>
    <w:rsid w:val="00E71C9E"/>
    <w:rsid w:val="00E81F10"/>
    <w:rsid w:val="00E84EC5"/>
    <w:rsid w:val="00E850B1"/>
    <w:rsid w:val="00E85405"/>
    <w:rsid w:val="00E87261"/>
    <w:rsid w:val="00E87916"/>
    <w:rsid w:val="00E91359"/>
    <w:rsid w:val="00E95802"/>
    <w:rsid w:val="00E97449"/>
    <w:rsid w:val="00EA489C"/>
    <w:rsid w:val="00EA4B3B"/>
    <w:rsid w:val="00EA7C98"/>
    <w:rsid w:val="00EB0FD3"/>
    <w:rsid w:val="00EC52B4"/>
    <w:rsid w:val="00EC7A73"/>
    <w:rsid w:val="00ED1E42"/>
    <w:rsid w:val="00ED2003"/>
    <w:rsid w:val="00ED2584"/>
    <w:rsid w:val="00ED5267"/>
    <w:rsid w:val="00ED711B"/>
    <w:rsid w:val="00EE08DE"/>
    <w:rsid w:val="00EE1D53"/>
    <w:rsid w:val="00EE4845"/>
    <w:rsid w:val="00EE6194"/>
    <w:rsid w:val="00EE7B2F"/>
    <w:rsid w:val="00EF066C"/>
    <w:rsid w:val="00EF09BC"/>
    <w:rsid w:val="00EF38F6"/>
    <w:rsid w:val="00EF78C2"/>
    <w:rsid w:val="00F02C6D"/>
    <w:rsid w:val="00F040CF"/>
    <w:rsid w:val="00F06775"/>
    <w:rsid w:val="00F10F7F"/>
    <w:rsid w:val="00F1351F"/>
    <w:rsid w:val="00F147CC"/>
    <w:rsid w:val="00F20C35"/>
    <w:rsid w:val="00F22F01"/>
    <w:rsid w:val="00F23CBF"/>
    <w:rsid w:val="00F25DE3"/>
    <w:rsid w:val="00F30316"/>
    <w:rsid w:val="00F3166C"/>
    <w:rsid w:val="00F3439B"/>
    <w:rsid w:val="00F35046"/>
    <w:rsid w:val="00F362CC"/>
    <w:rsid w:val="00F37C22"/>
    <w:rsid w:val="00F40469"/>
    <w:rsid w:val="00F4102C"/>
    <w:rsid w:val="00F459A6"/>
    <w:rsid w:val="00F466DB"/>
    <w:rsid w:val="00F47033"/>
    <w:rsid w:val="00F5291E"/>
    <w:rsid w:val="00F55470"/>
    <w:rsid w:val="00F63550"/>
    <w:rsid w:val="00F63F3B"/>
    <w:rsid w:val="00F66ED3"/>
    <w:rsid w:val="00F6704E"/>
    <w:rsid w:val="00F71FDA"/>
    <w:rsid w:val="00F757A9"/>
    <w:rsid w:val="00F761EB"/>
    <w:rsid w:val="00F80581"/>
    <w:rsid w:val="00F81AF7"/>
    <w:rsid w:val="00F8215F"/>
    <w:rsid w:val="00F82C96"/>
    <w:rsid w:val="00F86148"/>
    <w:rsid w:val="00F91639"/>
    <w:rsid w:val="00F933B2"/>
    <w:rsid w:val="00F963D2"/>
    <w:rsid w:val="00F96AD6"/>
    <w:rsid w:val="00FA0609"/>
    <w:rsid w:val="00FA2DE2"/>
    <w:rsid w:val="00FA4CA7"/>
    <w:rsid w:val="00FA6951"/>
    <w:rsid w:val="00FA70CB"/>
    <w:rsid w:val="00FB371E"/>
    <w:rsid w:val="00FB3A37"/>
    <w:rsid w:val="00FC3111"/>
    <w:rsid w:val="00FC3667"/>
    <w:rsid w:val="00FC436E"/>
    <w:rsid w:val="00FC4440"/>
    <w:rsid w:val="00FC4C42"/>
    <w:rsid w:val="00FC5A57"/>
    <w:rsid w:val="00FC7C10"/>
    <w:rsid w:val="00FD3A1D"/>
    <w:rsid w:val="00FD77A1"/>
    <w:rsid w:val="00FE13E8"/>
    <w:rsid w:val="00FF00E4"/>
    <w:rsid w:val="00FF2795"/>
    <w:rsid w:val="00FF2FB8"/>
    <w:rsid w:val="00FF350B"/>
    <w:rsid w:val="00FF3C72"/>
    <w:rsid w:val="00FF52D8"/>
    <w:rsid w:val="00FF6980"/>
    <w:rsid w:val="00FF6EDB"/>
    <w:rsid w:val="DFFDB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heme="minorEastAsia" w:cstheme="minorBidi"/>
      <w:color w:val="000000" w:themeColor="text1"/>
      <w:kern w:val="2"/>
      <w:sz w:val="24"/>
      <w:szCs w:val="22"/>
      <w:lang w:val="en-US" w:eastAsia="zh-CN" w:bidi="ar-SA"/>
      <w14:textFill>
        <w14:solidFill>
          <w14:schemeClr w14:val="tx1"/>
        </w14:solidFill>
      </w14:textFill>
    </w:rPr>
  </w:style>
  <w:style w:type="paragraph" w:styleId="2">
    <w:name w:val="heading 1"/>
    <w:basedOn w:val="1"/>
    <w:next w:val="1"/>
    <w:link w:val="21"/>
    <w:qFormat/>
    <w:uiPriority w:val="9"/>
    <w:pPr>
      <w:keepNext/>
      <w:keepLines/>
      <w:spacing w:line="240" w:lineRule="auto"/>
      <w:ind w:firstLine="0" w:firstLineChars="0"/>
      <w:jc w:val="center"/>
      <w:outlineLvl w:val="0"/>
    </w:pPr>
    <w:rPr>
      <w:b/>
      <w:bCs/>
      <w:kern w:val="44"/>
      <w:sz w:val="32"/>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ind w:left="1440"/>
      <w:jc w:val="left"/>
    </w:pPr>
    <w:rPr>
      <w:rFonts w:asciiTheme="minorHAnsi" w:hAnsiTheme="minorHAnsi" w:cstheme="minorHAnsi"/>
      <w:sz w:val="18"/>
      <w:szCs w:val="18"/>
    </w:rPr>
  </w:style>
  <w:style w:type="paragraph" w:styleId="4">
    <w:name w:val="toc 5"/>
    <w:basedOn w:val="1"/>
    <w:next w:val="1"/>
    <w:unhideWhenUsed/>
    <w:qFormat/>
    <w:uiPriority w:val="39"/>
    <w:pPr>
      <w:ind w:left="960"/>
      <w:jc w:val="left"/>
    </w:pPr>
    <w:rPr>
      <w:rFonts w:asciiTheme="minorHAnsi" w:hAnsiTheme="minorHAnsi" w:cstheme="minorHAnsi"/>
      <w:sz w:val="18"/>
      <w:szCs w:val="18"/>
    </w:rPr>
  </w:style>
  <w:style w:type="paragraph" w:styleId="5">
    <w:name w:val="toc 3"/>
    <w:basedOn w:val="1"/>
    <w:next w:val="1"/>
    <w:unhideWhenUsed/>
    <w:qFormat/>
    <w:uiPriority w:val="39"/>
    <w:pPr>
      <w:ind w:left="480"/>
      <w:jc w:val="left"/>
    </w:pPr>
    <w:rPr>
      <w:rFonts w:asciiTheme="minorHAnsi" w:hAnsiTheme="minorHAnsi" w:cstheme="minorHAnsi"/>
      <w:i/>
      <w:iCs/>
      <w:sz w:val="20"/>
      <w:szCs w:val="20"/>
    </w:rPr>
  </w:style>
  <w:style w:type="paragraph" w:styleId="6">
    <w:name w:val="toc 8"/>
    <w:basedOn w:val="1"/>
    <w:next w:val="1"/>
    <w:unhideWhenUsed/>
    <w:qFormat/>
    <w:uiPriority w:val="39"/>
    <w:pPr>
      <w:ind w:left="1680"/>
      <w:jc w:val="left"/>
    </w:pPr>
    <w:rPr>
      <w:rFonts w:asciiTheme="minorHAnsi" w:hAnsiTheme="minorHAnsi" w:cstheme="minorHAnsi"/>
      <w:sz w:val="18"/>
      <w:szCs w:val="18"/>
    </w:rPr>
  </w:style>
  <w:style w:type="paragraph" w:styleId="7">
    <w:name w:val="Balloon Text"/>
    <w:basedOn w:val="1"/>
    <w:link w:val="23"/>
    <w:semiHidden/>
    <w:unhideWhenUsed/>
    <w:qFormat/>
    <w:uiPriority w:val="99"/>
    <w:pPr>
      <w:spacing w:line="240" w:lineRule="auto"/>
    </w:pPr>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spacing w:before="120" w:after="120"/>
      <w:ind w:firstLine="0" w:firstLineChars="0"/>
      <w:jc w:val="left"/>
    </w:pPr>
    <w:rPr>
      <w:rFonts w:asciiTheme="minorHAnsi" w:hAnsiTheme="minorHAnsi" w:cstheme="minorHAnsi"/>
      <w:b/>
      <w:bCs/>
      <w:caps/>
      <w:sz w:val="20"/>
      <w:szCs w:val="20"/>
    </w:rPr>
  </w:style>
  <w:style w:type="paragraph" w:styleId="11">
    <w:name w:val="toc 4"/>
    <w:basedOn w:val="1"/>
    <w:next w:val="1"/>
    <w:unhideWhenUsed/>
    <w:qFormat/>
    <w:uiPriority w:val="39"/>
    <w:pPr>
      <w:ind w:left="720"/>
      <w:jc w:val="left"/>
    </w:pPr>
    <w:rPr>
      <w:rFonts w:asciiTheme="minorHAnsi" w:hAnsiTheme="minorHAnsi" w:cstheme="minorHAnsi"/>
      <w:sz w:val="18"/>
      <w:szCs w:val="18"/>
    </w:rPr>
  </w:style>
  <w:style w:type="paragraph" w:styleId="12">
    <w:name w:val="toc 6"/>
    <w:basedOn w:val="1"/>
    <w:next w:val="1"/>
    <w:unhideWhenUsed/>
    <w:qFormat/>
    <w:uiPriority w:val="39"/>
    <w:pPr>
      <w:ind w:left="1200"/>
      <w:jc w:val="left"/>
    </w:pPr>
    <w:rPr>
      <w:rFonts w:asciiTheme="minorHAnsi" w:hAnsiTheme="minorHAnsi" w:cstheme="minorHAnsi"/>
      <w:sz w:val="18"/>
      <w:szCs w:val="18"/>
    </w:rPr>
  </w:style>
  <w:style w:type="paragraph" w:styleId="13">
    <w:name w:val="toc 2"/>
    <w:basedOn w:val="1"/>
    <w:next w:val="1"/>
    <w:unhideWhenUsed/>
    <w:qFormat/>
    <w:uiPriority w:val="39"/>
    <w:pPr>
      <w:ind w:left="240"/>
      <w:jc w:val="left"/>
    </w:pPr>
    <w:rPr>
      <w:rFonts w:asciiTheme="minorHAnsi" w:hAnsiTheme="minorHAnsi" w:cstheme="minorHAnsi"/>
      <w:smallCaps/>
      <w:sz w:val="20"/>
      <w:szCs w:val="20"/>
    </w:rPr>
  </w:style>
  <w:style w:type="paragraph" w:styleId="14">
    <w:name w:val="toc 9"/>
    <w:basedOn w:val="1"/>
    <w:next w:val="1"/>
    <w:unhideWhenUsed/>
    <w:qFormat/>
    <w:uiPriority w:val="39"/>
    <w:pPr>
      <w:ind w:left="1920"/>
      <w:jc w:val="left"/>
    </w:pPr>
    <w:rPr>
      <w:rFonts w:asciiTheme="minorHAnsi" w:hAnsiTheme="minorHAnsi" w:cstheme="minorHAnsi"/>
      <w:sz w:val="18"/>
      <w:szCs w:val="18"/>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Char"/>
    <w:basedOn w:val="17"/>
    <w:link w:val="9"/>
    <w:qFormat/>
    <w:uiPriority w:val="99"/>
    <w:rPr>
      <w:sz w:val="18"/>
      <w:szCs w:val="18"/>
    </w:rPr>
  </w:style>
  <w:style w:type="character" w:customStyle="1" w:styleId="20">
    <w:name w:val="页脚 Char"/>
    <w:basedOn w:val="17"/>
    <w:link w:val="8"/>
    <w:qFormat/>
    <w:uiPriority w:val="99"/>
    <w:rPr>
      <w:sz w:val="18"/>
      <w:szCs w:val="18"/>
    </w:rPr>
  </w:style>
  <w:style w:type="character" w:customStyle="1" w:styleId="21">
    <w:name w:val="标题 1 Char"/>
    <w:basedOn w:val="17"/>
    <w:link w:val="2"/>
    <w:qFormat/>
    <w:uiPriority w:val="9"/>
    <w:rPr>
      <w:rFonts w:ascii="Times New Roman" w:hAnsi="Times New Roman"/>
      <w:b/>
      <w:bCs/>
      <w:color w:val="000000" w:themeColor="text1"/>
      <w:kern w:val="44"/>
      <w:sz w:val="32"/>
      <w:szCs w:val="44"/>
      <w14:textFill>
        <w14:solidFill>
          <w14:schemeClr w14:val="tx1"/>
        </w14:solidFill>
      </w14:textFill>
    </w:rPr>
  </w:style>
  <w:style w:type="paragraph" w:styleId="22">
    <w:name w:val="List Paragraph"/>
    <w:basedOn w:val="1"/>
    <w:qFormat/>
    <w:uiPriority w:val="34"/>
    <w:pPr>
      <w:spacing w:line="240" w:lineRule="auto"/>
      <w:ind w:firstLine="420"/>
    </w:pPr>
    <w:rPr>
      <w:rFonts w:asciiTheme="minorHAnsi" w:hAnsiTheme="minorHAnsi"/>
      <w:color w:val="auto"/>
      <w:sz w:val="21"/>
    </w:rPr>
  </w:style>
  <w:style w:type="character" w:customStyle="1" w:styleId="23">
    <w:name w:val="批注框文本 Char"/>
    <w:basedOn w:val="17"/>
    <w:link w:val="7"/>
    <w:semiHidden/>
    <w:qFormat/>
    <w:uiPriority w:val="99"/>
    <w:rPr>
      <w:rFonts w:ascii="Times New Roman" w:hAnsi="Times New Roman"/>
      <w:color w:val="000000" w:themeColor="text1"/>
      <w:sz w:val="18"/>
      <w:szCs w:val="18"/>
      <w14:textFill>
        <w14:solidFill>
          <w14:schemeClr w14:val="tx1"/>
        </w14:solidFill>
      </w14:textFill>
    </w:rPr>
  </w:style>
  <w:style w:type="character" w:customStyle="1" w:styleId="24">
    <w:name w:val="边框正文 字符"/>
    <w:basedOn w:val="17"/>
    <w:link w:val="25"/>
    <w:qFormat/>
    <w:uiPriority w:val="0"/>
    <w:rPr>
      <w:rFonts w:eastAsia="仿宋_GB2312"/>
      <w:spacing w:val="-5"/>
    </w:rPr>
  </w:style>
  <w:style w:type="paragraph" w:customStyle="1" w:styleId="25">
    <w:name w:val="边框正文"/>
    <w:next w:val="1"/>
    <w:link w:val="24"/>
    <w:qFormat/>
    <w:uiPriority w:val="0"/>
    <w:pPr>
      <w:topLinePunct/>
      <w:jc w:val="center"/>
    </w:pPr>
    <w:rPr>
      <w:rFonts w:eastAsia="仿宋_GB2312" w:asciiTheme="minorHAnsi" w:hAnsiTheme="minorHAnsi" w:cstheme="minorBidi"/>
      <w:spacing w:val="-5"/>
      <w:kern w:val="2"/>
      <w:sz w:val="21"/>
      <w:szCs w:val="22"/>
      <w:lang w:val="en-US" w:eastAsia="zh-CN" w:bidi="ar-SA"/>
    </w:rPr>
  </w:style>
  <w:style w:type="table" w:customStyle="1" w:styleId="26">
    <w:name w:val="Table Normal"/>
    <w:basedOn w:val="15"/>
    <w:unhideWhenUsed/>
    <w:qFormat/>
    <w:uiPriority w:val="0"/>
    <w:rPr>
      <w:rFonts w:ascii="Times New Roman" w:hAnsi="Times New Roman" w:eastAsia="宋体" w:cs="Times New Roman"/>
      <w:kern w:val="0"/>
      <w:sz w:val="20"/>
      <w:szCs w:val="20"/>
    </w:rPr>
    <w:tblPr>
      <w:tblCellMar>
        <w:left w:w="0" w:type="dxa"/>
        <w:right w:w="0" w:type="dxa"/>
      </w:tblCellMar>
    </w:tblPr>
  </w:style>
  <w:style w:type="character" w:styleId="27">
    <w:name w:val="Placeholder Text"/>
    <w:basedOn w:val="17"/>
    <w:semiHidden/>
    <w:qFormat/>
    <w:uiPriority w:val="99"/>
    <w:rPr>
      <w:color w:val="808080"/>
    </w:rPr>
  </w:style>
  <w:style w:type="paragraph" w:customStyle="1" w:styleId="28">
    <w:name w:val="Table Text"/>
    <w:basedOn w:val="1"/>
    <w:qFormat/>
    <w:uiPriority w:val="0"/>
    <w:pPr>
      <w:spacing w:line="240" w:lineRule="auto"/>
      <w:ind w:firstLine="0" w:firstLineChars="0"/>
    </w:pPr>
    <w:rPr>
      <w:rFonts w:hint="eastAsia" w:ascii="宋体" w:hAnsi="宋体" w:eastAsia="宋体" w:cs="Times New Roman"/>
      <w:color w:val="auto"/>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60</Pages>
  <Words>6669</Words>
  <Characters>38017</Characters>
  <Lines>316</Lines>
  <Paragraphs>89</Paragraphs>
  <TotalTime>24179</TotalTime>
  <ScaleCrop>false</ScaleCrop>
  <LinksUpToDate>false</LinksUpToDate>
  <CharactersWithSpaces>44597</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2023-09-27T16:20:00Z</dcterms:created>
  <dc:creator>PC</dc:creator>
  <cp:lastModifiedBy>陈河霖</cp:lastModifiedBy>
  <cp:lastPrinted>2025-09-05T15:24:00Z</cp:lastPrinted>
  <dcterms:modified xsi:type="dcterms:W3CDTF">2025-09-25T16:24:40Z</dcterms:modified>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