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jc w:val="center"/>
        <w:rPr>
          <w:rFonts w:ascii="微软雅黑" w:hAnsi="微软雅黑" w:cs="宋体"/>
          <w:sz w:val="44"/>
          <w:szCs w:val="44"/>
        </w:rPr>
      </w:pPr>
      <w:r>
        <w:rPr>
          <w:rFonts w:hint="eastAsia" w:ascii="微软雅黑" w:hAnsi="微软雅黑" w:cs="宋体"/>
          <w:b/>
          <w:bCs/>
          <w:color w:val="3D3D3D"/>
          <w:sz w:val="44"/>
          <w:szCs w:val="44"/>
        </w:rPr>
        <w:t>防城港市检验检测中心经营服务性收费目录清单</w:t>
      </w:r>
    </w:p>
    <w:tbl>
      <w:tblPr>
        <w:tblStyle w:val="3"/>
        <w:tblpPr w:leftFromText="180" w:rightFromText="180" w:vertAnchor="text" w:horzAnchor="page" w:tblpX="1432" w:tblpY="355"/>
        <w:tblOverlap w:val="never"/>
        <w:tblW w:w="0" w:type="auto"/>
        <w:tblCellSpacing w:w="0" w:type="dxa"/>
        <w:tblInd w:w="0" w:type="dxa"/>
        <w:tblLayout w:type="autofit"/>
        <w:tblCellMar>
          <w:top w:w="0" w:type="dxa"/>
          <w:left w:w="0" w:type="dxa"/>
          <w:bottom w:w="0" w:type="dxa"/>
          <w:right w:w="0" w:type="dxa"/>
        </w:tblCellMar>
      </w:tblPr>
      <w:tblGrid>
        <w:gridCol w:w="807"/>
        <w:gridCol w:w="1381"/>
        <w:gridCol w:w="2154"/>
        <w:gridCol w:w="732"/>
        <w:gridCol w:w="541"/>
        <w:gridCol w:w="753"/>
        <w:gridCol w:w="694"/>
        <w:gridCol w:w="2263"/>
        <w:gridCol w:w="1633"/>
        <w:gridCol w:w="2133"/>
        <w:gridCol w:w="907"/>
      </w:tblGrid>
      <w:tr>
        <w:tblPrEx>
          <w:tblCellMar>
            <w:top w:w="0" w:type="dxa"/>
            <w:left w:w="0" w:type="dxa"/>
            <w:bottom w:w="0" w:type="dxa"/>
            <w:right w:w="0" w:type="dxa"/>
          </w:tblCellMar>
        </w:tblPrEx>
        <w:trPr>
          <w:tblCellSpacing w:w="0" w:type="dxa"/>
        </w:trPr>
        <w:tc>
          <w:tcPr>
            <w:tcW w:w="807"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序号</w:t>
            </w:r>
          </w:p>
        </w:tc>
        <w:tc>
          <w:tcPr>
            <w:tcW w:w="1381"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收费</w:t>
            </w:r>
          </w:p>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项目</w:t>
            </w:r>
          </w:p>
        </w:tc>
        <w:tc>
          <w:tcPr>
            <w:tcW w:w="2154"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收费</w:t>
            </w:r>
          </w:p>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标准</w:t>
            </w:r>
          </w:p>
        </w:tc>
        <w:tc>
          <w:tcPr>
            <w:tcW w:w="732"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计量</w:t>
            </w:r>
          </w:p>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单位</w:t>
            </w:r>
          </w:p>
        </w:tc>
        <w:tc>
          <w:tcPr>
            <w:tcW w:w="541"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定价</w:t>
            </w:r>
          </w:p>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方式</w:t>
            </w:r>
          </w:p>
        </w:tc>
        <w:tc>
          <w:tcPr>
            <w:tcW w:w="753"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收费</w:t>
            </w:r>
          </w:p>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主体</w:t>
            </w:r>
          </w:p>
        </w:tc>
        <w:tc>
          <w:tcPr>
            <w:tcW w:w="694"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收费</w:t>
            </w:r>
          </w:p>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对象</w:t>
            </w:r>
          </w:p>
        </w:tc>
        <w:tc>
          <w:tcPr>
            <w:tcW w:w="2263"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收费文件依据</w:t>
            </w:r>
          </w:p>
        </w:tc>
        <w:tc>
          <w:tcPr>
            <w:tcW w:w="1633"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文号</w:t>
            </w:r>
          </w:p>
        </w:tc>
        <w:tc>
          <w:tcPr>
            <w:tcW w:w="2133"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服务内容</w:t>
            </w:r>
          </w:p>
        </w:tc>
        <w:tc>
          <w:tcPr>
            <w:tcW w:w="907"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center"/>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24"/>
                <w:szCs w:val="24"/>
              </w:rPr>
              <w:t>备注</w:t>
            </w:r>
          </w:p>
        </w:tc>
      </w:tr>
      <w:tr>
        <w:tblPrEx>
          <w:tblCellMar>
            <w:top w:w="0" w:type="dxa"/>
            <w:left w:w="0" w:type="dxa"/>
            <w:bottom w:w="0" w:type="dxa"/>
            <w:right w:w="0" w:type="dxa"/>
          </w:tblCellMar>
        </w:tblPrEx>
        <w:trPr>
          <w:trHeight w:val="6150" w:hRule="atLeast"/>
          <w:tblCellSpacing w:w="0" w:type="dxa"/>
        </w:trPr>
        <w:tc>
          <w:tcPr>
            <w:tcW w:w="807"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1</w:t>
            </w:r>
          </w:p>
        </w:tc>
        <w:tc>
          <w:tcPr>
            <w:tcW w:w="1381" w:type="dxa"/>
            <w:tcBorders>
              <w:top w:val="single" w:color="000000" w:sz="8" w:space="0"/>
              <w:left w:val="single" w:color="000000" w:sz="8" w:space="0"/>
              <w:bottom w:val="single" w:color="000000" w:sz="8" w:space="0"/>
              <w:right w:val="single" w:color="000000" w:sz="8" w:space="0"/>
            </w:tcBorders>
            <w:shd w:val="clear" w:color="auto" w:fill="EBEBEB"/>
            <w:vAlign w:val="center"/>
          </w:tcPr>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计量检定、校准和产品质量检验等项目</w:t>
            </w:r>
          </w:p>
        </w:tc>
        <w:tc>
          <w:tcPr>
            <w:tcW w:w="2154"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自治区物价局关于印发全区计量检定收费项目和收费标准的通知》（桂价费[2008]4号）、《自治区物价局、财政厅关于适当降低计量检定收费标准及有关问题的通知》（桂价费[2010]486号、《关于减免一批涉企行政事业性收费的通知》桂财综[2016]29号、</w:t>
            </w:r>
            <w:r>
              <w:rPr>
                <w:rFonts w:hint="eastAsia" w:ascii="微软雅黑" w:hAnsi="微软雅黑"/>
                <w:sz w:val="21"/>
                <w:szCs w:val="21"/>
              </w:rPr>
              <w:t>《广西物价局、财政厅关于正式核定全区产品质量检验收费项目和收费标准的通知》（桂价费</w:t>
            </w:r>
            <w:r>
              <w:rPr>
                <w:rFonts w:hint="eastAsia" w:ascii="微软雅黑" w:hAnsi="微软雅黑" w:cs="Tahoma"/>
                <w:sz w:val="21"/>
                <w:szCs w:val="21"/>
              </w:rPr>
              <w:t>[2013]16</w:t>
            </w:r>
            <w:r>
              <w:rPr>
                <w:rFonts w:hint="eastAsia" w:ascii="微软雅黑" w:hAnsi="微软雅黑"/>
                <w:sz w:val="21"/>
                <w:szCs w:val="21"/>
              </w:rPr>
              <w:t>号）、《关于对停征产品质量监督检验费和出入境检验检疫费等有关事宜补充说明的函》（质检财函［</w:t>
            </w:r>
            <w:r>
              <w:rPr>
                <w:rFonts w:hint="eastAsia" w:ascii="微软雅黑" w:hAnsi="微软雅黑" w:cs="Tahoma"/>
                <w:sz w:val="21"/>
                <w:szCs w:val="21"/>
              </w:rPr>
              <w:t>2017</w:t>
            </w:r>
            <w:r>
              <w:rPr>
                <w:rFonts w:hint="eastAsia" w:ascii="微软雅黑" w:hAnsi="微软雅黑"/>
                <w:sz w:val="21"/>
                <w:szCs w:val="21"/>
              </w:rPr>
              <w:t>］</w:t>
            </w:r>
            <w:r>
              <w:rPr>
                <w:rFonts w:hint="eastAsia" w:ascii="微软雅黑" w:hAnsi="微软雅黑" w:cs="Tahoma"/>
                <w:sz w:val="21"/>
                <w:szCs w:val="21"/>
              </w:rPr>
              <w:t>142</w:t>
            </w:r>
            <w:r>
              <w:rPr>
                <w:rFonts w:hint="eastAsia" w:ascii="微软雅黑" w:hAnsi="微软雅黑"/>
                <w:sz w:val="21"/>
                <w:szCs w:val="21"/>
              </w:rPr>
              <w:t>号）、《质检总局关于贯彻落实取消或停征</w:t>
            </w:r>
            <w:r>
              <w:rPr>
                <w:rFonts w:hint="eastAsia" w:ascii="微软雅黑" w:hAnsi="微软雅黑" w:cs="Tahoma"/>
                <w:sz w:val="21"/>
                <w:szCs w:val="21"/>
              </w:rPr>
              <w:t>4</w:t>
            </w:r>
            <w:r>
              <w:rPr>
                <w:rFonts w:hint="eastAsia" w:ascii="微软雅黑" w:hAnsi="微软雅黑"/>
                <w:sz w:val="21"/>
                <w:szCs w:val="21"/>
              </w:rPr>
              <w:t>项行政事业性收费决定的通知》（国质检财［</w:t>
            </w:r>
            <w:r>
              <w:rPr>
                <w:rFonts w:hint="eastAsia" w:ascii="微软雅黑" w:hAnsi="微软雅黑" w:cs="Tahoma"/>
                <w:sz w:val="21"/>
                <w:szCs w:val="21"/>
              </w:rPr>
              <w:t>2017</w:t>
            </w:r>
            <w:r>
              <w:rPr>
                <w:rFonts w:hint="eastAsia" w:ascii="微软雅黑" w:hAnsi="微软雅黑"/>
                <w:sz w:val="21"/>
                <w:szCs w:val="21"/>
              </w:rPr>
              <w:t>］</w:t>
            </w:r>
            <w:r>
              <w:rPr>
                <w:rFonts w:hint="eastAsia" w:ascii="微软雅黑" w:hAnsi="微软雅黑" w:cs="Tahoma"/>
                <w:sz w:val="21"/>
                <w:szCs w:val="21"/>
              </w:rPr>
              <w:t>140</w:t>
            </w:r>
            <w:r>
              <w:rPr>
                <w:rFonts w:hint="eastAsia" w:ascii="微软雅黑" w:hAnsi="微软雅黑"/>
                <w:sz w:val="21"/>
                <w:szCs w:val="21"/>
              </w:rPr>
              <w:t>号）、《增加广西产品质量国检验收费项目和收费标准</w:t>
            </w:r>
            <w:r>
              <w:rPr>
                <w:rFonts w:hint="eastAsia" w:ascii="微软雅黑" w:hAnsi="微软雅黑" w:cs="Tahoma"/>
                <w:sz w:val="21"/>
                <w:szCs w:val="21"/>
              </w:rPr>
              <w:t>(2016</w:t>
            </w:r>
            <w:r>
              <w:rPr>
                <w:rFonts w:hint="eastAsia" w:ascii="微软雅黑" w:hAnsi="微软雅黑"/>
                <w:sz w:val="21"/>
                <w:szCs w:val="21"/>
              </w:rPr>
              <w:t>年备案）》等</w:t>
            </w:r>
            <w:r>
              <w:rPr>
                <w:rFonts w:hint="eastAsia" w:ascii="微软雅黑" w:hAnsi="微软雅黑" w:cs="宋体"/>
                <w:color w:val="000000"/>
                <w:sz w:val="21"/>
                <w:szCs w:val="21"/>
              </w:rPr>
              <w:t>文件规定的收费标准。</w:t>
            </w:r>
          </w:p>
        </w:tc>
        <w:tc>
          <w:tcPr>
            <w:tcW w:w="732"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both"/>
              <w:rPr>
                <w:rFonts w:hint="eastAsia" w:ascii="微软雅黑" w:hAnsi="微软雅黑" w:cs="宋体"/>
                <w:color w:val="000000"/>
                <w:sz w:val="21"/>
                <w:szCs w:val="21"/>
              </w:rPr>
            </w:pPr>
            <w:r>
              <w:rPr>
                <w:rFonts w:hint="eastAsia" w:ascii="微软雅黑" w:hAnsi="微软雅黑" w:cs="宋体"/>
                <w:color w:val="000000"/>
                <w:sz w:val="21"/>
                <w:szCs w:val="21"/>
              </w:rPr>
              <w:t>台、</w:t>
            </w:r>
          </w:p>
          <w:p>
            <w:pPr>
              <w:adjustRightInd/>
              <w:snapToGrid/>
              <w:spacing w:after="0" w:line="330" w:lineRule="atLeast"/>
              <w:jc w:val="both"/>
              <w:rPr>
                <w:rFonts w:hint="eastAsia" w:ascii="微软雅黑" w:hAnsi="微软雅黑" w:cs="宋体"/>
                <w:color w:val="000000"/>
                <w:sz w:val="21"/>
                <w:szCs w:val="21"/>
              </w:rPr>
            </w:pPr>
            <w:r>
              <w:rPr>
                <w:rFonts w:hint="eastAsia" w:ascii="微软雅黑" w:hAnsi="微软雅黑" w:cs="宋体"/>
                <w:color w:val="000000"/>
                <w:sz w:val="21"/>
                <w:szCs w:val="21"/>
              </w:rPr>
              <w:t>套、</w:t>
            </w:r>
          </w:p>
          <w:p>
            <w:pPr>
              <w:adjustRightInd/>
              <w:snapToGrid/>
              <w:spacing w:after="0" w:line="330" w:lineRule="atLeast"/>
              <w:jc w:val="both"/>
              <w:rPr>
                <w:rFonts w:hint="eastAsia" w:ascii="微软雅黑" w:hAnsi="微软雅黑" w:cs="宋体"/>
                <w:color w:val="000000"/>
                <w:sz w:val="21"/>
                <w:szCs w:val="21"/>
              </w:rPr>
            </w:pPr>
            <w:r>
              <w:rPr>
                <w:rFonts w:hint="eastAsia" w:ascii="微软雅黑" w:hAnsi="微软雅黑" w:cs="宋体"/>
                <w:color w:val="000000"/>
                <w:sz w:val="21"/>
                <w:szCs w:val="21"/>
              </w:rPr>
              <w:t>通道、点、</w:t>
            </w:r>
          </w:p>
          <w:p>
            <w:pPr>
              <w:adjustRightInd/>
              <w:snapToGrid/>
              <w:spacing w:after="0" w:line="330" w:lineRule="atLeast"/>
              <w:jc w:val="both"/>
              <w:rPr>
                <w:rFonts w:hint="eastAsia" w:ascii="微软雅黑" w:hAnsi="微软雅黑" w:cs="宋体"/>
                <w:color w:val="000000"/>
                <w:sz w:val="21"/>
                <w:szCs w:val="21"/>
              </w:rPr>
            </w:pPr>
            <w:r>
              <w:rPr>
                <w:rFonts w:hint="eastAsia" w:ascii="微软雅黑" w:hAnsi="微软雅黑" w:cs="宋体"/>
                <w:color w:val="000000"/>
                <w:sz w:val="21"/>
                <w:szCs w:val="21"/>
              </w:rPr>
              <w:t>批、</w:t>
            </w:r>
          </w:p>
          <w:p>
            <w:pPr>
              <w:adjustRightInd/>
              <w:snapToGrid/>
              <w:spacing w:after="0" w:line="330" w:lineRule="atLeast"/>
              <w:jc w:val="both"/>
              <w:rPr>
                <w:rFonts w:hint="eastAsia" w:ascii="微软雅黑" w:hAnsi="微软雅黑" w:cs="宋体"/>
                <w:color w:val="000000"/>
                <w:sz w:val="21"/>
                <w:szCs w:val="21"/>
              </w:rPr>
            </w:pPr>
            <w:bookmarkStart w:id="0" w:name="_GoBack"/>
            <w:bookmarkEnd w:id="0"/>
            <w:r>
              <w:rPr>
                <w:rFonts w:hint="eastAsia" w:ascii="微软雅黑" w:hAnsi="微软雅黑" w:cs="宋体"/>
                <w:color w:val="000000"/>
                <w:sz w:val="21"/>
                <w:szCs w:val="21"/>
              </w:rPr>
              <w:t>次、</w:t>
            </w:r>
          </w:p>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等</w:t>
            </w:r>
          </w:p>
        </w:tc>
        <w:tc>
          <w:tcPr>
            <w:tcW w:w="541"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政府定价与市场调节价相结合</w:t>
            </w:r>
          </w:p>
        </w:tc>
        <w:tc>
          <w:tcPr>
            <w:tcW w:w="753"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left"/>
              <w:rPr>
                <w:rFonts w:ascii="微软雅黑" w:hAnsi="微软雅黑" w:cs="宋体"/>
                <w:color w:val="000000"/>
                <w:sz w:val="21"/>
                <w:szCs w:val="21"/>
              </w:rPr>
            </w:pPr>
            <w:r>
              <w:rPr>
                <w:rFonts w:hint="eastAsia" w:ascii="微软雅黑" w:hAnsi="微软雅黑" w:cs="宋体"/>
                <w:color w:val="000000"/>
                <w:sz w:val="21"/>
                <w:szCs w:val="21"/>
              </w:rPr>
              <w:t>防城港市检验检测中心</w:t>
            </w:r>
          </w:p>
        </w:tc>
        <w:tc>
          <w:tcPr>
            <w:tcW w:w="694"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企业</w:t>
            </w:r>
            <w:r>
              <w:rPr>
                <w:rFonts w:hint="eastAsia" w:ascii="微软雅黑" w:hAnsi="微软雅黑" w:cs="宋体"/>
                <w:color w:val="000000"/>
                <w:sz w:val="21"/>
                <w:szCs w:val="21"/>
                <w:lang w:eastAsia="zh-CN"/>
              </w:rPr>
              <w:t>、事业单位、国家机关、社会团体、</w:t>
            </w:r>
            <w:r>
              <w:rPr>
                <w:rFonts w:hint="eastAsia" w:ascii="微软雅黑" w:hAnsi="微软雅黑" w:cs="宋体"/>
                <w:color w:val="000000"/>
                <w:sz w:val="21"/>
                <w:szCs w:val="21"/>
              </w:rPr>
              <w:t>个人</w:t>
            </w:r>
          </w:p>
        </w:tc>
        <w:tc>
          <w:tcPr>
            <w:tcW w:w="2263" w:type="dxa"/>
            <w:tcBorders>
              <w:top w:val="single" w:color="000000" w:sz="8" w:space="0"/>
              <w:left w:val="single" w:color="000000" w:sz="8" w:space="0"/>
              <w:bottom w:val="single" w:color="000000" w:sz="8" w:space="0"/>
              <w:right w:val="single" w:color="000000" w:sz="8" w:space="0"/>
            </w:tcBorders>
            <w:shd w:val="clear" w:color="auto" w:fill="EBEBEB"/>
          </w:tcPr>
          <w:p>
            <w:pPr>
              <w:rPr>
                <w:rFonts w:ascii="微软雅黑" w:hAnsi="微软雅黑"/>
                <w:sz w:val="21"/>
                <w:szCs w:val="21"/>
              </w:rPr>
            </w:pPr>
            <w:r>
              <w:rPr>
                <w:rFonts w:hint="eastAsia" w:ascii="微软雅黑" w:hAnsi="微软雅黑" w:cs="宋体"/>
                <w:color w:val="000000"/>
                <w:sz w:val="21"/>
                <w:szCs w:val="21"/>
              </w:rPr>
              <w:t>《自治区物价局关于印发全区计量检定收费项目和收费标准的通知》（桂价费[2008]4号）、《自治区物价局、财政厅关于适当降低计量检定收费标准及有关问题的通知》（桂价费[2010]486号、《关于减免一批涉企行政事业性收费的通知》桂财综[2016]29号、</w:t>
            </w:r>
            <w:r>
              <w:rPr>
                <w:rFonts w:hint="eastAsia" w:ascii="微软雅黑" w:hAnsi="微软雅黑"/>
                <w:sz w:val="21"/>
                <w:szCs w:val="21"/>
              </w:rPr>
              <w:t>《广西物价局、财政厅关于正式核定全区产品质量检验收费项目和收费标准的通知》（桂价费</w:t>
            </w:r>
            <w:r>
              <w:rPr>
                <w:rFonts w:hint="eastAsia" w:ascii="微软雅黑" w:hAnsi="微软雅黑" w:cs="Tahoma"/>
                <w:sz w:val="21"/>
                <w:szCs w:val="21"/>
              </w:rPr>
              <w:t>[2013]16</w:t>
            </w:r>
            <w:r>
              <w:rPr>
                <w:rFonts w:hint="eastAsia" w:ascii="微软雅黑" w:hAnsi="微软雅黑"/>
                <w:sz w:val="21"/>
                <w:szCs w:val="21"/>
              </w:rPr>
              <w:t>号）、《关于对停征产品质量监督检验费和出入境检验检疫费等有关事宜补充说明的函》（质检财函［</w:t>
            </w:r>
            <w:r>
              <w:rPr>
                <w:rFonts w:hint="eastAsia" w:ascii="微软雅黑" w:hAnsi="微软雅黑" w:cs="Tahoma"/>
                <w:sz w:val="21"/>
                <w:szCs w:val="21"/>
              </w:rPr>
              <w:t>2017</w:t>
            </w:r>
            <w:r>
              <w:rPr>
                <w:rFonts w:hint="eastAsia" w:ascii="微软雅黑" w:hAnsi="微软雅黑"/>
                <w:sz w:val="21"/>
                <w:szCs w:val="21"/>
              </w:rPr>
              <w:t>］</w:t>
            </w:r>
            <w:r>
              <w:rPr>
                <w:rFonts w:hint="eastAsia" w:ascii="微软雅黑" w:hAnsi="微软雅黑" w:cs="Tahoma"/>
                <w:sz w:val="21"/>
                <w:szCs w:val="21"/>
              </w:rPr>
              <w:t>142</w:t>
            </w:r>
            <w:r>
              <w:rPr>
                <w:rFonts w:hint="eastAsia" w:ascii="微软雅黑" w:hAnsi="微软雅黑"/>
                <w:sz w:val="21"/>
                <w:szCs w:val="21"/>
              </w:rPr>
              <w:t>号）、《质检总局关于贯彻落实取消或停征</w:t>
            </w:r>
            <w:r>
              <w:rPr>
                <w:rFonts w:hint="eastAsia" w:ascii="微软雅黑" w:hAnsi="微软雅黑" w:cs="Tahoma"/>
                <w:sz w:val="21"/>
                <w:szCs w:val="21"/>
              </w:rPr>
              <w:t>4</w:t>
            </w:r>
            <w:r>
              <w:rPr>
                <w:rFonts w:hint="eastAsia" w:ascii="微软雅黑" w:hAnsi="微软雅黑"/>
                <w:sz w:val="21"/>
                <w:szCs w:val="21"/>
              </w:rPr>
              <w:t>项行政事业性收费决定的通知》（国质检财［</w:t>
            </w:r>
            <w:r>
              <w:rPr>
                <w:rFonts w:hint="eastAsia" w:ascii="微软雅黑" w:hAnsi="微软雅黑" w:cs="Tahoma"/>
                <w:sz w:val="21"/>
                <w:szCs w:val="21"/>
              </w:rPr>
              <w:t>2017</w:t>
            </w:r>
            <w:r>
              <w:rPr>
                <w:rFonts w:hint="eastAsia" w:ascii="微软雅黑" w:hAnsi="微软雅黑"/>
                <w:sz w:val="21"/>
                <w:szCs w:val="21"/>
              </w:rPr>
              <w:t>］</w:t>
            </w:r>
            <w:r>
              <w:rPr>
                <w:rFonts w:hint="eastAsia" w:ascii="微软雅黑" w:hAnsi="微软雅黑" w:cs="Tahoma"/>
                <w:sz w:val="21"/>
                <w:szCs w:val="21"/>
              </w:rPr>
              <w:t>140</w:t>
            </w:r>
            <w:r>
              <w:rPr>
                <w:rFonts w:hint="eastAsia" w:ascii="微软雅黑" w:hAnsi="微软雅黑"/>
                <w:sz w:val="21"/>
                <w:szCs w:val="21"/>
              </w:rPr>
              <w:t>号）、《增加广西产品质量国检验收费项目和收费标准</w:t>
            </w:r>
            <w:r>
              <w:rPr>
                <w:rFonts w:hint="eastAsia" w:ascii="微软雅黑" w:hAnsi="微软雅黑" w:cs="Tahoma"/>
                <w:sz w:val="21"/>
                <w:szCs w:val="21"/>
              </w:rPr>
              <w:t>(2016</w:t>
            </w:r>
            <w:r>
              <w:rPr>
                <w:rFonts w:hint="eastAsia" w:ascii="微软雅黑" w:hAnsi="微软雅黑"/>
                <w:sz w:val="21"/>
                <w:szCs w:val="21"/>
              </w:rPr>
              <w:t>年备案）》等</w:t>
            </w:r>
            <w:r>
              <w:rPr>
                <w:rFonts w:hint="eastAsia" w:ascii="微软雅黑" w:hAnsi="微软雅黑" w:cs="宋体"/>
                <w:color w:val="000000"/>
                <w:sz w:val="21"/>
                <w:szCs w:val="21"/>
              </w:rPr>
              <w:t>文件规定的收费标准。</w:t>
            </w:r>
          </w:p>
          <w:p>
            <w:pPr>
              <w:rPr>
                <w:rFonts w:ascii="微软雅黑" w:hAnsi="微软雅黑"/>
                <w:sz w:val="21"/>
                <w:szCs w:val="21"/>
              </w:rPr>
            </w:pPr>
          </w:p>
          <w:p>
            <w:pPr>
              <w:rPr>
                <w:rFonts w:ascii="微软雅黑" w:hAnsi="微软雅黑"/>
                <w:sz w:val="21"/>
                <w:szCs w:val="21"/>
              </w:rPr>
            </w:pPr>
          </w:p>
          <w:p>
            <w:pPr>
              <w:rPr>
                <w:rFonts w:ascii="微软雅黑" w:hAnsi="微软雅黑"/>
                <w:sz w:val="21"/>
                <w:szCs w:val="21"/>
              </w:rPr>
            </w:pPr>
          </w:p>
          <w:p>
            <w:pPr>
              <w:jc w:val="both"/>
              <w:rPr>
                <w:rFonts w:ascii="微软雅黑" w:hAnsi="微软雅黑"/>
                <w:sz w:val="21"/>
                <w:szCs w:val="21"/>
              </w:rPr>
            </w:pPr>
          </w:p>
          <w:p>
            <w:pPr>
              <w:adjustRightInd/>
              <w:snapToGrid/>
              <w:spacing w:after="0" w:line="330" w:lineRule="atLeast"/>
              <w:jc w:val="both"/>
              <w:rPr>
                <w:rFonts w:ascii="微软雅黑" w:hAnsi="微软雅黑" w:cs="宋体"/>
                <w:color w:val="000000"/>
                <w:sz w:val="21"/>
                <w:szCs w:val="21"/>
              </w:rPr>
            </w:pPr>
          </w:p>
        </w:tc>
        <w:tc>
          <w:tcPr>
            <w:tcW w:w="1633" w:type="dxa"/>
            <w:tcBorders>
              <w:top w:val="single" w:color="000000" w:sz="8" w:space="0"/>
              <w:left w:val="single" w:color="000000" w:sz="8" w:space="0"/>
              <w:bottom w:val="single" w:color="000000" w:sz="8" w:space="0"/>
              <w:right w:val="single" w:color="000000" w:sz="8" w:space="0"/>
            </w:tcBorders>
            <w:shd w:val="clear" w:color="auto" w:fill="EBEBEB"/>
          </w:tcPr>
          <w:p>
            <w:pPr>
              <w:rPr>
                <w:rFonts w:ascii="微软雅黑" w:hAnsi="微软雅黑"/>
                <w:sz w:val="21"/>
                <w:szCs w:val="21"/>
              </w:rPr>
            </w:pPr>
            <w:r>
              <w:rPr>
                <w:rFonts w:hint="eastAsia" w:ascii="微软雅黑" w:hAnsi="微软雅黑" w:cs="宋体"/>
                <w:color w:val="000000"/>
                <w:sz w:val="21"/>
                <w:szCs w:val="21"/>
              </w:rPr>
              <w:t>桂价费[2008]4号、桂价费[2010]486号、桂财综[2016]29号、</w:t>
            </w:r>
            <w:r>
              <w:rPr>
                <w:rFonts w:hint="eastAsia" w:ascii="微软雅黑" w:hAnsi="微软雅黑"/>
                <w:sz w:val="21"/>
                <w:szCs w:val="21"/>
              </w:rPr>
              <w:t>桂价费</w:t>
            </w:r>
            <w:r>
              <w:rPr>
                <w:rFonts w:hint="eastAsia" w:ascii="微软雅黑" w:hAnsi="微软雅黑" w:cs="Tahoma"/>
                <w:sz w:val="21"/>
                <w:szCs w:val="21"/>
              </w:rPr>
              <w:t>[2013]16</w:t>
            </w:r>
            <w:r>
              <w:rPr>
                <w:rFonts w:hint="eastAsia" w:ascii="微软雅黑" w:hAnsi="微软雅黑"/>
                <w:sz w:val="21"/>
                <w:szCs w:val="21"/>
              </w:rPr>
              <w:t>号、质检财函［</w:t>
            </w:r>
            <w:r>
              <w:rPr>
                <w:rFonts w:hint="eastAsia" w:ascii="微软雅黑" w:hAnsi="微软雅黑" w:cs="Tahoma"/>
                <w:sz w:val="21"/>
                <w:szCs w:val="21"/>
              </w:rPr>
              <w:t>2017</w:t>
            </w:r>
            <w:r>
              <w:rPr>
                <w:rFonts w:hint="eastAsia" w:ascii="微软雅黑" w:hAnsi="微软雅黑"/>
                <w:sz w:val="21"/>
                <w:szCs w:val="21"/>
              </w:rPr>
              <w:t>］</w:t>
            </w:r>
            <w:r>
              <w:rPr>
                <w:rFonts w:hint="eastAsia" w:ascii="微软雅黑" w:hAnsi="微软雅黑" w:cs="Tahoma"/>
                <w:sz w:val="21"/>
                <w:szCs w:val="21"/>
              </w:rPr>
              <w:t>142</w:t>
            </w:r>
            <w:r>
              <w:rPr>
                <w:rFonts w:hint="eastAsia" w:ascii="微软雅黑" w:hAnsi="微软雅黑"/>
                <w:sz w:val="21"/>
                <w:szCs w:val="21"/>
              </w:rPr>
              <w:t>号、国质检财函［</w:t>
            </w:r>
            <w:r>
              <w:rPr>
                <w:rFonts w:hint="eastAsia" w:ascii="微软雅黑" w:hAnsi="微软雅黑" w:cs="Tahoma"/>
                <w:sz w:val="21"/>
                <w:szCs w:val="21"/>
              </w:rPr>
              <w:t>2017</w:t>
            </w:r>
            <w:r>
              <w:rPr>
                <w:rFonts w:hint="eastAsia" w:ascii="微软雅黑" w:hAnsi="微软雅黑"/>
                <w:sz w:val="21"/>
                <w:szCs w:val="21"/>
              </w:rPr>
              <w:t>］</w:t>
            </w:r>
            <w:r>
              <w:rPr>
                <w:rFonts w:hint="eastAsia" w:ascii="微软雅黑" w:hAnsi="微软雅黑" w:cs="Tahoma"/>
                <w:sz w:val="21"/>
                <w:szCs w:val="21"/>
              </w:rPr>
              <w:t>140</w:t>
            </w:r>
            <w:r>
              <w:rPr>
                <w:rFonts w:hint="eastAsia" w:ascii="微软雅黑" w:hAnsi="微软雅黑"/>
                <w:sz w:val="21"/>
                <w:szCs w:val="21"/>
              </w:rPr>
              <w:t>号</w:t>
            </w:r>
          </w:p>
          <w:p>
            <w:pPr>
              <w:rPr>
                <w:rFonts w:ascii="微软雅黑" w:hAnsi="微软雅黑"/>
                <w:sz w:val="21"/>
                <w:szCs w:val="21"/>
              </w:rPr>
            </w:pPr>
          </w:p>
          <w:p>
            <w:pPr>
              <w:rPr>
                <w:rFonts w:ascii="微软雅黑" w:hAnsi="微软雅黑"/>
                <w:sz w:val="21"/>
                <w:szCs w:val="21"/>
              </w:rPr>
            </w:pPr>
          </w:p>
        </w:tc>
        <w:tc>
          <w:tcPr>
            <w:tcW w:w="2133"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line="330" w:lineRule="atLeast"/>
              <w:jc w:val="both"/>
              <w:rPr>
                <w:rFonts w:ascii="微软雅黑" w:hAnsi="微软雅黑" w:cs="宋体"/>
                <w:color w:val="000000"/>
                <w:sz w:val="21"/>
                <w:szCs w:val="21"/>
              </w:rPr>
            </w:pPr>
            <w:r>
              <w:rPr>
                <w:rFonts w:hint="eastAsia" w:ascii="微软雅黑" w:hAnsi="微软雅黑" w:cs="宋体"/>
                <w:color w:val="000000"/>
                <w:sz w:val="21"/>
                <w:szCs w:val="21"/>
              </w:rPr>
              <w:t>以客户自愿委托送检或现场检测的方式，经过样品收（抽）样、样品检测、出具证书（报告）、收取费用、领取样品、领取证书（报告）的服务流程，完成该项目的服务工作。</w:t>
            </w:r>
          </w:p>
        </w:tc>
        <w:tc>
          <w:tcPr>
            <w:tcW w:w="907" w:type="dxa"/>
            <w:tcBorders>
              <w:top w:val="single" w:color="000000" w:sz="8" w:space="0"/>
              <w:left w:val="single" w:color="000000" w:sz="8" w:space="0"/>
              <w:bottom w:val="single" w:color="000000" w:sz="8" w:space="0"/>
              <w:right w:val="single" w:color="000000" w:sz="8" w:space="0"/>
            </w:tcBorders>
            <w:shd w:val="clear" w:color="auto" w:fill="EBEBEB"/>
          </w:tcPr>
          <w:p>
            <w:pPr>
              <w:adjustRightInd/>
              <w:snapToGrid/>
              <w:spacing w:after="0"/>
              <w:jc w:val="both"/>
              <w:rPr>
                <w:rFonts w:ascii="微软雅黑" w:hAnsi="微软雅黑" w:cs="宋体"/>
                <w:color w:val="000000"/>
                <w:sz w:val="21"/>
                <w:szCs w:val="21"/>
              </w:rPr>
            </w:pPr>
          </w:p>
        </w:tc>
      </w:tr>
    </w:tbl>
    <w:p>
      <w:pPr>
        <w:adjustRightInd/>
        <w:snapToGrid/>
        <w:spacing w:after="75"/>
        <w:rPr>
          <w:rFonts w:hint="eastAsia" w:ascii="宋体" w:hAnsi="宋体" w:eastAsia="宋体" w:cs="宋体"/>
          <w:color w:val="666666"/>
          <w:sz w:val="24"/>
          <w:szCs w:val="24"/>
        </w:rPr>
      </w:pPr>
      <w:r>
        <w:rPr>
          <w:rFonts w:ascii="宋体" w:hAnsi="宋体" w:eastAsia="宋体" w:cs="宋体"/>
          <w:sz w:val="24"/>
          <w:szCs w:val="24"/>
        </w:rPr>
        <w:pict>
          <v:rect id="_x0000_i1025" o:spt="1" style="height:0.75pt;width:0pt;" fillcolor="#808080" filled="t" stroked="f" coordsize="21600,21600" o:hr="t" o:hrstd="t" o:hralign="center">
            <v:path/>
            <v:fill on="t" focussize="0,0"/>
            <v:stroke on="f"/>
            <v:imagedata o:title=""/>
            <o:lock v:ext="edit"/>
            <w10:wrap type="none"/>
            <w10:anchorlock/>
          </v:rect>
        </w:pict>
      </w:r>
    </w:p>
    <w:p>
      <w:pPr>
        <w:adjustRightInd/>
        <w:snapToGrid/>
        <w:spacing w:after="75"/>
        <w:rPr>
          <w:rFonts w:ascii="宋体" w:hAnsi="宋体" w:eastAsia="宋体" w:cs="宋体"/>
          <w:sz w:val="24"/>
          <w:szCs w:val="24"/>
        </w:rPr>
      </w:pPr>
    </w:p>
    <w:p>
      <w:pPr>
        <w:adjustRightInd/>
        <w:snapToGrid/>
        <w:spacing w:after="0" w:line="360" w:lineRule="atLeast"/>
        <w:rPr>
          <w:rFonts w:ascii="宋体" w:hAnsi="宋体" w:eastAsia="宋体" w:cs="宋体"/>
          <w:sz w:val="24"/>
          <w:szCs w:val="24"/>
        </w:rPr>
      </w:pPr>
    </w:p>
    <w:p>
      <w:pPr>
        <w:jc w:val="both"/>
        <w:rPr>
          <w:rFonts w:hint="eastAsia"/>
        </w:rPr>
      </w:pPr>
    </w:p>
    <w:sectPr>
      <w:pgSz w:w="16838" w:h="11906"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746D71"/>
    <w:rsid w:val="00181307"/>
    <w:rsid w:val="00254EF6"/>
    <w:rsid w:val="002D0614"/>
    <w:rsid w:val="00323B43"/>
    <w:rsid w:val="003D37D8"/>
    <w:rsid w:val="004358AB"/>
    <w:rsid w:val="00461FD2"/>
    <w:rsid w:val="00746D71"/>
    <w:rsid w:val="008B7726"/>
    <w:rsid w:val="00BF2447"/>
    <w:rsid w:val="00CD3791"/>
    <w:rsid w:val="00F25D3E"/>
    <w:rsid w:val="2D7B11D4"/>
    <w:rsid w:val="2DBE7387"/>
    <w:rsid w:val="5B1A3841"/>
    <w:rsid w:val="5FF6810A"/>
    <w:rsid w:val="7EB37AC7"/>
    <w:rsid w:val="BBA7C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5">
    <w:name w:val="titl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821</Characters>
  <Lines>6</Lines>
  <Paragraphs>1</Paragraphs>
  <TotalTime>2</TotalTime>
  <ScaleCrop>false</ScaleCrop>
  <LinksUpToDate>false</LinksUpToDate>
  <CharactersWithSpaces>964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2021-07-22T19:05:00Z</dcterms:created>
  <dc:creator>XT365</dc:creator>
  <cp:lastModifiedBy>斩浪</cp:lastModifiedBy>
  <cp:lastPrinted>2023-03-30T17:37:46Z</cp:lastPrinted>
  <dcterms:modified xsi:type="dcterms:W3CDTF">2023-03-30T17:37:47Z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59E1ACB20E1148C68B55F50EE3043AB4</vt:lpwstr>
  </property>
</Properties>
</file>