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方正黑体_GBK" w:eastAsia="方正黑体_GBK"/>
          <w:snapToGrid w:val="0"/>
          <w:kern w:val="0"/>
          <w:sz w:val="32"/>
          <w:szCs w:val="32"/>
        </w:rPr>
      </w:pPr>
      <w:r>
        <w:rPr>
          <w:rFonts w:hint="eastAsia" w:ascii="方正黑体_GBK" w:eastAsia="方正黑体_GBK"/>
          <w:snapToGrid w:val="0"/>
          <w:kern w:val="0"/>
          <w:sz w:val="32"/>
          <w:szCs w:val="32"/>
        </w:rPr>
        <w:t>附件2</w:t>
      </w:r>
    </w:p>
    <w:p>
      <w:pPr>
        <w:spacing w:line="590" w:lineRule="exact"/>
        <w:jc w:val="center"/>
        <w:rPr>
          <w:rFonts w:eastAsia="方正小标宋简体"/>
          <w:snapToGrid w:val="0"/>
          <w:kern w:val="0"/>
          <w:sz w:val="40"/>
          <w:szCs w:val="40"/>
        </w:rPr>
      </w:pPr>
    </w:p>
    <w:p>
      <w:pPr>
        <w:spacing w:line="590" w:lineRule="exact"/>
        <w:jc w:val="center"/>
        <w:rPr>
          <w:rFonts w:hint="eastAsia" w:eastAsia="方正小标宋_GBK"/>
          <w:snapToGrid w:val="0"/>
          <w:kern w:val="0"/>
          <w:sz w:val="44"/>
          <w:szCs w:val="44"/>
        </w:rPr>
      </w:pPr>
      <w:r>
        <w:rPr>
          <w:rFonts w:hint="eastAsia" w:eastAsia="方正小标宋_GBK"/>
          <w:snapToGrid w:val="0"/>
          <w:kern w:val="0"/>
          <w:sz w:val="44"/>
          <w:szCs w:val="44"/>
        </w:rPr>
        <w:t>自治区人民政府决定委托下放的</w:t>
      </w:r>
    </w:p>
    <w:p>
      <w:pPr>
        <w:spacing w:line="590" w:lineRule="exact"/>
        <w:jc w:val="center"/>
        <w:rPr>
          <w:rFonts w:eastAsia="方正小标宋_GBK"/>
          <w:snapToGrid w:val="0"/>
          <w:kern w:val="0"/>
          <w:sz w:val="44"/>
          <w:szCs w:val="44"/>
        </w:rPr>
      </w:pPr>
      <w:r>
        <w:rPr>
          <w:rFonts w:hint="eastAsia" w:eastAsia="方正小标宋_GBK"/>
          <w:snapToGrid w:val="0"/>
          <w:kern w:val="0"/>
          <w:sz w:val="44"/>
          <w:szCs w:val="44"/>
        </w:rPr>
        <w:t>行政许可事项目录</w:t>
      </w:r>
    </w:p>
    <w:p>
      <w:pPr>
        <w:spacing w:line="590" w:lineRule="exact"/>
        <w:jc w:val="center"/>
        <w:rPr>
          <w:rFonts w:eastAsia="方正楷体_GBK"/>
          <w:snapToGrid w:val="0"/>
          <w:kern w:val="0"/>
          <w:sz w:val="32"/>
          <w:szCs w:val="32"/>
        </w:rPr>
      </w:pPr>
      <w:r>
        <w:rPr>
          <w:rFonts w:hint="eastAsia" w:eastAsia="方正楷体_GBK"/>
          <w:snapToGrid w:val="0"/>
          <w:kern w:val="0"/>
          <w:sz w:val="32"/>
          <w:szCs w:val="32"/>
        </w:rPr>
        <w:t>（共</w:t>
      </w:r>
      <w:r>
        <w:rPr>
          <w:rFonts w:eastAsia="方正楷体_GBK"/>
          <w:snapToGrid w:val="0"/>
          <w:kern w:val="0"/>
          <w:sz w:val="32"/>
          <w:szCs w:val="32"/>
        </w:rPr>
        <w:t>1</w:t>
      </w:r>
      <w:r>
        <w:rPr>
          <w:rFonts w:hint="eastAsia" w:eastAsia="方正楷体_GBK"/>
          <w:snapToGrid w:val="0"/>
          <w:kern w:val="0"/>
          <w:sz w:val="32"/>
          <w:szCs w:val="32"/>
        </w:rPr>
        <w:t>项）</w:t>
      </w:r>
    </w:p>
    <w:p>
      <w:pPr>
        <w:spacing w:line="590" w:lineRule="exact"/>
        <w:jc w:val="center"/>
        <w:rPr>
          <w:rFonts w:eastAsia="方正楷体_GBK"/>
          <w:snapToGrid w:val="0"/>
          <w:kern w:val="0"/>
          <w:sz w:val="32"/>
          <w:szCs w:val="32"/>
        </w:rPr>
      </w:pP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7"/>
        <w:gridCol w:w="1095"/>
        <w:gridCol w:w="1582"/>
        <w:gridCol w:w="1397"/>
        <w:gridCol w:w="1815"/>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tblHeader/>
          <w:jc w:val="center"/>
        </w:trPr>
        <w:tc>
          <w:tcPr>
            <w:tcW w:w="407"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序号</w:t>
            </w:r>
          </w:p>
        </w:tc>
        <w:tc>
          <w:tcPr>
            <w:tcW w:w="1095"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项目</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编码</w:t>
            </w:r>
          </w:p>
        </w:tc>
        <w:tc>
          <w:tcPr>
            <w:tcW w:w="1582"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项目</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名称</w:t>
            </w:r>
          </w:p>
        </w:tc>
        <w:tc>
          <w:tcPr>
            <w:tcW w:w="1397"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审批层级</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和部门</w:t>
            </w:r>
          </w:p>
        </w:tc>
        <w:tc>
          <w:tcPr>
            <w:tcW w:w="1815"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设定依据</w:t>
            </w:r>
          </w:p>
        </w:tc>
        <w:tc>
          <w:tcPr>
            <w:tcW w:w="2776"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58" w:hRule="atLeast"/>
          <w:jc w:val="center"/>
        </w:trPr>
        <w:tc>
          <w:tcPr>
            <w:tcW w:w="407"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1</w:t>
            </w:r>
          </w:p>
        </w:tc>
        <w:tc>
          <w:tcPr>
            <w:tcW w:w="1095"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D34002</w:t>
            </w:r>
          </w:p>
        </w:tc>
        <w:tc>
          <w:tcPr>
            <w:tcW w:w="1582"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旅行社设立许可</w:t>
            </w:r>
          </w:p>
        </w:tc>
        <w:tc>
          <w:tcPr>
            <w:tcW w:w="1397"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181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《中华人民共和国旅游法》、《旅行社</w:t>
            </w:r>
            <w:r>
              <w:rPr>
                <w:rFonts w:hint="eastAsia" w:eastAsia="方正书宋_GBK"/>
                <w:snapToGrid w:val="0"/>
                <w:spacing w:val="-4"/>
                <w:sz w:val="21"/>
                <w:szCs w:val="21"/>
              </w:rPr>
              <w:t>条例》（2009年2月</w:t>
            </w:r>
            <w:r>
              <w:rPr>
                <w:rFonts w:hint="eastAsia" w:eastAsia="方正书宋_GBK"/>
                <w:snapToGrid w:val="0"/>
                <w:sz w:val="21"/>
                <w:szCs w:val="21"/>
              </w:rPr>
              <w:t>20日国务院令第550号，2017年3月1日予以修改）</w:t>
            </w:r>
          </w:p>
        </w:tc>
        <w:tc>
          <w:tcPr>
            <w:tcW w:w="2776" w:type="dxa"/>
            <w:vAlign w:val="center"/>
          </w:tcPr>
          <w:p>
            <w:pPr>
              <w:adjustRightInd w:val="0"/>
              <w:snapToGrid w:val="0"/>
              <w:spacing w:line="300" w:lineRule="exact"/>
              <w:rPr>
                <w:rFonts w:hint="eastAsia" w:eastAsia="方正书宋_GBK"/>
                <w:b/>
                <w:snapToGrid w:val="0"/>
                <w:sz w:val="21"/>
                <w:szCs w:val="21"/>
              </w:rPr>
            </w:pPr>
            <w:r>
              <w:rPr>
                <w:rFonts w:hint="eastAsia" w:eastAsia="方正书宋_GBK"/>
                <w:snapToGrid w:val="0"/>
                <w:sz w:val="21"/>
                <w:szCs w:val="21"/>
              </w:rPr>
              <w:t>将自治区文化和旅游厅管理权限委托设区市旅游行政主管部门或行政审批局实施，审批层级和部门由“自治区旅游发展委”调整为“自治区文化和旅游厅委托的桂林、贵港、玉林、百色、贺州、河池、来宾、崇左等市旅游行政主管部门和南宁、柳州、梧州、北海、钦州、防城港等市行政审批局”，具体委托下放范围由自治区文化和旅游厅依法明确。</w:t>
            </w:r>
          </w:p>
        </w:tc>
      </w:tr>
    </w:tbl>
    <w:p>
      <w:bookmarkStart w:id="0" w:name="_GoBack"/>
    </w:p>
    <w:bookmarkEnd w:id="0"/>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50707"/>
    <w:rsid w:val="05850707"/>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2019-02-12T02:25:00Z</dcterms:created>
  <dc:creator>dengd</dc:creator>
  <cp:lastModifiedBy>dengd</cp:lastModifiedBy>
  <dcterms:modified xsi:type="dcterms:W3CDTF">2019-02-12T02:25:46Z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