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方正黑体_GBK" w:eastAsia="方正黑体_GBK"/>
          <w:snapToGrid w:val="0"/>
          <w:kern w:val="0"/>
          <w:sz w:val="32"/>
          <w:szCs w:val="32"/>
        </w:rPr>
      </w:pPr>
      <w:r>
        <w:rPr>
          <w:rFonts w:hint="eastAsia" w:ascii="方正黑体_GBK" w:eastAsia="方正黑体_GBK"/>
          <w:snapToGrid w:val="0"/>
          <w:kern w:val="0"/>
          <w:sz w:val="32"/>
          <w:szCs w:val="32"/>
        </w:rPr>
        <w:t>附件</w:t>
      </w:r>
      <w:r>
        <w:rPr>
          <w:rFonts w:ascii="方正黑体_GBK" w:eastAsia="方正黑体_GBK"/>
          <w:snapToGrid w:val="0"/>
          <w:kern w:val="0"/>
          <w:sz w:val="32"/>
          <w:szCs w:val="32"/>
        </w:rPr>
        <w:t>3</w:t>
      </w:r>
    </w:p>
    <w:p>
      <w:pPr>
        <w:spacing w:line="590" w:lineRule="exact"/>
        <w:rPr>
          <w:rFonts w:ascii="方正黑体_GBK" w:eastAsia="方正黑体_GBK"/>
          <w:snapToGrid w:val="0"/>
          <w:kern w:val="0"/>
          <w:sz w:val="32"/>
          <w:szCs w:val="32"/>
        </w:rPr>
      </w:pPr>
    </w:p>
    <w:p>
      <w:pPr>
        <w:spacing w:line="590" w:lineRule="exact"/>
        <w:jc w:val="center"/>
        <w:rPr>
          <w:rFonts w:eastAsia="方正小标宋_GBK"/>
          <w:snapToGrid w:val="0"/>
          <w:kern w:val="0"/>
          <w:sz w:val="44"/>
          <w:szCs w:val="44"/>
        </w:rPr>
      </w:pPr>
      <w:r>
        <w:rPr>
          <w:rFonts w:hint="eastAsia" w:eastAsia="方正小标宋_GBK"/>
          <w:snapToGrid w:val="0"/>
          <w:kern w:val="0"/>
          <w:sz w:val="44"/>
          <w:szCs w:val="44"/>
        </w:rPr>
        <w:t>自治区人民政府决定调整审批层级和部门</w:t>
      </w:r>
    </w:p>
    <w:p>
      <w:pPr>
        <w:spacing w:line="590" w:lineRule="exact"/>
        <w:jc w:val="center"/>
        <w:rPr>
          <w:rFonts w:eastAsia="方正小标宋_GBK"/>
          <w:snapToGrid w:val="0"/>
          <w:kern w:val="0"/>
          <w:sz w:val="44"/>
          <w:szCs w:val="44"/>
        </w:rPr>
      </w:pPr>
      <w:r>
        <w:rPr>
          <w:rFonts w:hint="eastAsia" w:eastAsia="方正小标宋_GBK"/>
          <w:snapToGrid w:val="0"/>
          <w:kern w:val="0"/>
          <w:sz w:val="44"/>
          <w:szCs w:val="44"/>
        </w:rPr>
        <w:t>及名称和依据的行政许可事项目录</w:t>
      </w:r>
    </w:p>
    <w:p>
      <w:pPr>
        <w:spacing w:line="590" w:lineRule="exact"/>
        <w:jc w:val="center"/>
        <w:rPr>
          <w:rFonts w:eastAsia="方正楷体_GBK"/>
          <w:snapToGrid w:val="0"/>
          <w:kern w:val="0"/>
          <w:sz w:val="32"/>
          <w:szCs w:val="32"/>
        </w:rPr>
      </w:pPr>
      <w:r>
        <w:rPr>
          <w:rFonts w:hint="eastAsia" w:eastAsia="方正楷体_GBK"/>
          <w:snapToGrid w:val="0"/>
          <w:kern w:val="0"/>
          <w:sz w:val="32"/>
          <w:szCs w:val="32"/>
        </w:rPr>
        <w:t>（共</w:t>
      </w:r>
      <w:r>
        <w:rPr>
          <w:rFonts w:eastAsia="方正楷体_GBK"/>
          <w:snapToGrid w:val="0"/>
          <w:kern w:val="0"/>
          <w:sz w:val="32"/>
          <w:szCs w:val="32"/>
        </w:rPr>
        <w:t>38</w:t>
      </w:r>
      <w:r>
        <w:rPr>
          <w:rFonts w:hint="eastAsia" w:eastAsia="方正楷体_GBK"/>
          <w:snapToGrid w:val="0"/>
          <w:kern w:val="0"/>
          <w:sz w:val="32"/>
          <w:szCs w:val="32"/>
        </w:rPr>
        <w:t>项）</w:t>
      </w:r>
    </w:p>
    <w:p>
      <w:pPr>
        <w:spacing w:line="590" w:lineRule="exact"/>
        <w:jc w:val="center"/>
        <w:rPr>
          <w:rFonts w:eastAsia="方正楷体_GBK"/>
          <w:snapToGrid w:val="0"/>
          <w:kern w:val="0"/>
          <w:sz w:val="32"/>
          <w:szCs w:val="32"/>
        </w:rPr>
      </w:pP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1"/>
        <w:gridCol w:w="993"/>
        <w:gridCol w:w="1121"/>
        <w:gridCol w:w="1344"/>
        <w:gridCol w:w="2575"/>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tblHeader/>
          <w:jc w:val="center"/>
        </w:trPr>
        <w:tc>
          <w:tcPr>
            <w:tcW w:w="351"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序号</w:t>
            </w:r>
          </w:p>
        </w:tc>
        <w:tc>
          <w:tcPr>
            <w:tcW w:w="993"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编号</w:t>
            </w:r>
          </w:p>
        </w:tc>
        <w:tc>
          <w:tcPr>
            <w:tcW w:w="1121"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名称</w:t>
            </w:r>
          </w:p>
        </w:tc>
        <w:tc>
          <w:tcPr>
            <w:tcW w:w="1344"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审批层级和</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部门</w:t>
            </w:r>
          </w:p>
        </w:tc>
        <w:tc>
          <w:tcPr>
            <w:tcW w:w="2575"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设定依据</w:t>
            </w:r>
          </w:p>
        </w:tc>
        <w:tc>
          <w:tcPr>
            <w:tcW w:w="2688" w:type="dxa"/>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130" w:hRule="atLeast"/>
          <w:jc w:val="center"/>
        </w:trPr>
        <w:tc>
          <w:tcPr>
            <w:tcW w:w="351" w:type="dxa"/>
            <w:vAlign w:val="center"/>
          </w:tcPr>
          <w:p>
            <w:pPr>
              <w:spacing w:line="300" w:lineRule="exact"/>
              <w:jc w:val="center"/>
              <w:rPr>
                <w:rFonts w:hint="eastAsia" w:eastAsia="方正书宋_GBK"/>
                <w:snapToGrid w:val="0"/>
                <w:sz w:val="21"/>
                <w:szCs w:val="21"/>
              </w:rPr>
            </w:pPr>
            <w:bookmarkStart w:id="0" w:name="_GoBack"/>
            <w:r>
              <w:rPr>
                <w:rFonts w:hint="eastAsia" w:eastAsia="方正书宋_GBK"/>
                <w:snapToGrid w:val="0"/>
                <w:sz w:val="21"/>
                <w:szCs w:val="21"/>
              </w:rPr>
              <w:t>1</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D35005</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对国家宗教局负责的在宗教活动场所外修建大型露天宗教造像审批的初审</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自治区民宗委</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《宗教事务条例》（2004年11月30日国务院令第426号，2017年8月26日予以修改）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项目名称由“对国家宗教局负责的在宗教活动场所外修建大型露天宗教造像审批的初审”调整为“对国家宗教局负责的在寺观教堂内修建大型露天宗教造像审批的初审”。</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1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D35007</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举办大型宗教活动审批</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自治区民宗委</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《宗教事务条例》（2004年11月30日国务院令第426号，2017年8月26日予以修改）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审批层级和部门由“自治区民族宗教事务委员会”调整为“设区市宗教事务管理部门”。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1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3</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D35009</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宗教活动场所登记、合并、分立、终止或者变更登记内容审批</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县级宗教事务管理部门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《宗教事务条例》（2004年11月30日国务院令第426号，2017年8月26日予以修改）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项目名称由“宗教活动场所登记、合并、分立、终止或者变更登记内容审批”调整为“宗教活动场所登记、终止或者变更登记内容审批”。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1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4</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D35012</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藏传佛教活佛传承继位审批</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自治区、设区市人民政府，自治区、设区市宗教事务管理部门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《宗教事务条例》（2004年11月30日国务院令第426号，2017年8月26日予以修改）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审批层级和部门由“自治区、设区市人民政府，自治区、设区市宗教事务管理部门”调整为“自治区人民政府，自治区民族宗教事务委员会”。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5</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D06022</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金融机构营业场所、金库安全防范设施建设方案审批及工程验收</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自治区、设区市、县级公安机关</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审批层级和部门由“自治区、设区市、县级公安机关”调整为“设区市、县级公安机关”。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6</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D06026</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典当业特种行业许可证核发</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县级以上公安机关</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审批部门和层级由“县级以上公安机关”调整为“县级公安机关”。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7</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D06027</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公章刻制业特种行业许可证核发</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设区市、县级公安机关</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审批部门和层级由“设区市、县级公安机关”调整为“县级公安机关”。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030"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8</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D06028</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旅馆业特种行业许可证核发</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设区市、县级公安机关</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审批部门和层级由“设区市、县级公安机关”调整为“县级公安机关”。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8" w:lineRule="exact"/>
              <w:jc w:val="center"/>
              <w:rPr>
                <w:rFonts w:hint="eastAsia" w:eastAsia="方正书宋_GBK"/>
                <w:snapToGrid w:val="0"/>
                <w:sz w:val="21"/>
                <w:szCs w:val="21"/>
              </w:rPr>
            </w:pPr>
            <w:r>
              <w:rPr>
                <w:rFonts w:hint="eastAsia" w:eastAsia="方正书宋_GBK"/>
                <w:snapToGrid w:val="0"/>
                <w:sz w:val="21"/>
                <w:szCs w:val="21"/>
              </w:rPr>
              <w:t>9</w:t>
            </w:r>
          </w:p>
        </w:tc>
        <w:tc>
          <w:tcPr>
            <w:tcW w:w="993" w:type="dxa"/>
            <w:vAlign w:val="center"/>
          </w:tcPr>
          <w:p>
            <w:pPr>
              <w:widowControl/>
              <w:spacing w:line="298" w:lineRule="exact"/>
              <w:jc w:val="center"/>
              <w:rPr>
                <w:rFonts w:hint="eastAsia" w:eastAsia="方正书宋_GBK"/>
                <w:snapToGrid w:val="0"/>
                <w:sz w:val="21"/>
                <w:szCs w:val="21"/>
              </w:rPr>
            </w:pPr>
            <w:r>
              <w:rPr>
                <w:rFonts w:hint="eastAsia" w:eastAsia="方正书宋_GBK"/>
                <w:snapToGrid w:val="0"/>
                <w:sz w:val="21"/>
                <w:szCs w:val="21"/>
              </w:rPr>
              <w:t>D06032</w:t>
            </w:r>
          </w:p>
        </w:tc>
        <w:tc>
          <w:tcPr>
            <w:tcW w:w="1121"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对公安部一级注册消防工程师资格注册初审和二级注册消防工程师资格核准和注册审批</w:t>
            </w:r>
          </w:p>
        </w:tc>
        <w:tc>
          <w:tcPr>
            <w:tcW w:w="1344"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自治区公安厅</w:t>
            </w:r>
          </w:p>
        </w:tc>
        <w:tc>
          <w:tcPr>
            <w:tcW w:w="2575"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中华人民共和国消防法》、《人力资源社会保障部和公安部关于印发〈注册消防工程师制度暂行规定〉和〈注册消防工程师资格考试实施办法〉及〈注册消防工程师资格考核认定办法〉的通知》（人社部发〔2012〕56号）</w:t>
            </w:r>
          </w:p>
        </w:tc>
        <w:tc>
          <w:tcPr>
            <w:tcW w:w="2688"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项目名称由“对公安部一级注册消防工程师资格注册初审和二级注册消防工程师资格核准和注册审批”调整为“注册消防工程师注册审批”，审批层级和部门由“自治区公安厅”调整为“自治区消防总队”，设定依据中“《人力资源社会保障部和公安部关于印发〈注册消防工程师制度暂行规定〉和〈注册消防工程师资格考试实施办法〉及〈注册消防工程师资格考核认定办法〉的通知》（人社部发〔2012〕56号）”调整为“《注册消防工程师管理规定》（2017年3月16日公安部令第143号）”，规定办结时限的依据由“《人力资源社会保障部和公安部关于印发〈注册消防工程师制度暂行规定〉和〈注册消防工程师资格考试实施办法〉及〈注册消防工程师资格考核认定办法〉的通知》（人社部发〔2012〕56号）”调整为“《注册消防工程师管理规定》（2017年3月16日公安部令第143号）”，法定办结时限由“20个工作日内作出是否批准的决定，自作出批准决定之日起10个工作日内，颁发、送达相应级别的注册证”调整为“20日内（在规定的期限内不能做出注册决定的，经省级公安机关消防机构负责人批准，可以延长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8" w:lineRule="exact"/>
              <w:jc w:val="center"/>
              <w:rPr>
                <w:rFonts w:hint="eastAsia" w:eastAsia="方正书宋_GBK"/>
                <w:snapToGrid w:val="0"/>
                <w:sz w:val="21"/>
                <w:szCs w:val="21"/>
              </w:rPr>
            </w:pPr>
            <w:r>
              <w:rPr>
                <w:rFonts w:hint="eastAsia" w:eastAsia="方正书宋_GBK"/>
                <w:snapToGrid w:val="0"/>
                <w:sz w:val="21"/>
                <w:szCs w:val="21"/>
              </w:rPr>
              <w:t>10</w:t>
            </w:r>
          </w:p>
        </w:tc>
        <w:tc>
          <w:tcPr>
            <w:tcW w:w="993" w:type="dxa"/>
            <w:vAlign w:val="center"/>
          </w:tcPr>
          <w:p>
            <w:pPr>
              <w:widowControl/>
              <w:spacing w:line="298" w:lineRule="exact"/>
              <w:jc w:val="center"/>
              <w:rPr>
                <w:rFonts w:hint="eastAsia" w:eastAsia="方正书宋_GBK"/>
                <w:snapToGrid w:val="0"/>
                <w:sz w:val="21"/>
                <w:szCs w:val="21"/>
              </w:rPr>
            </w:pPr>
            <w:r>
              <w:rPr>
                <w:rFonts w:hint="eastAsia" w:eastAsia="方正书宋_GBK"/>
                <w:snapToGrid w:val="0"/>
                <w:sz w:val="21"/>
                <w:szCs w:val="21"/>
              </w:rPr>
              <w:t>D06059</w:t>
            </w:r>
          </w:p>
        </w:tc>
        <w:tc>
          <w:tcPr>
            <w:tcW w:w="1121"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边境管理区通行证（深圳、珠海经济特区除外）核发</w:t>
            </w:r>
          </w:p>
        </w:tc>
        <w:tc>
          <w:tcPr>
            <w:tcW w:w="1344"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自治区、设区市、县级公安机关及指定的公安派出所</w:t>
            </w:r>
          </w:p>
        </w:tc>
        <w:tc>
          <w:tcPr>
            <w:tcW w:w="2575"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298" w:lineRule="exact"/>
              <w:rPr>
                <w:rFonts w:hint="eastAsia" w:eastAsia="方正书宋_GBK"/>
                <w:snapToGrid w:val="0"/>
                <w:sz w:val="21"/>
                <w:szCs w:val="21"/>
              </w:rPr>
            </w:pPr>
            <w:r>
              <w:rPr>
                <w:rFonts w:hint="eastAsia" w:eastAsia="方正书宋_GBK"/>
                <w:snapToGrid w:val="0"/>
                <w:sz w:val="21"/>
                <w:szCs w:val="21"/>
              </w:rPr>
              <w:t>审批层级和部门由“自治区、设区市、县级公安机关及指定的公安派出所”调整为“设区市、县级公安机关及指定的公安派出所”。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11</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D08001</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社会团体成立、变更、注销登记</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自治区、设区市、县级民政主管部门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《社会团体登记管理条例》（1998年10月25日国务院令第250号，2016年2月6日予以修改）</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审批层级和部门由“自治区、设区市、县级民政主管部门”调整为“自治区、设区市、县级民政部门”。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12</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D08002</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民办非企业单位成立、变更、注销登记</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自治区、设区市、县级民政主管部门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《民办非企业单位登记管理暂行条例》（1998年10月25日国务院令第251号）</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审批层级和部门由“自治区、设区市、县级民政主管部门”调整为“自治区、设区市、县级民政部门”。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13</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D08007</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社会团体修改章程核准</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自治区、设区市、县级民政主管部门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《社会团体登记管理条例》（1998年10月25日国务院令第250号，2016年2月6日予以修改）</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审批层级和部门由“自治区、设区市、县级民政主管部门”调整为“自治区、设区市、县级民政部门”。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14</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D08008</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民办非企业单位修改章程核准</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自治区、设区市、县级民政主管部门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《民办非企业单位登记管理暂行条例》（1998年10月25日国务院令第251号）</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审批层级和部门由“自治区、设区市、县级民政主管部门”调整为“自治区、设区市、县级民政部门”。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15</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D52004</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地图审核（权限内）</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自治区测绘地信局</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《中华人民共和国测绘法》、《地图管理条例》（2015年1月26日国务院令第664号）、《地图审核管理规定》（2006年6月8日国土资源部令第34号，2017年11月28日予以修改）</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审批层级和部门由“自治区测绘地信局”调整为“自治区、设区市测绘地信主管部门”。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16</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D52007</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法人或者其他组织需要利用属于国家秘密的基础测绘成果审批（权限内）</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自治区测绘地信局</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《中华人民共和国测绘成果管理条例》（2006年5月27日国务院令第469号）</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审批层级和部门由“自治区测绘地信局”调整为“自治区、设区市、县级测绘地信主管部门”。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17</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D13004</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防治污染设施拆除或闲置审批</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自治区、设区市、县级环境保护行政主管部门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《中华人民共和国水污染防治法》、《中华人民共和国固体废物污染环境防治法》、《中华人民共和国环境噪声污染防治法》、《中华人民共和国环境保护法》</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设定依据由“《中华人民共和国水污染防治法》、《中华人民共和国固体废物污染环境防治法》、《中华人民共和国环境噪声污染防治法》、《中华人民共和国环境保护法》”调整为“《中华人民共和国固体废物污染环境防治法》、《中华人民共和国环境噪声污染防治法》、《中华人民共和国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18</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D13006</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排污许可</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自治区、设区市、县级环境保护行政主管部门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《中华人民共和国环境保护法》、《中华人民共和国水污染防治法》</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审批层级和部门由“自治区、设区市、县级环境保护行政主管部门”调整为“设区市环境保护主管部门”，设定依据增加“《中华人民共和国大气污染防治法》”。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19</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D13009</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贮存危险废物超过一年的批准</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自治区、设区市环境保护行政主管部门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《中华人民共和国固体废物污染环境防治法》</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审批层级和部门由“自治区、设区市环境保护行政主管部门”调整为“自治区、设区市、县级环境保护行政主管部门”。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20</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D13010</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危险废物转移跨省审批</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自治区、设区市环境保护行政主管部门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《中华人民共和国固体废物污染环境防治法》</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审批层级和部门由“自治区、设区市环境保护行政主管部门”调整为“自治区生态环境厅”。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323"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21</w:t>
            </w:r>
          </w:p>
        </w:tc>
        <w:tc>
          <w:tcPr>
            <w:tcW w:w="993"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D13014</w:t>
            </w:r>
          </w:p>
        </w:tc>
        <w:tc>
          <w:tcPr>
            <w:tcW w:w="1121" w:type="dxa"/>
            <w:vAlign w:val="center"/>
          </w:tcPr>
          <w:p>
            <w:pPr>
              <w:spacing w:line="300" w:lineRule="exact"/>
              <w:rPr>
                <w:rFonts w:hint="eastAsia" w:eastAsia="方正书宋_GBK"/>
                <w:snapToGrid w:val="0"/>
                <w:sz w:val="21"/>
                <w:szCs w:val="21"/>
              </w:rPr>
            </w:pPr>
            <w:r>
              <w:rPr>
                <w:rFonts w:hint="eastAsia" w:eastAsia="方正书宋_GBK"/>
                <w:snapToGrid w:val="0"/>
                <w:sz w:val="21"/>
                <w:szCs w:val="21"/>
              </w:rPr>
              <w:t>辐射监测机构资质认定</w:t>
            </w:r>
          </w:p>
        </w:tc>
        <w:tc>
          <w:tcPr>
            <w:tcW w:w="1344" w:type="dxa"/>
            <w:vAlign w:val="center"/>
          </w:tcPr>
          <w:p>
            <w:pPr>
              <w:spacing w:line="300" w:lineRule="exact"/>
              <w:rPr>
                <w:rFonts w:hint="eastAsia" w:eastAsia="方正书宋_GBK"/>
                <w:snapToGrid w:val="0"/>
                <w:sz w:val="21"/>
                <w:szCs w:val="21"/>
              </w:rPr>
            </w:pPr>
            <w:r>
              <w:rPr>
                <w:rFonts w:hint="eastAsia" w:eastAsia="方正书宋_GBK"/>
                <w:snapToGrid w:val="0"/>
                <w:sz w:val="21"/>
                <w:szCs w:val="21"/>
              </w:rPr>
              <w:t>自治区生态环境厅</w:t>
            </w:r>
          </w:p>
        </w:tc>
        <w:tc>
          <w:tcPr>
            <w:tcW w:w="2575" w:type="dxa"/>
            <w:vAlign w:val="center"/>
          </w:tcPr>
          <w:p>
            <w:pPr>
              <w:spacing w:line="300" w:lineRule="exact"/>
              <w:rPr>
                <w:rFonts w:hint="eastAsia" w:eastAsia="方正书宋_GBK"/>
                <w:snapToGrid w:val="0"/>
                <w:sz w:val="21"/>
                <w:szCs w:val="21"/>
              </w:rPr>
            </w:pPr>
            <w:r>
              <w:rPr>
                <w:rFonts w:hint="eastAsia" w:eastAsia="方正书宋_GBK"/>
                <w:snapToGrid w:val="0"/>
                <w:sz w:val="21"/>
                <w:szCs w:val="21"/>
              </w:rPr>
              <w:t>《中华人民共和国放射性污染防治法》、《建设项目竣工环境保护验收管理办法》（2001年12月27日国家环境保护总局令第13号）、《放射性同位素与射线装置安全和防护管理办法》（2011年4月18日环境保护部令第18号）</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设定依据由“《中华人民共和国放射性污染防治法》、《建设项目竣工环境保护验收管理办法》（2001年12月27日国家环境保护总局令第13号）、《放射性同位素与射线装置安全和防护管理办法》（2011年4月18日环境保护部令第18号）”调整为“《中华人民共和国放射性污染防治法》、《放射性同位素与射线装置安全和防护管理办法》（2011年4月18日环境保护部令第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63"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22</w:t>
            </w:r>
          </w:p>
        </w:tc>
        <w:tc>
          <w:tcPr>
            <w:tcW w:w="993" w:type="dxa"/>
            <w:vAlign w:val="center"/>
          </w:tcPr>
          <w:p>
            <w:pPr>
              <w:adjustRightInd w:val="0"/>
              <w:snapToGrid w:val="0"/>
              <w:spacing w:line="300" w:lineRule="exact"/>
              <w:jc w:val="center"/>
              <w:rPr>
                <w:rFonts w:hint="eastAsia" w:eastAsia="方正书宋_GBK"/>
                <w:snapToGrid w:val="0"/>
                <w:sz w:val="21"/>
                <w:szCs w:val="21"/>
              </w:rPr>
            </w:pPr>
            <w:r>
              <w:rPr>
                <w:rFonts w:hint="eastAsia" w:eastAsia="方正书宋_GBK"/>
                <w:snapToGrid w:val="0"/>
                <w:sz w:val="21"/>
                <w:szCs w:val="21"/>
              </w:rPr>
              <w:t>D13020</w:t>
            </w:r>
          </w:p>
        </w:tc>
        <w:tc>
          <w:tcPr>
            <w:tcW w:w="1121"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建设项目环境保护设施竣工验收</w:t>
            </w:r>
          </w:p>
        </w:tc>
        <w:tc>
          <w:tcPr>
            <w:tcW w:w="1344"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自治区、设区市、县级环境保护行政主管部门</w:t>
            </w:r>
          </w:p>
        </w:tc>
        <w:tc>
          <w:tcPr>
            <w:tcW w:w="2575"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《中华人民共和国固体废物污染环境防治法》、《中华人民共和国环境噪声污染防治法》</w:t>
            </w:r>
          </w:p>
        </w:tc>
        <w:tc>
          <w:tcPr>
            <w:tcW w:w="2688"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设定依据由“《中华人民共和国固体废物污染环境防治法》、《中华人民共和国环境噪声污染防治法》”调整为“《中华人民共和国固体废物污染环境防治法》”。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23</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D13021</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地方级自然保护区的设立、调整审核</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自治区、设区市、县级环境保护行政主管部门</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《中华人民共和国自然保护区条例》（1994年10月9日国务院令第167号，2017年10月7日予以修改）</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审批层级和部门由“自治区、设区市、县级环境保护行政主管部门”调整为“自治区生态环境厅”。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24</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D14021</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乡村建设规划许可证核发</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设区市、县级城乡规划主管部门或者自治区人民政府确定的镇人民政府</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《中华人民共和国城乡规划法》、《广西壮族自治区实施〈中华人民共和国城乡规划法〉办法》（2010年3月31日广西壮族自治区第十一届人民代表大会常务委员会第十四次会议通过，2016年11月30日予以修改）</w:t>
            </w:r>
          </w:p>
        </w:tc>
        <w:tc>
          <w:tcPr>
            <w:tcW w:w="2688" w:type="dxa"/>
            <w:vAlign w:val="center"/>
          </w:tcPr>
          <w:p>
            <w:pPr>
              <w:widowControl/>
              <w:spacing w:line="284" w:lineRule="exact"/>
              <w:rPr>
                <w:rFonts w:hint="eastAsia" w:eastAsia="方正书宋_GBK"/>
                <w:b/>
                <w:snapToGrid w:val="0"/>
                <w:sz w:val="21"/>
                <w:szCs w:val="21"/>
              </w:rPr>
            </w:pPr>
            <w:r>
              <w:rPr>
                <w:rFonts w:hint="eastAsia" w:eastAsia="方正书宋_GBK"/>
                <w:snapToGrid w:val="0"/>
                <w:sz w:val="21"/>
                <w:szCs w:val="21"/>
              </w:rPr>
              <w:t>审批层级和部门由“设区市、县级城乡规划主管部门或者自治区人民政府确定的镇人民政府”调整为“设区市、县级城乡规划主管部门和乡镇人民政府”。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25</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D15044</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船舶安全检验证书核发</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自治区、设区市、县级交通运输主管部门、船舶检验部门</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《中华人民共和国海上交通安全法》、《中华人民共和国内河交通安全管理条例》（2002年6月28日国务院令第355号，2017年3月1日予以修改）</w:t>
            </w:r>
          </w:p>
        </w:tc>
        <w:tc>
          <w:tcPr>
            <w:tcW w:w="2688" w:type="dxa"/>
            <w:vAlign w:val="center"/>
          </w:tcPr>
          <w:p>
            <w:pPr>
              <w:widowControl/>
              <w:spacing w:line="284" w:lineRule="exact"/>
              <w:rPr>
                <w:rFonts w:hint="eastAsia" w:eastAsia="方正书宋_GBK"/>
                <w:b/>
                <w:snapToGrid w:val="0"/>
                <w:sz w:val="21"/>
                <w:szCs w:val="21"/>
              </w:rPr>
            </w:pPr>
            <w:r>
              <w:rPr>
                <w:rFonts w:hint="eastAsia" w:eastAsia="方正书宋_GBK"/>
                <w:snapToGrid w:val="0"/>
                <w:sz w:val="21"/>
                <w:szCs w:val="21"/>
              </w:rPr>
              <w:t>审批层级和部门由“自治区、设区市、县级交通运输主管部门、船舶检验部门”调整为“自治区船舶检验部门及直属船舶检验机构”。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26</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D15063</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出租汽车驾驶员客运资格证核发</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设区市、县级交通运输主管部门</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w:t>
            </w:r>
          </w:p>
        </w:tc>
        <w:tc>
          <w:tcPr>
            <w:tcW w:w="2688"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审批层级和部门由“设区市、县级交通运输主管部门”调整为“设区市交通运输主管部门”。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27</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D17033</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渔业自然保护区核心区科研观测调查活动审批</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自治区海洋和渔业厅</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《中华人民共和国自然保护区条例》（1994年10月9日国务院令第167号，2017年10月7日予以修改）</w:t>
            </w:r>
          </w:p>
        </w:tc>
        <w:tc>
          <w:tcPr>
            <w:tcW w:w="2688"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审批层级和部门由“自治区海洋和渔业厅”调整为“自治区农业农村厅，渔业自然保护区管理机构”。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28</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D17062</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草种经营许可证核发</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自治区农业厅</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《中华人民共和国种子法》、《草种管理办法》（2006年1月12日农业部令第56号，2015年4月29日予以修改）</w:t>
            </w:r>
          </w:p>
        </w:tc>
        <w:tc>
          <w:tcPr>
            <w:tcW w:w="2688"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审批层级和部门由“自治区农业厅”调整为“自治区、县级草原行政主管部门”。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84" w:lineRule="exact"/>
              <w:jc w:val="center"/>
              <w:rPr>
                <w:rFonts w:hint="eastAsia" w:eastAsia="方正书宋_GBK"/>
                <w:snapToGrid w:val="0"/>
                <w:sz w:val="21"/>
                <w:szCs w:val="21"/>
              </w:rPr>
            </w:pPr>
            <w:r>
              <w:rPr>
                <w:rFonts w:hint="eastAsia" w:eastAsia="方正书宋_GBK"/>
                <w:snapToGrid w:val="0"/>
                <w:sz w:val="21"/>
                <w:szCs w:val="21"/>
              </w:rPr>
              <w:t>29</w:t>
            </w:r>
          </w:p>
        </w:tc>
        <w:tc>
          <w:tcPr>
            <w:tcW w:w="993" w:type="dxa"/>
            <w:vAlign w:val="center"/>
          </w:tcPr>
          <w:p>
            <w:pPr>
              <w:widowControl/>
              <w:spacing w:line="284" w:lineRule="exact"/>
              <w:jc w:val="center"/>
              <w:rPr>
                <w:rFonts w:hint="eastAsia" w:eastAsia="方正书宋_GBK"/>
                <w:snapToGrid w:val="0"/>
                <w:sz w:val="21"/>
                <w:szCs w:val="21"/>
              </w:rPr>
            </w:pPr>
            <w:r>
              <w:rPr>
                <w:rFonts w:hint="eastAsia" w:eastAsia="方正书宋_GBK"/>
                <w:snapToGrid w:val="0"/>
                <w:sz w:val="21"/>
                <w:szCs w:val="21"/>
              </w:rPr>
              <w:t>D17080</w:t>
            </w:r>
          </w:p>
        </w:tc>
        <w:tc>
          <w:tcPr>
            <w:tcW w:w="1121"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蜂、蚕种生产、经营许可证核发</w:t>
            </w:r>
          </w:p>
        </w:tc>
        <w:tc>
          <w:tcPr>
            <w:tcW w:w="1344"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自治区、设区市、县级农业行政主管部门</w:t>
            </w:r>
          </w:p>
        </w:tc>
        <w:tc>
          <w:tcPr>
            <w:tcW w:w="2575"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《中华人民共和国畜牧法》、《蚕种管理办法》（2006年6月28日农业部令第68号）、《养蜂管理办法（试行）》（2011年12月13日农业部公告第1692号）</w:t>
            </w:r>
          </w:p>
        </w:tc>
        <w:tc>
          <w:tcPr>
            <w:tcW w:w="2688" w:type="dxa"/>
            <w:vAlign w:val="center"/>
          </w:tcPr>
          <w:p>
            <w:pPr>
              <w:widowControl/>
              <w:spacing w:line="284" w:lineRule="exact"/>
              <w:rPr>
                <w:rFonts w:hint="eastAsia" w:eastAsia="方正书宋_GBK"/>
                <w:snapToGrid w:val="0"/>
                <w:sz w:val="21"/>
                <w:szCs w:val="21"/>
              </w:rPr>
            </w:pPr>
            <w:r>
              <w:rPr>
                <w:rFonts w:hint="eastAsia" w:eastAsia="方正书宋_GBK"/>
                <w:snapToGrid w:val="0"/>
                <w:sz w:val="21"/>
                <w:szCs w:val="21"/>
              </w:rPr>
              <w:t>设区市、县级农业行政主管部门和畜牧兽医行政主管部门未合并的，分别依职能按照桂政发〔2016〕76号文件目录（D17080蚕种生产、经营许可证核发和D17080-1蜂种生产、经营许可证核发）执行；设区市、县级农业行政主管部门和畜牧兽医行政主管部门已经合并的，按照桂政发〔2018〕29号文件目录（D17080蜂、蚕种生产、经营许可证核发）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30</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D18014</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货物自动进口许可</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自治区、设区市商务主管部门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《中华人民共和国对外贸易法》、《中华人民共和国货物进出口管理条例》（2001年12月10日国务院令第332号）、《货物自动进口许可管理办法》（2004年11月10日商务部、海关总署令第26号，2018年10月10日予以修改）</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审批层级和部门由“自治区、设区市商务主管部门”调整为“自治区商务厅、北海市机电产品进出口办公室”。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31</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D26005</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计量标准器具核准</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自治区、设区市、县（县级市）质量技术监督部门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《中华人民共和国计量法》</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审批层级和部门由“自治区、设区市、县（县级市）质量技术监督部门”调整为“自治区、设区市、县级人民政府计量行政部门”。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32</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D26008</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承担国家法定计量检定机构任务授权</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自治区、设区市、县（县级市）质量技术监督部门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《中华人民共和国计量法》、《中华人民共和国计量法实施细则》（1987年1月19日国务院批准，1987年2月1日国家计量局发布。2018年3月19日予以修改）</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审批层级和部门由“自治区、设区市、县（县级市）质量技术监督部门”调整为“自治区、设区市、县级人民政府计量行政部门”。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33</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D26011</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重要工业产品生产许可证核发</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自治区质监局</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《中华人民共和国食品安全法》、《中华人民共和国工业产品生产许可证管理条例》（2005年7月9日国务院令第440号）</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质监局”调整为“自治区市场监管局及其委托的桂林、贵港、玉林、百色、贺州、河池、来宾、崇左等市质量技术监督部门和南宁、柳州、梧州、北海、钦州、防城港等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34</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D26009</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产品质量检验机构资格认定</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自治区质监局及其委托的设区市质量技术监督部门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《中华人民共和国产品质量法》、《中华人民共和国标准化法》、《中华人民共和国标准化法实施条例》（1990年4月6日国务院令第53号）</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质监局及其委托的设区市质量技术监督部门”调整为“自治区市场监管局及其委托的桂林、贵港、玉林、百色、贺州、河池、来宾、崇左等市质量技术监督部门和南宁、柳州、梧州、北海、钦州、防城港等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290" w:lineRule="exact"/>
              <w:jc w:val="center"/>
              <w:rPr>
                <w:rFonts w:hint="eastAsia" w:eastAsia="方正书宋_GBK"/>
                <w:snapToGrid w:val="0"/>
                <w:sz w:val="21"/>
                <w:szCs w:val="21"/>
              </w:rPr>
            </w:pPr>
            <w:r>
              <w:rPr>
                <w:rFonts w:hint="eastAsia" w:eastAsia="方正书宋_GBK"/>
                <w:snapToGrid w:val="0"/>
                <w:sz w:val="21"/>
                <w:szCs w:val="21"/>
              </w:rPr>
              <w:t>35</w:t>
            </w:r>
          </w:p>
        </w:tc>
        <w:tc>
          <w:tcPr>
            <w:tcW w:w="993" w:type="dxa"/>
            <w:vAlign w:val="center"/>
          </w:tcPr>
          <w:p>
            <w:pPr>
              <w:widowControl/>
              <w:spacing w:line="290" w:lineRule="exact"/>
              <w:jc w:val="center"/>
              <w:rPr>
                <w:rFonts w:hint="eastAsia" w:eastAsia="方正书宋_GBK"/>
                <w:snapToGrid w:val="0"/>
                <w:sz w:val="21"/>
                <w:szCs w:val="21"/>
              </w:rPr>
            </w:pPr>
            <w:r>
              <w:rPr>
                <w:rFonts w:hint="eastAsia" w:eastAsia="方正书宋_GBK"/>
                <w:snapToGrid w:val="0"/>
                <w:sz w:val="21"/>
                <w:szCs w:val="21"/>
              </w:rPr>
              <w:t>D30003</w:t>
            </w:r>
          </w:p>
        </w:tc>
        <w:tc>
          <w:tcPr>
            <w:tcW w:w="1121"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食品添加剂生产许可</w:t>
            </w:r>
          </w:p>
        </w:tc>
        <w:tc>
          <w:tcPr>
            <w:tcW w:w="1344"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自治区、设区市、县级食品药品监管部门</w:t>
            </w:r>
          </w:p>
        </w:tc>
        <w:tc>
          <w:tcPr>
            <w:tcW w:w="2575"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《中华人民共和国食品安全法》</w:t>
            </w:r>
          </w:p>
        </w:tc>
        <w:tc>
          <w:tcPr>
            <w:tcW w:w="2688" w:type="dxa"/>
            <w:vAlign w:val="center"/>
          </w:tcPr>
          <w:p>
            <w:pPr>
              <w:widowControl/>
              <w:spacing w:line="290" w:lineRule="exact"/>
              <w:rPr>
                <w:rFonts w:hint="eastAsia" w:eastAsia="方正书宋_GBK"/>
                <w:snapToGrid w:val="0"/>
                <w:sz w:val="21"/>
                <w:szCs w:val="21"/>
              </w:rPr>
            </w:pPr>
            <w:r>
              <w:rPr>
                <w:rFonts w:hint="eastAsia" w:eastAsia="方正书宋_GBK"/>
                <w:snapToGrid w:val="0"/>
                <w:sz w:val="21"/>
                <w:szCs w:val="21"/>
              </w:rPr>
              <w:t>审批层级和部门由“自治区、设区市、县级食品药品监管部门”调整为“设区市食品药品监督管理部门”。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36</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D04013</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食盐批发许可</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自治区食品药品监管局</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食盐专营办法》（1996年5月27日国务院令第197号，2017年12月26日予以修改）、《国务院关于印发盐业体制改革方案的通知》（国发〔2016〕25号）、《广西壮族自治区人民政府关于印发广西盐业体制改革实施方案的通知》（桂政发〔2016〕78号）、《广西壮族自治区人民政府关于取消下放和调整一批行政许可事项的决定》（桂政发〔2018〕29号）、《广西壮族自治区机构编制委员会办公室关于自治区盐业监管体制改革有关部门职责调整的通知》（桂编办发〔2017〕77号）</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项目名称由“食盐批发许可”调整为“食盐定点批发企业审批”，审批层级和部门由“自治区食品药品监管局”调整为“自治区市场监管局”。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37</w:t>
            </w:r>
          </w:p>
        </w:tc>
        <w:tc>
          <w:tcPr>
            <w:tcW w:w="993" w:type="dxa"/>
            <w:vAlign w:val="center"/>
          </w:tcPr>
          <w:p>
            <w:pPr>
              <w:adjustRightInd w:val="0"/>
              <w:snapToGrid w:val="0"/>
              <w:spacing w:line="300" w:lineRule="exact"/>
              <w:jc w:val="center"/>
              <w:rPr>
                <w:rFonts w:hint="eastAsia" w:eastAsia="方正书宋_GBK"/>
                <w:snapToGrid w:val="0"/>
                <w:sz w:val="21"/>
                <w:szCs w:val="21"/>
              </w:rPr>
            </w:pPr>
            <w:r>
              <w:rPr>
                <w:rFonts w:hint="eastAsia" w:eastAsia="方正书宋_GBK"/>
                <w:snapToGrid w:val="0"/>
                <w:sz w:val="21"/>
                <w:szCs w:val="21"/>
              </w:rPr>
              <w:t>D43001</w:t>
            </w:r>
          </w:p>
        </w:tc>
        <w:tc>
          <w:tcPr>
            <w:tcW w:w="1121"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融资性担保机构的设立与变更审批</w:t>
            </w:r>
          </w:p>
        </w:tc>
        <w:tc>
          <w:tcPr>
            <w:tcW w:w="1344"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自治区地方金融监管局（自治区金融办）</w:t>
            </w:r>
          </w:p>
        </w:tc>
        <w:tc>
          <w:tcPr>
            <w:tcW w:w="2575" w:type="dxa"/>
            <w:vAlign w:val="center"/>
          </w:tcPr>
          <w:p>
            <w:pPr>
              <w:adjustRightInd w:val="0"/>
              <w:snapToGrid w:val="0"/>
              <w:spacing w:line="300" w:lineRule="exact"/>
              <w:rPr>
                <w:rFonts w:hint="eastAsia" w:eastAsia="方正书宋_GBK"/>
                <w:snapToGrid w:val="0"/>
                <w:sz w:val="21"/>
                <w:szCs w:val="21"/>
              </w:rPr>
            </w:pPr>
            <w:r>
              <w:rPr>
                <w:rFonts w:hint="eastAsia" w:eastAsia="方正书宋_GBK"/>
                <w:snapToGrid w:val="0"/>
                <w:sz w:val="21"/>
                <w:szCs w:val="21"/>
              </w:rPr>
              <w:t>《国务院关于修改〈国务院对确需保留的行政审批项目设定行政许可的决定〉的决定》（2009年1月29日国务院令第548号）</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设定依据由“《国务院关于修改〈国务院对确需保留的行政审批项目设定行政许可的决定〉的决定》（2009年1月29日国务院令第548号）”调整为“《国务院关于修改〈国务院对确需保留的行政审批项目设定行政许可的决定〉的决定》（2009年1月29日国务院令第548号）、《融资担保公司监督管理条例》（2017年8月2日国务院令第683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97" w:hRule="atLeast"/>
          <w:jc w:val="center"/>
        </w:trPr>
        <w:tc>
          <w:tcPr>
            <w:tcW w:w="351" w:type="dxa"/>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38</w:t>
            </w:r>
          </w:p>
        </w:tc>
        <w:tc>
          <w:tcPr>
            <w:tcW w:w="993" w:type="dxa"/>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D51012</w:t>
            </w:r>
          </w:p>
        </w:tc>
        <w:tc>
          <w:tcPr>
            <w:tcW w:w="1121"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因科学研究需要进入海洋自然保护区核心区从事科学研究观测、调查活动审批</w:t>
            </w:r>
          </w:p>
        </w:tc>
        <w:tc>
          <w:tcPr>
            <w:tcW w:w="1344"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自治区海洋和渔业厅</w:t>
            </w:r>
          </w:p>
        </w:tc>
        <w:tc>
          <w:tcPr>
            <w:tcW w:w="2575" w:type="dxa"/>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《中华人民共和国自然保护区条例》（1994年10月9日国务院令第167号，2017年10月7日予以修改）、《国务院关于第六批取消和调整行政审批项目的决定》（国发〔2012〕52号）</w:t>
            </w:r>
          </w:p>
        </w:tc>
        <w:tc>
          <w:tcPr>
            <w:tcW w:w="2688" w:type="dxa"/>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审批层级和部门由“自治区海洋和渔业厅”调整为“自治区海洋局，海洋自然保护区管理机构”。</w:t>
            </w: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F3DAA"/>
    <w:rsid w:val="24171F74"/>
    <w:rsid w:val="278F3DA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2019-02-11T02:24:00Z</dcterms:created>
  <dc:creator>dengd</dc:creator>
  <cp:lastModifiedBy>dengd</cp:lastModifiedBy>
  <dcterms:modified xsi:type="dcterms:W3CDTF">2019-02-11T02:24:29Z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