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eastAsia="方正黑体_GBK"/>
          <w:snapToGrid w:val="0"/>
          <w:kern w:val="0"/>
          <w:sz w:val="32"/>
          <w:szCs w:val="32"/>
        </w:rPr>
      </w:pPr>
      <w:r>
        <w:rPr>
          <w:rFonts w:hint="eastAsia" w:ascii="方正黑体_GBK" w:eastAsia="方正黑体_GBK"/>
          <w:snapToGrid w:val="0"/>
          <w:kern w:val="0"/>
          <w:sz w:val="32"/>
          <w:szCs w:val="32"/>
        </w:rPr>
        <w:t>附件5</w:t>
      </w:r>
    </w:p>
    <w:p>
      <w:pPr>
        <w:spacing w:line="500" w:lineRule="exact"/>
        <w:jc w:val="center"/>
        <w:rPr>
          <w:rFonts w:eastAsia="方正小标宋简体"/>
          <w:snapToGrid w:val="0"/>
          <w:kern w:val="0"/>
          <w:sz w:val="44"/>
          <w:szCs w:val="44"/>
        </w:rPr>
      </w:pPr>
    </w:p>
    <w:p>
      <w:pPr>
        <w:spacing w:line="590" w:lineRule="exact"/>
        <w:jc w:val="center"/>
        <w:rPr>
          <w:rFonts w:eastAsia="方正小标宋_GBK"/>
          <w:snapToGrid w:val="0"/>
          <w:kern w:val="0"/>
          <w:sz w:val="44"/>
          <w:szCs w:val="44"/>
        </w:rPr>
      </w:pPr>
      <w:r>
        <w:rPr>
          <w:rFonts w:hint="eastAsia" w:eastAsia="方正小标宋_GBK"/>
          <w:snapToGrid w:val="0"/>
          <w:kern w:val="0"/>
          <w:sz w:val="44"/>
          <w:szCs w:val="44"/>
        </w:rPr>
        <w:t>自治区人民政府决定清理规范和新增为</w:t>
      </w:r>
    </w:p>
    <w:p>
      <w:pPr>
        <w:spacing w:line="590" w:lineRule="exact"/>
        <w:jc w:val="center"/>
        <w:rPr>
          <w:rFonts w:eastAsia="方正小标宋_GBK"/>
          <w:snapToGrid w:val="0"/>
          <w:kern w:val="0"/>
          <w:sz w:val="44"/>
          <w:szCs w:val="44"/>
        </w:rPr>
      </w:pPr>
      <w:r>
        <w:rPr>
          <w:rFonts w:hint="eastAsia" w:eastAsia="方正小标宋_GBK"/>
          <w:snapToGrid w:val="0"/>
          <w:kern w:val="0"/>
          <w:sz w:val="44"/>
          <w:szCs w:val="44"/>
        </w:rPr>
        <w:t>行政审批必要条件的中介服务事项目录</w:t>
      </w:r>
    </w:p>
    <w:p>
      <w:pPr>
        <w:spacing w:line="590" w:lineRule="exact"/>
        <w:jc w:val="center"/>
        <w:rPr>
          <w:rFonts w:eastAsia="方正楷体_GBK"/>
          <w:snapToGrid w:val="0"/>
          <w:kern w:val="0"/>
          <w:sz w:val="32"/>
          <w:szCs w:val="32"/>
        </w:rPr>
      </w:pPr>
      <w:r>
        <w:rPr>
          <w:rFonts w:hint="eastAsia" w:eastAsia="方正楷体_GBK"/>
          <w:snapToGrid w:val="0"/>
          <w:kern w:val="0"/>
          <w:sz w:val="32"/>
          <w:szCs w:val="32"/>
        </w:rPr>
        <w:t>（共</w:t>
      </w:r>
      <w:r>
        <w:rPr>
          <w:rFonts w:eastAsia="方正楷体_GBK"/>
          <w:snapToGrid w:val="0"/>
          <w:kern w:val="0"/>
          <w:sz w:val="32"/>
          <w:szCs w:val="32"/>
        </w:rPr>
        <w:t>8</w:t>
      </w:r>
      <w:r>
        <w:rPr>
          <w:rFonts w:hint="eastAsia" w:eastAsia="方正楷体_GBK"/>
          <w:snapToGrid w:val="0"/>
          <w:kern w:val="0"/>
          <w:sz w:val="32"/>
          <w:szCs w:val="32"/>
        </w:rPr>
        <w:t>项）</w:t>
      </w:r>
    </w:p>
    <w:p>
      <w:pPr>
        <w:spacing w:line="590" w:lineRule="exact"/>
        <w:jc w:val="center"/>
        <w:rPr>
          <w:rFonts w:eastAsia="方正楷体_GBK"/>
          <w:snapToGrid w:val="0"/>
          <w:kern w:val="0"/>
          <w:sz w:val="32"/>
          <w:szCs w:val="32"/>
        </w:rPr>
      </w:pP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5"/>
        <w:gridCol w:w="1366"/>
        <w:gridCol w:w="1036"/>
        <w:gridCol w:w="1120"/>
        <w:gridCol w:w="2029"/>
        <w:gridCol w:w="910"/>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tblHeader/>
          <w:jc w:val="center"/>
        </w:trPr>
        <w:tc>
          <w:tcPr>
            <w:tcW w:w="455"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序号</w:t>
            </w:r>
          </w:p>
        </w:tc>
        <w:tc>
          <w:tcPr>
            <w:tcW w:w="1366"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中介服务事项名称</w:t>
            </w:r>
          </w:p>
        </w:tc>
        <w:tc>
          <w:tcPr>
            <w:tcW w:w="1036"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涉及的行政许可事项名称</w:t>
            </w:r>
          </w:p>
        </w:tc>
        <w:tc>
          <w:tcPr>
            <w:tcW w:w="1120"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行政许可事项实施主体</w:t>
            </w:r>
          </w:p>
        </w:tc>
        <w:tc>
          <w:tcPr>
            <w:tcW w:w="2029"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中介服务事项</w:t>
            </w:r>
          </w:p>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设定依据</w:t>
            </w:r>
          </w:p>
        </w:tc>
        <w:tc>
          <w:tcPr>
            <w:tcW w:w="910"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中介服务实施机构</w:t>
            </w:r>
          </w:p>
        </w:tc>
        <w:tc>
          <w:tcPr>
            <w:tcW w:w="2156" w:type="dxa"/>
            <w:vAlign w:val="center"/>
          </w:tcPr>
          <w:p>
            <w:pPr>
              <w:widowControl/>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74" w:lineRule="exact"/>
              <w:jc w:val="center"/>
              <w:rPr>
                <w:rFonts w:hint="eastAsia" w:eastAsia="方正书宋_GBK"/>
                <w:snapToGrid w:val="0"/>
                <w:sz w:val="21"/>
                <w:szCs w:val="21"/>
              </w:rPr>
            </w:pPr>
            <w:bookmarkStart w:id="0" w:name="_GoBack"/>
            <w:r>
              <w:rPr>
                <w:rFonts w:hint="eastAsia" w:eastAsia="方正书宋_GBK"/>
                <w:snapToGrid w:val="0"/>
                <w:sz w:val="21"/>
                <w:szCs w:val="21"/>
              </w:rPr>
              <w:t>1</w:t>
            </w:r>
          </w:p>
        </w:tc>
        <w:tc>
          <w:tcPr>
            <w:tcW w:w="136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土地复垦方案</w:t>
            </w:r>
          </w:p>
        </w:tc>
        <w:tc>
          <w:tcPr>
            <w:tcW w:w="103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临时用地审批</w:t>
            </w:r>
          </w:p>
        </w:tc>
        <w:tc>
          <w:tcPr>
            <w:tcW w:w="1120"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设区市、县（县级市）国土资源部门</w:t>
            </w:r>
          </w:p>
        </w:tc>
        <w:tc>
          <w:tcPr>
            <w:tcW w:w="2029"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《土地复垦条例》（2011年3月5日国务院令第592号）、《土地复垦条例实施办法》（2012年12月27日国土资源部令第56号）</w:t>
            </w:r>
          </w:p>
        </w:tc>
        <w:tc>
          <w:tcPr>
            <w:tcW w:w="910"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具有土地复垦资质的机构</w:t>
            </w:r>
          </w:p>
        </w:tc>
        <w:tc>
          <w:tcPr>
            <w:tcW w:w="2156" w:type="dxa"/>
            <w:vAlign w:val="center"/>
          </w:tcPr>
          <w:p>
            <w:pPr>
              <w:spacing w:line="274" w:lineRule="exact"/>
              <w:rPr>
                <w:rFonts w:hint="eastAsia" w:eastAsia="方正书宋_GBK"/>
                <w:b/>
                <w:snapToGrid w:val="0"/>
                <w:sz w:val="21"/>
                <w:szCs w:val="21"/>
              </w:rPr>
            </w:pPr>
            <w:r>
              <w:rPr>
                <w:rFonts w:hint="eastAsia" w:eastAsia="方正书宋_GBK"/>
                <w:snapToGrid w:val="0"/>
                <w:sz w:val="21"/>
                <w:szCs w:val="21"/>
              </w:rPr>
              <w:t>申请人可按要求自行编制，也可委托有关机构编制，审批部门不得以任何形式要求申请人必须委托特定中介机构提供服务。</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74" w:lineRule="exact"/>
              <w:jc w:val="center"/>
              <w:rPr>
                <w:rFonts w:hint="eastAsia" w:eastAsia="方正书宋_GBK"/>
                <w:snapToGrid w:val="0"/>
                <w:sz w:val="21"/>
                <w:szCs w:val="21"/>
              </w:rPr>
            </w:pPr>
            <w:r>
              <w:rPr>
                <w:rFonts w:hint="eastAsia" w:eastAsia="方正书宋_GBK"/>
                <w:snapToGrid w:val="0"/>
                <w:sz w:val="21"/>
                <w:szCs w:val="21"/>
              </w:rPr>
              <w:t>2</w:t>
            </w:r>
          </w:p>
        </w:tc>
        <w:tc>
          <w:tcPr>
            <w:tcW w:w="136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依法必须招标的建筑工程项目招标代理</w:t>
            </w:r>
          </w:p>
        </w:tc>
        <w:tc>
          <w:tcPr>
            <w:tcW w:w="103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建筑工程施工许可证核发</w:t>
            </w:r>
          </w:p>
        </w:tc>
        <w:tc>
          <w:tcPr>
            <w:tcW w:w="1120"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自治区、设区市、县级建设行政主管部门</w:t>
            </w:r>
          </w:p>
        </w:tc>
        <w:tc>
          <w:tcPr>
            <w:tcW w:w="2029"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《中华人民共和国建筑法》、《建筑工程施工许可管理办法》（2014年6月25日住房和城乡建设部令18 号，2018年9月28日予以修改）、《建筑工程设计招标投标管理办法》（2017年1月24日住房和城乡建设部令第33号）</w:t>
            </w:r>
          </w:p>
        </w:tc>
        <w:tc>
          <w:tcPr>
            <w:tcW w:w="910"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具有相应资质的机构</w:t>
            </w:r>
          </w:p>
        </w:tc>
        <w:tc>
          <w:tcPr>
            <w:tcW w:w="215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申请人可自行选择招标代理机构，委托其办理招标事宜；申请人具有编制招标文件和组织评标能力的，可以自行办理招标事宜。审批部门不得以任何形式要求申请人必须委托特定中介机构提供服务。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74" w:lineRule="exact"/>
              <w:jc w:val="center"/>
              <w:rPr>
                <w:rFonts w:hint="eastAsia" w:eastAsia="方正书宋_GBK"/>
                <w:snapToGrid w:val="0"/>
                <w:sz w:val="21"/>
                <w:szCs w:val="21"/>
              </w:rPr>
            </w:pPr>
            <w:r>
              <w:rPr>
                <w:rFonts w:hint="eastAsia" w:eastAsia="方正书宋_GBK"/>
                <w:snapToGrid w:val="0"/>
                <w:sz w:val="21"/>
                <w:szCs w:val="21"/>
              </w:rPr>
              <w:t>3</w:t>
            </w:r>
          </w:p>
        </w:tc>
        <w:tc>
          <w:tcPr>
            <w:tcW w:w="1366"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水运工程建设项目施工图设计文件</w:t>
            </w:r>
          </w:p>
        </w:tc>
        <w:tc>
          <w:tcPr>
            <w:tcW w:w="1036" w:type="dxa"/>
            <w:vAlign w:val="center"/>
          </w:tcPr>
          <w:p>
            <w:pPr>
              <w:spacing w:line="274" w:lineRule="exact"/>
              <w:ind w:left="-16" w:firstLine="16"/>
              <w:rPr>
                <w:rFonts w:hint="eastAsia" w:eastAsia="方正书宋_GBK"/>
                <w:snapToGrid w:val="0"/>
                <w:sz w:val="21"/>
                <w:szCs w:val="21"/>
              </w:rPr>
            </w:pPr>
            <w:r>
              <w:rPr>
                <w:rFonts w:hint="eastAsia" w:eastAsia="方正书宋_GBK"/>
                <w:snapToGrid w:val="0"/>
                <w:sz w:val="21"/>
                <w:szCs w:val="21"/>
              </w:rPr>
              <w:t>公路水运工程建设项目设计文件审批</w:t>
            </w:r>
          </w:p>
        </w:tc>
        <w:tc>
          <w:tcPr>
            <w:tcW w:w="1120" w:type="dxa"/>
            <w:vAlign w:val="center"/>
          </w:tcPr>
          <w:p>
            <w:pPr>
              <w:spacing w:line="274" w:lineRule="exact"/>
              <w:rPr>
                <w:rFonts w:hint="eastAsia" w:eastAsia="方正书宋_GBK"/>
                <w:snapToGrid w:val="0"/>
                <w:sz w:val="21"/>
                <w:szCs w:val="21"/>
              </w:rPr>
            </w:pPr>
            <w:r>
              <w:rPr>
                <w:rFonts w:hint="eastAsia" w:eastAsia="方正书宋_GBK"/>
                <w:snapToGrid w:val="0"/>
                <w:sz w:val="21"/>
                <w:szCs w:val="21"/>
              </w:rPr>
              <w:t>自治区、设区市、县级交通运输主管部门</w:t>
            </w:r>
          </w:p>
        </w:tc>
        <w:tc>
          <w:tcPr>
            <w:tcW w:w="2029" w:type="dxa"/>
            <w:vAlign w:val="center"/>
          </w:tcPr>
          <w:p>
            <w:pPr>
              <w:spacing w:line="274" w:lineRule="exact"/>
              <w:ind w:left="-16" w:firstLine="16"/>
              <w:rPr>
                <w:rFonts w:hint="eastAsia" w:eastAsia="方正书宋_GBK"/>
                <w:snapToGrid w:val="0"/>
                <w:sz w:val="21"/>
                <w:szCs w:val="21"/>
              </w:rPr>
            </w:pPr>
            <w:r>
              <w:rPr>
                <w:rFonts w:hint="eastAsia" w:eastAsia="方正书宋_GBK"/>
                <w:snapToGrid w:val="0"/>
                <w:sz w:val="21"/>
                <w:szCs w:val="21"/>
              </w:rPr>
              <w:t>《公路建设市场管理办法》（2004年12月21日交通部令第14号，2015年6月26日予以修改）、《港口建设管理规定》（2007年4月24日交通部令2007年第5号）</w:t>
            </w:r>
          </w:p>
        </w:tc>
        <w:tc>
          <w:tcPr>
            <w:tcW w:w="910" w:type="dxa"/>
            <w:vAlign w:val="center"/>
          </w:tcPr>
          <w:p>
            <w:pPr>
              <w:spacing w:line="274" w:lineRule="exact"/>
              <w:ind w:left="-16" w:hanging="28"/>
              <w:rPr>
                <w:rFonts w:hint="eastAsia" w:eastAsia="方正书宋_GBK"/>
                <w:snapToGrid w:val="0"/>
                <w:sz w:val="21"/>
                <w:szCs w:val="21"/>
              </w:rPr>
            </w:pPr>
            <w:r>
              <w:rPr>
                <w:rFonts w:hint="eastAsia" w:eastAsia="方正书宋_GBK"/>
                <w:snapToGrid w:val="0"/>
                <w:sz w:val="21"/>
                <w:szCs w:val="21"/>
              </w:rPr>
              <w:t>具有相应工程咨询或者设计资质的单位</w:t>
            </w:r>
          </w:p>
        </w:tc>
        <w:tc>
          <w:tcPr>
            <w:tcW w:w="2156" w:type="dxa"/>
            <w:vAlign w:val="center"/>
          </w:tcPr>
          <w:p>
            <w:pPr>
              <w:spacing w:line="274" w:lineRule="exact"/>
              <w:rPr>
                <w:rFonts w:hint="eastAsia" w:eastAsia="方正书宋_GBK"/>
                <w:b/>
                <w:snapToGrid w:val="0"/>
                <w:sz w:val="21"/>
                <w:szCs w:val="21"/>
              </w:rPr>
            </w:pPr>
            <w:r>
              <w:rPr>
                <w:rFonts w:hint="eastAsia" w:eastAsia="方正书宋_GBK"/>
                <w:snapToGrid w:val="0"/>
                <w:sz w:val="21"/>
                <w:szCs w:val="21"/>
              </w:rPr>
              <w:t>中介服务事项名称由“水运工程建设项目施工图设计文件”调整为“公路水运工程建设项目设计文件”，中介服务事项设定依据中的“《港口</w:t>
            </w:r>
            <w:r>
              <w:rPr>
                <w:rFonts w:hint="eastAsia" w:eastAsia="方正书宋_GBK"/>
                <w:snapToGrid w:val="0"/>
                <w:spacing w:val="-4"/>
                <w:sz w:val="21"/>
                <w:szCs w:val="21"/>
              </w:rPr>
              <w:t>建设管理规定》（2007</w:t>
            </w:r>
            <w:r>
              <w:rPr>
                <w:rFonts w:hint="eastAsia" w:eastAsia="方正书宋_GBK"/>
                <w:snapToGrid w:val="0"/>
                <w:sz w:val="21"/>
                <w:szCs w:val="21"/>
              </w:rPr>
              <w:t>年4月24日交通部令2007年第5号）”调整为“《港口工程建设管理规定》（2018年1月15日交通运输部令2018年第2号）”。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4</w:t>
            </w:r>
          </w:p>
        </w:tc>
        <w:tc>
          <w:tcPr>
            <w:tcW w:w="1366"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建筑结构工程超限设计的可行性论证报告</w:t>
            </w:r>
          </w:p>
        </w:tc>
        <w:tc>
          <w:tcPr>
            <w:tcW w:w="1036"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超限高层建筑工程抗震设防审批</w:t>
            </w:r>
          </w:p>
        </w:tc>
        <w:tc>
          <w:tcPr>
            <w:tcW w:w="1120"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自治区住房城乡建设厅</w:t>
            </w:r>
          </w:p>
        </w:tc>
        <w:tc>
          <w:tcPr>
            <w:tcW w:w="2029"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《超限高层建筑工程抗震设防管理规定》（2002年7月25日建设部令第111号）</w:t>
            </w:r>
          </w:p>
        </w:tc>
        <w:tc>
          <w:tcPr>
            <w:tcW w:w="910" w:type="dxa"/>
            <w:vAlign w:val="center"/>
          </w:tcPr>
          <w:p>
            <w:pPr>
              <w:spacing w:line="280" w:lineRule="exact"/>
              <w:jc w:val="left"/>
              <w:rPr>
                <w:rFonts w:hint="eastAsia" w:eastAsia="方正书宋_GBK"/>
                <w:snapToGrid w:val="0"/>
                <w:sz w:val="21"/>
                <w:szCs w:val="21"/>
              </w:rPr>
            </w:pPr>
            <w:r>
              <w:rPr>
                <w:rFonts w:hint="eastAsia" w:eastAsia="方正书宋_GBK"/>
                <w:snapToGrid w:val="0"/>
                <w:sz w:val="21"/>
                <w:szCs w:val="21"/>
              </w:rPr>
              <w:t>具有建筑行业（建筑工程）设计甲级资质的机构</w:t>
            </w:r>
          </w:p>
        </w:tc>
        <w:tc>
          <w:tcPr>
            <w:tcW w:w="2156" w:type="dxa"/>
            <w:vAlign w:val="center"/>
          </w:tcPr>
          <w:p>
            <w:pPr>
              <w:spacing w:line="280" w:lineRule="exact"/>
              <w:rPr>
                <w:rFonts w:hint="eastAsia" w:eastAsia="方正书宋_GBK"/>
                <w:b/>
                <w:snapToGrid w:val="0"/>
                <w:sz w:val="21"/>
                <w:szCs w:val="21"/>
              </w:rPr>
            </w:pPr>
            <w:r>
              <w:rPr>
                <w:rFonts w:hint="eastAsia" w:eastAsia="方正书宋_GBK"/>
                <w:snapToGrid w:val="0"/>
                <w:sz w:val="21"/>
                <w:szCs w:val="21"/>
              </w:rPr>
              <w:t>列入《广西保留为行政审批必要条件的中介服务事项目录》。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5</w:t>
            </w:r>
          </w:p>
        </w:tc>
        <w:tc>
          <w:tcPr>
            <w:tcW w:w="136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跨越、穿越公路及在公路用地范围内架设、埋设管线、电缆等设施，或者利用公路桥梁、公路隧道、涵洞铺设电缆等设施时保障公路、公路附属设施质量和安全的技术评价报告</w:t>
            </w:r>
          </w:p>
        </w:tc>
        <w:tc>
          <w:tcPr>
            <w:tcW w:w="103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跨越、穿越公路及在公路用地范围内架设、埋设管线、电缆等设施，或者利用公路桥梁、公路隧道、涵洞铺设电缆等设施许可</w:t>
            </w:r>
          </w:p>
        </w:tc>
        <w:tc>
          <w:tcPr>
            <w:tcW w:w="112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自治区、设区市、县级交通运输行政主管部门或者自治区、设区市、县级公路管理机构</w:t>
            </w:r>
          </w:p>
        </w:tc>
        <w:tc>
          <w:tcPr>
            <w:tcW w:w="2029"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《公路安全保护条例》（2011年3月7日国务院令第593号）</w:t>
            </w:r>
          </w:p>
        </w:tc>
        <w:tc>
          <w:tcPr>
            <w:tcW w:w="910" w:type="dxa"/>
            <w:vAlign w:val="center"/>
          </w:tcPr>
          <w:p>
            <w:pPr>
              <w:spacing w:line="280" w:lineRule="exact"/>
              <w:ind w:left="-16" w:hanging="28"/>
              <w:rPr>
                <w:rFonts w:hint="eastAsia" w:eastAsia="方正书宋_GBK"/>
                <w:snapToGrid w:val="0"/>
                <w:sz w:val="21"/>
                <w:szCs w:val="21"/>
              </w:rPr>
            </w:pPr>
            <w:r>
              <w:rPr>
                <w:rFonts w:hint="eastAsia" w:eastAsia="方正书宋_GBK"/>
                <w:snapToGrid w:val="0"/>
                <w:sz w:val="21"/>
                <w:szCs w:val="21"/>
              </w:rPr>
              <w:t>具有质量和安全技术评价资质的机构</w:t>
            </w:r>
          </w:p>
        </w:tc>
        <w:tc>
          <w:tcPr>
            <w:tcW w:w="2156" w:type="dxa"/>
            <w:vAlign w:val="center"/>
          </w:tcPr>
          <w:p>
            <w:pPr>
              <w:spacing w:line="280" w:lineRule="exact"/>
              <w:rPr>
                <w:rFonts w:hint="eastAsia" w:eastAsia="方正书宋_GBK"/>
                <w:b/>
                <w:snapToGrid w:val="0"/>
                <w:sz w:val="21"/>
                <w:szCs w:val="21"/>
              </w:rPr>
            </w:pPr>
            <w:r>
              <w:rPr>
                <w:rFonts w:hint="eastAsia" w:eastAsia="方正书宋_GBK"/>
                <w:snapToGrid w:val="0"/>
                <w:sz w:val="21"/>
                <w:szCs w:val="21"/>
              </w:rPr>
              <w:t>列入《广西保留为行政审批必要条件的中介服务事项目录》。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6</w:t>
            </w:r>
          </w:p>
        </w:tc>
        <w:tc>
          <w:tcPr>
            <w:tcW w:w="136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公路建筑控制区内埋设管线、电缆时保障公路、公路附属设施质量和安全的技术评价报告</w:t>
            </w:r>
          </w:p>
        </w:tc>
        <w:tc>
          <w:tcPr>
            <w:tcW w:w="103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公路建筑控制区内埋设管线、电缆等设施许可</w:t>
            </w:r>
          </w:p>
        </w:tc>
        <w:tc>
          <w:tcPr>
            <w:tcW w:w="112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自治区、设区市、县级交通运输行政主管部门或者自治区、设区市、县级公路管理机构</w:t>
            </w:r>
          </w:p>
        </w:tc>
        <w:tc>
          <w:tcPr>
            <w:tcW w:w="2029"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《公路安全保护条例》（2011年3月7日国务院令第593号）</w:t>
            </w:r>
          </w:p>
        </w:tc>
        <w:tc>
          <w:tcPr>
            <w:tcW w:w="910" w:type="dxa"/>
            <w:vAlign w:val="center"/>
          </w:tcPr>
          <w:p>
            <w:pPr>
              <w:spacing w:line="280" w:lineRule="exact"/>
              <w:ind w:left="-16" w:hanging="28"/>
              <w:rPr>
                <w:rFonts w:hint="eastAsia" w:eastAsia="方正书宋_GBK"/>
                <w:snapToGrid w:val="0"/>
                <w:sz w:val="21"/>
                <w:szCs w:val="21"/>
              </w:rPr>
            </w:pPr>
            <w:r>
              <w:rPr>
                <w:rFonts w:hint="eastAsia" w:eastAsia="方正书宋_GBK"/>
                <w:snapToGrid w:val="0"/>
                <w:sz w:val="21"/>
                <w:szCs w:val="21"/>
              </w:rPr>
              <w:t>具有质量和安全技术评价资质的机构</w:t>
            </w:r>
          </w:p>
        </w:tc>
        <w:tc>
          <w:tcPr>
            <w:tcW w:w="2156" w:type="dxa"/>
            <w:vAlign w:val="center"/>
          </w:tcPr>
          <w:p>
            <w:pPr>
              <w:spacing w:line="280" w:lineRule="exact"/>
              <w:rPr>
                <w:rFonts w:hint="eastAsia" w:eastAsia="方正书宋_GBK"/>
                <w:b/>
                <w:snapToGrid w:val="0"/>
                <w:sz w:val="21"/>
                <w:szCs w:val="21"/>
              </w:rPr>
            </w:pPr>
            <w:r>
              <w:rPr>
                <w:rFonts w:hint="eastAsia" w:eastAsia="方正书宋_GBK"/>
                <w:snapToGrid w:val="0"/>
                <w:sz w:val="21"/>
                <w:szCs w:val="21"/>
              </w:rPr>
              <w:t>列入《广西保留为行政审批必要条件的中介服务事项目录》。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7</w:t>
            </w:r>
          </w:p>
        </w:tc>
        <w:tc>
          <w:tcPr>
            <w:tcW w:w="136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外商投资企业股权变更时的企业验资报告</w:t>
            </w:r>
          </w:p>
        </w:tc>
        <w:tc>
          <w:tcPr>
            <w:tcW w:w="103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权限内外商投资企业（含非独立法人分支机构）设立及变更的审批</w:t>
            </w:r>
          </w:p>
        </w:tc>
        <w:tc>
          <w:tcPr>
            <w:tcW w:w="112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自治区、设区市商务主管部门</w:t>
            </w:r>
          </w:p>
        </w:tc>
        <w:tc>
          <w:tcPr>
            <w:tcW w:w="2029"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《对外贸易经济合作部 国家工商行政管理局关于印发〈外商投资企业投资者股权变更的若干规定〉的通知》（〔1997〕外经贸法发第267号）</w:t>
            </w:r>
          </w:p>
        </w:tc>
        <w:tc>
          <w:tcPr>
            <w:tcW w:w="91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会计师事务所</w:t>
            </w:r>
          </w:p>
        </w:tc>
        <w:tc>
          <w:tcPr>
            <w:tcW w:w="2156" w:type="dxa"/>
            <w:vAlign w:val="center"/>
          </w:tcPr>
          <w:p>
            <w:pPr>
              <w:spacing w:line="280" w:lineRule="exact"/>
              <w:rPr>
                <w:rFonts w:hint="eastAsia" w:eastAsia="方正书宋_GBK"/>
                <w:b/>
                <w:snapToGrid w:val="0"/>
                <w:sz w:val="21"/>
                <w:szCs w:val="21"/>
              </w:rPr>
            </w:pPr>
            <w:r>
              <w:rPr>
                <w:rFonts w:hint="eastAsia" w:eastAsia="方正书宋_GBK"/>
                <w:snapToGrid w:val="0"/>
                <w:sz w:val="21"/>
                <w:szCs w:val="21"/>
              </w:rPr>
              <w:t>列入《广西保留为行政审批必要条件的中介服务事项目录》。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455" w:type="dxa"/>
            <w:vAlign w:val="center"/>
          </w:tcPr>
          <w:p>
            <w:pPr>
              <w:spacing w:line="280" w:lineRule="exact"/>
              <w:jc w:val="center"/>
              <w:rPr>
                <w:rFonts w:hint="eastAsia" w:eastAsia="方正书宋_GBK"/>
                <w:snapToGrid w:val="0"/>
                <w:sz w:val="21"/>
                <w:szCs w:val="21"/>
              </w:rPr>
            </w:pPr>
            <w:r>
              <w:rPr>
                <w:rFonts w:hint="eastAsia" w:eastAsia="方正书宋_GBK"/>
                <w:snapToGrid w:val="0"/>
                <w:sz w:val="21"/>
                <w:szCs w:val="21"/>
              </w:rPr>
              <w:t>8</w:t>
            </w:r>
          </w:p>
        </w:tc>
        <w:tc>
          <w:tcPr>
            <w:tcW w:w="136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外商投资企业股权变更时涉及国有资产转让的资产评估报告</w:t>
            </w:r>
          </w:p>
        </w:tc>
        <w:tc>
          <w:tcPr>
            <w:tcW w:w="1036"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权限内外商投资企业（含非独立法人分支机构）设立及变更的审批</w:t>
            </w:r>
          </w:p>
        </w:tc>
        <w:tc>
          <w:tcPr>
            <w:tcW w:w="112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自治区、设区市商务主管部门</w:t>
            </w:r>
          </w:p>
        </w:tc>
        <w:tc>
          <w:tcPr>
            <w:tcW w:w="2029"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《对外贸易经济合作部 国家工商行政管理局关于印发〈外商投资企业投资者股权变更的若干规定〉的通知》（〔1997〕外经贸法发第267号）</w:t>
            </w:r>
          </w:p>
        </w:tc>
        <w:tc>
          <w:tcPr>
            <w:tcW w:w="910" w:type="dxa"/>
            <w:vAlign w:val="center"/>
          </w:tcPr>
          <w:p>
            <w:pPr>
              <w:spacing w:line="280" w:lineRule="exact"/>
              <w:rPr>
                <w:rFonts w:hint="eastAsia" w:eastAsia="方正书宋_GBK"/>
                <w:snapToGrid w:val="0"/>
                <w:sz w:val="21"/>
                <w:szCs w:val="21"/>
              </w:rPr>
            </w:pPr>
            <w:r>
              <w:rPr>
                <w:rFonts w:hint="eastAsia" w:eastAsia="方正书宋_GBK"/>
                <w:snapToGrid w:val="0"/>
                <w:sz w:val="21"/>
                <w:szCs w:val="21"/>
              </w:rPr>
              <w:t>资产评估机构</w:t>
            </w:r>
          </w:p>
        </w:tc>
        <w:tc>
          <w:tcPr>
            <w:tcW w:w="2156" w:type="dxa"/>
            <w:vAlign w:val="center"/>
          </w:tcPr>
          <w:p>
            <w:pPr>
              <w:spacing w:line="280" w:lineRule="exact"/>
              <w:rPr>
                <w:rFonts w:hint="eastAsia" w:eastAsia="方正书宋_GBK"/>
                <w:b/>
                <w:snapToGrid w:val="0"/>
                <w:sz w:val="21"/>
                <w:szCs w:val="21"/>
              </w:rPr>
            </w:pPr>
            <w:r>
              <w:rPr>
                <w:rFonts w:hint="eastAsia" w:eastAsia="方正书宋_GBK"/>
                <w:snapToGrid w:val="0"/>
                <w:sz w:val="21"/>
                <w:szCs w:val="21"/>
              </w:rPr>
              <w:t>列入《广西保留为行政审批必要条件的中介服务事项目录》。</w:t>
            </w: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E6D0A"/>
    <w:rsid w:val="24171F74"/>
    <w:rsid w:val="72FE6D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2019-02-11T02:25:00Z</dcterms:created>
  <dc:creator>dengd</dc:creator>
  <cp:lastModifiedBy>dengd</cp:lastModifiedBy>
  <dcterms:modified xsi:type="dcterms:W3CDTF">2019-02-11T02:25:35Z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