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EECC0">
      <w:pPr>
        <w:rPr>
          <w:rFonts w:ascii="方正仿宋_GB2312" w:hAnsi="方正仿宋_GB2312" w:eastAsia="方正仿宋_GB2312" w:cs="方正仿宋_GB2312"/>
          <w:sz w:val="36"/>
          <w:szCs w:val="36"/>
        </w:rPr>
      </w:pPr>
    </w:p>
    <w:p w14:paraId="0B92614E">
      <w:pPr>
        <w:rPr>
          <w:rFonts w:ascii="方正仿宋_GB2312" w:hAnsi="方正仿宋_GB2312" w:eastAsia="方正仿宋_GB2312" w:cs="方正仿宋_GB2312"/>
          <w:sz w:val="36"/>
          <w:szCs w:val="36"/>
        </w:rPr>
      </w:pPr>
    </w:p>
    <w:p w14:paraId="6278478F">
      <w:pPr>
        <w:rPr>
          <w:rFonts w:ascii="方正仿宋_GB2312" w:hAnsi="方正仿宋_GB2312" w:eastAsia="方正仿宋_GB2312" w:cs="方正仿宋_GB2312"/>
          <w:sz w:val="36"/>
          <w:szCs w:val="36"/>
        </w:rPr>
      </w:pPr>
    </w:p>
    <w:p w14:paraId="61FB0392">
      <w:pPr>
        <w:rPr>
          <w:rFonts w:ascii="方正仿宋_GB2312" w:hAnsi="方正仿宋_GB2312" w:eastAsia="方正仿宋_GB2312" w:cs="方正仿宋_GB2312"/>
          <w:sz w:val="36"/>
          <w:szCs w:val="36"/>
        </w:rPr>
      </w:pPr>
    </w:p>
    <w:p w14:paraId="21420F0C">
      <w:pPr>
        <w:rPr>
          <w:rFonts w:ascii="方正仿宋_GB2312" w:hAnsi="方正仿宋_GB2312" w:eastAsia="方正仿宋_GB2312" w:cs="方正仿宋_GB2312"/>
          <w:sz w:val="36"/>
          <w:szCs w:val="36"/>
        </w:rPr>
      </w:pPr>
    </w:p>
    <w:p w14:paraId="490B0E75">
      <w:pPr>
        <w:adjustRightInd w:val="0"/>
        <w:snapToGrid w:val="0"/>
        <w:jc w:val="center"/>
        <w:outlineLvl w:val="0"/>
        <w:rPr>
          <w:rFonts w:ascii="方正小标宋_GBK" w:eastAsia="方正小标宋_GBK"/>
          <w:bCs/>
          <w:sz w:val="72"/>
          <w:szCs w:val="72"/>
        </w:rPr>
      </w:pPr>
      <w:bookmarkStart w:id="0" w:name="_Toc66883318"/>
      <w:r>
        <w:rPr>
          <w:rFonts w:hint="eastAsia" w:ascii="方正小标宋_GBK" w:eastAsia="方正小标宋_GBK"/>
          <w:bCs/>
          <w:sz w:val="72"/>
          <w:szCs w:val="72"/>
        </w:rPr>
        <w:t>建设项目环境影响报告表</w:t>
      </w:r>
      <w:bookmarkEnd w:id="0"/>
    </w:p>
    <w:p w14:paraId="0E93537D">
      <w:pPr>
        <w:adjustRightInd w:val="0"/>
        <w:snapToGrid w:val="0"/>
        <w:spacing w:before="192" w:beforeLines="80"/>
        <w:jc w:val="center"/>
        <w:rPr>
          <w:rFonts w:hint="eastAsia" w:ascii="方正楷体_GB2312" w:eastAsia="方正楷体_GB2312"/>
          <w:bCs/>
          <w:sz w:val="48"/>
          <w:szCs w:val="48"/>
        </w:rPr>
      </w:pPr>
      <w:r>
        <w:rPr>
          <w:rFonts w:hint="eastAsia" w:ascii="方正楷体_GB2312" w:eastAsia="方正楷体_GB2312"/>
          <w:bCs/>
          <w:sz w:val="48"/>
          <w:szCs w:val="48"/>
        </w:rPr>
        <w:t>（污染影响类）</w:t>
      </w:r>
    </w:p>
    <w:p w14:paraId="3415D9C4">
      <w:pPr>
        <w:adjustRightInd w:val="0"/>
        <w:snapToGrid w:val="0"/>
        <w:spacing w:before="192" w:beforeLines="80"/>
        <w:jc w:val="center"/>
        <w:rPr>
          <w:rFonts w:hint="eastAsia" w:ascii="方正楷体_GB2312" w:eastAsia="方正楷体_GB2312"/>
          <w:bCs/>
          <w:sz w:val="48"/>
          <w:szCs w:val="48"/>
          <w:lang w:eastAsia="zh-CN"/>
        </w:rPr>
      </w:pPr>
      <w:r>
        <w:rPr>
          <w:rFonts w:hint="eastAsia" w:ascii="方正楷体_GB2312" w:eastAsia="方正楷体_GB2312"/>
          <w:bCs/>
          <w:sz w:val="48"/>
          <w:szCs w:val="48"/>
          <w:lang w:eastAsia="zh-CN"/>
        </w:rPr>
        <w:t>（</w:t>
      </w:r>
      <w:r>
        <w:rPr>
          <w:rFonts w:hint="eastAsia" w:ascii="方正楷体_GB2312" w:eastAsia="方正楷体_GB2312"/>
          <w:bCs/>
          <w:sz w:val="48"/>
          <w:szCs w:val="48"/>
          <w:lang w:val="en-US" w:eastAsia="zh-CN"/>
        </w:rPr>
        <w:t>公示本</w:t>
      </w:r>
      <w:r>
        <w:rPr>
          <w:rFonts w:hint="eastAsia" w:ascii="方正楷体_GB2312" w:eastAsia="方正楷体_GB2312"/>
          <w:bCs/>
          <w:sz w:val="48"/>
          <w:szCs w:val="48"/>
          <w:lang w:eastAsia="zh-CN"/>
        </w:rPr>
        <w:t>）</w:t>
      </w:r>
    </w:p>
    <w:p w14:paraId="003A2842"/>
    <w:p w14:paraId="17213FCD">
      <w:pPr>
        <w:ind w:firstLine="1040"/>
        <w:rPr>
          <w:rFonts w:eastAsia="仿宋"/>
          <w:sz w:val="44"/>
          <w:szCs w:val="44"/>
        </w:rPr>
      </w:pPr>
    </w:p>
    <w:p w14:paraId="68E37956">
      <w:pPr>
        <w:ind w:firstLine="1040"/>
        <w:rPr>
          <w:rFonts w:eastAsia="仿宋"/>
          <w:sz w:val="44"/>
          <w:szCs w:val="44"/>
        </w:rPr>
      </w:pPr>
    </w:p>
    <w:p w14:paraId="43C415A8">
      <w:pPr>
        <w:ind w:firstLine="1040"/>
        <w:rPr>
          <w:rFonts w:eastAsia="仿宋"/>
          <w:sz w:val="44"/>
          <w:szCs w:val="44"/>
        </w:rPr>
      </w:pPr>
    </w:p>
    <w:p w14:paraId="6408C16D">
      <w:pPr>
        <w:ind w:firstLine="1040"/>
        <w:rPr>
          <w:rFonts w:eastAsia="仿宋"/>
          <w:sz w:val="44"/>
          <w:szCs w:val="44"/>
        </w:rPr>
      </w:pPr>
    </w:p>
    <w:p w14:paraId="2E192B71">
      <w:pPr>
        <w:ind w:firstLine="1040"/>
        <w:rPr>
          <w:rFonts w:eastAsia="仿宋"/>
          <w:sz w:val="44"/>
          <w:szCs w:val="44"/>
        </w:rPr>
      </w:pPr>
    </w:p>
    <w:p w14:paraId="4198316A">
      <w:pPr>
        <w:pStyle w:val="22"/>
        <w:ind w:left="0" w:leftChars="0" w:firstLine="0" w:firstLineChars="0"/>
        <w:rPr>
          <w:rFonts w:eastAsia="仿宋"/>
          <w:sz w:val="44"/>
          <w:szCs w:val="44"/>
        </w:rPr>
      </w:pPr>
    </w:p>
    <w:p w14:paraId="138251A9"/>
    <w:p w14:paraId="34FE8828">
      <w:pPr>
        <w:adjustRightInd w:val="0"/>
        <w:snapToGrid w:val="0"/>
        <w:spacing w:line="288" w:lineRule="auto"/>
        <w:ind w:firstLine="1080" w:firstLineChars="300"/>
        <w:rPr>
          <w:rFonts w:asciiTheme="minorEastAsia" w:hAnsiTheme="minorEastAsia" w:eastAsiaTheme="minorEastAsia"/>
          <w:sz w:val="36"/>
          <w:szCs w:val="36"/>
        </w:rPr>
      </w:pPr>
      <w:r>
        <w:rPr>
          <w:rFonts w:hint="eastAsia" w:asciiTheme="minorEastAsia" w:hAnsiTheme="minorEastAsia" w:eastAsiaTheme="minorEastAsia"/>
          <w:sz w:val="36"/>
          <w:szCs w:val="36"/>
        </w:rPr>
        <w:t>项目名称：</w:t>
      </w:r>
      <w:r>
        <w:rPr>
          <w:rFonts w:hint="eastAsia" w:asciiTheme="minorEastAsia" w:hAnsiTheme="minorEastAsia" w:eastAsiaTheme="minorEastAsia"/>
          <w:sz w:val="36"/>
          <w:szCs w:val="36"/>
          <w:u w:val="single"/>
        </w:rPr>
        <w:t>除尘灰综合回收利用项目</w:t>
      </w:r>
    </w:p>
    <w:p w14:paraId="2E98BAF0">
      <w:pPr>
        <w:adjustRightInd w:val="0"/>
        <w:snapToGrid w:val="0"/>
        <w:spacing w:line="288" w:lineRule="auto"/>
        <w:ind w:firstLine="1080" w:firstLineChars="300"/>
        <w:rPr>
          <w:rFonts w:asciiTheme="minorEastAsia" w:hAnsiTheme="minorEastAsia" w:eastAsiaTheme="minorEastAsia"/>
          <w:sz w:val="36"/>
          <w:szCs w:val="36"/>
          <w:u w:val="single"/>
        </w:rPr>
      </w:pPr>
      <w:r>
        <w:rPr>
          <w:rFonts w:hint="eastAsia" w:asciiTheme="minorEastAsia" w:hAnsiTheme="minorEastAsia" w:eastAsiaTheme="minorEastAsia"/>
          <w:sz w:val="36"/>
          <w:szCs w:val="36"/>
        </w:rPr>
        <w:t>建设单位：</w:t>
      </w:r>
      <w:r>
        <w:rPr>
          <w:rFonts w:hint="eastAsia" w:asciiTheme="minorEastAsia" w:hAnsiTheme="minorEastAsia" w:eastAsiaTheme="minorEastAsia"/>
          <w:sz w:val="36"/>
          <w:szCs w:val="36"/>
          <w:u w:val="single"/>
        </w:rPr>
        <w:t>广西盛隆冶金有限公司</w:t>
      </w:r>
    </w:p>
    <w:p w14:paraId="0CC4FE7F">
      <w:pPr>
        <w:adjustRightInd w:val="0"/>
        <w:snapToGrid w:val="0"/>
        <w:spacing w:line="288" w:lineRule="auto"/>
        <w:ind w:firstLine="1080" w:firstLineChars="300"/>
        <w:rPr>
          <w:rFonts w:asciiTheme="minorEastAsia" w:hAnsiTheme="minorEastAsia" w:eastAsiaTheme="minorEastAsia"/>
          <w:sz w:val="36"/>
          <w:szCs w:val="36"/>
          <w:u w:val="single"/>
        </w:rPr>
      </w:pPr>
      <w:r>
        <w:rPr>
          <w:rFonts w:hint="eastAsia" w:asciiTheme="minorEastAsia" w:hAnsiTheme="minorEastAsia" w:eastAsiaTheme="minorEastAsia"/>
          <w:sz w:val="36"/>
          <w:szCs w:val="36"/>
        </w:rPr>
        <w:t>编制日期：</w:t>
      </w:r>
      <w:r>
        <w:rPr>
          <w:rFonts w:hint="eastAsia" w:asciiTheme="minorEastAsia" w:hAnsiTheme="minorEastAsia" w:eastAsiaTheme="minorEastAsia"/>
          <w:sz w:val="36"/>
          <w:szCs w:val="36"/>
          <w:u w:val="single"/>
        </w:rPr>
        <w:t>202</w:t>
      </w:r>
      <w:r>
        <w:rPr>
          <w:rFonts w:hint="eastAsia" w:asciiTheme="minorEastAsia" w:hAnsiTheme="minorEastAsia" w:eastAsiaTheme="minorEastAsia"/>
          <w:sz w:val="36"/>
          <w:szCs w:val="36"/>
          <w:u w:val="single"/>
          <w:lang w:val="en-US" w:eastAsia="zh-CN"/>
        </w:rPr>
        <w:t>6</w:t>
      </w:r>
      <w:r>
        <w:rPr>
          <w:rFonts w:hint="eastAsia" w:asciiTheme="minorEastAsia" w:hAnsiTheme="minorEastAsia" w:eastAsiaTheme="minorEastAsia"/>
          <w:sz w:val="36"/>
          <w:szCs w:val="36"/>
          <w:u w:val="single"/>
        </w:rPr>
        <w:t>年</w:t>
      </w:r>
      <w:r>
        <w:rPr>
          <w:rFonts w:hint="eastAsia" w:asciiTheme="minorEastAsia" w:hAnsiTheme="minorEastAsia" w:eastAsiaTheme="minorEastAsia"/>
          <w:sz w:val="36"/>
          <w:szCs w:val="36"/>
          <w:u w:val="single"/>
          <w:lang w:val="en-US" w:eastAsia="zh-CN"/>
        </w:rPr>
        <w:t>1</w:t>
      </w:r>
      <w:r>
        <w:rPr>
          <w:rFonts w:hint="eastAsia" w:asciiTheme="minorEastAsia" w:hAnsiTheme="minorEastAsia" w:eastAsiaTheme="minorEastAsia"/>
          <w:sz w:val="36"/>
          <w:szCs w:val="36"/>
          <w:u w:val="single"/>
        </w:rPr>
        <w:t>月</w:t>
      </w:r>
    </w:p>
    <w:p w14:paraId="07B7A073">
      <w:pPr>
        <w:adjustRightInd w:val="0"/>
        <w:snapToGrid w:val="0"/>
        <w:spacing w:line="288" w:lineRule="auto"/>
        <w:ind w:firstLine="1040"/>
        <w:rPr>
          <w:rFonts w:asciiTheme="minorEastAsia" w:hAnsiTheme="minorEastAsia" w:eastAsiaTheme="minorEastAsia"/>
          <w:sz w:val="36"/>
          <w:szCs w:val="36"/>
          <w:u w:val="single"/>
        </w:rPr>
      </w:pPr>
      <w:bookmarkStart w:id="1" w:name="_Hlk57884087"/>
    </w:p>
    <w:p w14:paraId="6407367D">
      <w:pPr>
        <w:adjustRightInd w:val="0"/>
        <w:snapToGrid w:val="0"/>
        <w:spacing w:line="288" w:lineRule="auto"/>
        <w:rPr>
          <w:rFonts w:ascii="方正仿宋_GB2312" w:eastAsia="方正仿宋_GB2312"/>
          <w:sz w:val="36"/>
          <w:szCs w:val="36"/>
        </w:rPr>
      </w:pPr>
    </w:p>
    <w:p w14:paraId="3FFD7D93">
      <w:pPr>
        <w:adjustRightInd w:val="0"/>
        <w:snapToGrid w:val="0"/>
        <w:spacing w:line="288" w:lineRule="auto"/>
        <w:rPr>
          <w:rFonts w:ascii="方正仿宋_GB2312" w:eastAsia="方正仿宋_GB2312"/>
          <w:sz w:val="36"/>
          <w:szCs w:val="36"/>
        </w:rPr>
      </w:pPr>
    </w:p>
    <w:bookmarkEnd w:id="1"/>
    <w:p w14:paraId="29D99706">
      <w:pPr>
        <w:adjustRightInd w:val="0"/>
        <w:snapToGrid w:val="0"/>
        <w:spacing w:line="288" w:lineRule="auto"/>
        <w:jc w:val="center"/>
        <w:rPr>
          <w:rFonts w:ascii="方正楷体_GB2312" w:eastAsia="方正楷体_GB2312"/>
          <w:sz w:val="36"/>
          <w:szCs w:val="36"/>
        </w:rPr>
      </w:pPr>
      <w:r>
        <w:rPr>
          <w:rFonts w:hint="eastAsia" w:ascii="方正楷体_GB2312" w:eastAsia="方正楷体_GB2312"/>
          <w:sz w:val="36"/>
          <w:szCs w:val="36"/>
        </w:rPr>
        <w:t>中华人民共和国生态环境部制</w:t>
      </w:r>
    </w:p>
    <w:p w14:paraId="5026CC35">
      <w:pPr>
        <w:adjustRightInd w:val="0"/>
        <w:snapToGrid w:val="0"/>
        <w:spacing w:line="288" w:lineRule="auto"/>
        <w:ind w:firstLine="1040"/>
        <w:rPr>
          <w:rFonts w:ascii="方正仿宋_GB2312" w:eastAsia="方正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1B415D92">
      <w:pPr>
        <w:tabs>
          <w:tab w:val="right" w:leader="dot" w:pos="8296"/>
        </w:tabs>
        <w:rPr>
          <w:b/>
          <w:sz w:val="28"/>
          <w:szCs w:val="28"/>
        </w:rPr>
      </w:pPr>
    </w:p>
    <w:p w14:paraId="056CFAAC">
      <w:pPr>
        <w:tabs>
          <w:tab w:val="right" w:leader="dot" w:pos="8296"/>
        </w:tabs>
        <w:jc w:val="center"/>
        <w:rPr>
          <w:b/>
          <w:sz w:val="28"/>
          <w:szCs w:val="28"/>
        </w:rPr>
      </w:pPr>
      <w:r>
        <w:rPr>
          <w:rFonts w:hint="eastAsia"/>
          <w:b/>
          <w:sz w:val="28"/>
          <w:szCs w:val="28"/>
        </w:rPr>
        <w:t>目录</w:t>
      </w:r>
    </w:p>
    <w:p w14:paraId="24F957D9">
      <w:pPr>
        <w:tabs>
          <w:tab w:val="right" w:leader="dot" w:pos="8296"/>
        </w:tabs>
        <w:rPr>
          <w:b/>
          <w:sz w:val="28"/>
          <w:szCs w:val="28"/>
        </w:rPr>
      </w:pPr>
    </w:p>
    <w:p w14:paraId="15A0AFC7">
      <w:pPr>
        <w:tabs>
          <w:tab w:val="right" w:leader="dot" w:pos="8296"/>
        </w:tabs>
        <w:jc w:val="center"/>
        <w:rPr>
          <w:sz w:val="24"/>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p>
    <w:p w14:paraId="5F1C0C2C">
      <w:pPr>
        <w:pStyle w:val="17"/>
        <w:tabs>
          <w:tab w:val="right" w:leader="dot" w:pos="8834"/>
        </w:tabs>
        <w:rPr>
          <w:rFonts w:ascii="Times New Roman" w:hAnsi="Times New Roman" w:cs="Times New Roman"/>
          <w:kern w:val="2"/>
          <w:sz w:val="24"/>
          <w:szCs w:val="24"/>
        </w:rPr>
      </w:pPr>
      <w:r>
        <w:fldChar w:fldCharType="begin"/>
      </w:r>
      <w:r>
        <w:instrText xml:space="preserve"> HYPERLINK \l "_Toc66883319" </w:instrText>
      </w:r>
      <w:r>
        <w:fldChar w:fldCharType="separate"/>
      </w:r>
      <w:r>
        <w:rPr>
          <w:rStyle w:val="28"/>
          <w:rFonts w:ascii="Times New Roman" w:hAnsi="Times New Roman" w:cs="Times New Roman"/>
          <w:kern w:val="44"/>
          <w:sz w:val="24"/>
          <w:szCs w:val="24"/>
        </w:rPr>
        <w:t>一、建设项目基本情况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_Toc66883319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47408D6">
      <w:pPr>
        <w:pStyle w:val="17"/>
        <w:tabs>
          <w:tab w:val="right" w:leader="dot" w:pos="8834"/>
        </w:tabs>
        <w:rPr>
          <w:rFonts w:ascii="Times New Roman" w:hAnsi="Times New Roman" w:cs="Times New Roman"/>
          <w:kern w:val="2"/>
          <w:sz w:val="24"/>
          <w:szCs w:val="24"/>
        </w:rPr>
      </w:pPr>
      <w:r>
        <w:fldChar w:fldCharType="begin"/>
      </w:r>
      <w:r>
        <w:instrText xml:space="preserve"> HYPERLINK \l "_Toc66883320" </w:instrText>
      </w:r>
      <w:r>
        <w:fldChar w:fldCharType="separate"/>
      </w:r>
      <w:r>
        <w:rPr>
          <w:rStyle w:val="28"/>
          <w:rFonts w:ascii="Times New Roman" w:hAnsi="Times New Roman" w:cs="Times New Roman"/>
          <w:kern w:val="44"/>
          <w:sz w:val="24"/>
          <w:szCs w:val="24"/>
        </w:rPr>
        <w:t>二、建设项目工程分析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_Toc66883320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B46B619">
      <w:pPr>
        <w:pStyle w:val="17"/>
        <w:tabs>
          <w:tab w:val="right" w:leader="dot" w:pos="8834"/>
        </w:tabs>
        <w:rPr>
          <w:rFonts w:ascii="Times New Roman" w:hAnsi="Times New Roman" w:cs="Times New Roman"/>
          <w:kern w:val="2"/>
          <w:sz w:val="24"/>
          <w:szCs w:val="24"/>
        </w:rPr>
      </w:pPr>
      <w:r>
        <w:fldChar w:fldCharType="begin"/>
      </w:r>
      <w:r>
        <w:instrText xml:space="preserve"> HYPERLINK \l "_Toc66883321" </w:instrText>
      </w:r>
      <w:r>
        <w:fldChar w:fldCharType="separate"/>
      </w:r>
      <w:r>
        <w:rPr>
          <w:rStyle w:val="28"/>
          <w:rFonts w:ascii="Times New Roman" w:hAnsi="Times New Roman" w:cs="Times New Roman"/>
          <w:kern w:val="44"/>
          <w:sz w:val="24"/>
          <w:szCs w:val="24"/>
        </w:rPr>
        <w:t>三、区域环境质量现状、环境保护目标及评价标准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_Toc66883321 \h </w:instrText>
      </w:r>
      <w:r>
        <w:rPr>
          <w:rFonts w:ascii="Times New Roman" w:hAnsi="Times New Roman" w:cs="Times New Roman"/>
          <w:sz w:val="24"/>
          <w:szCs w:val="24"/>
        </w:rPr>
        <w:fldChar w:fldCharType="separate"/>
      </w:r>
      <w:r>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5D97A17">
      <w:pPr>
        <w:pStyle w:val="17"/>
        <w:tabs>
          <w:tab w:val="right" w:leader="dot" w:pos="8834"/>
        </w:tabs>
        <w:rPr>
          <w:rFonts w:ascii="Times New Roman" w:hAnsi="Times New Roman" w:cs="Times New Roman"/>
          <w:kern w:val="2"/>
          <w:sz w:val="24"/>
          <w:szCs w:val="24"/>
        </w:rPr>
      </w:pPr>
      <w:r>
        <w:fldChar w:fldCharType="begin"/>
      </w:r>
      <w:r>
        <w:instrText xml:space="preserve"> HYPERLINK \l "_Toc66883322" </w:instrText>
      </w:r>
      <w:r>
        <w:fldChar w:fldCharType="separate"/>
      </w:r>
      <w:r>
        <w:rPr>
          <w:rStyle w:val="28"/>
          <w:rFonts w:ascii="Times New Roman" w:hAnsi="Times New Roman" w:cs="Times New Roman"/>
          <w:kern w:val="44"/>
          <w:sz w:val="24"/>
          <w:szCs w:val="24"/>
        </w:rPr>
        <w:t>四、主要环境影响和保护措施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_Toc66883322 \h </w:instrText>
      </w:r>
      <w:r>
        <w:rPr>
          <w:rFonts w:ascii="Times New Roman" w:hAnsi="Times New Roman" w:cs="Times New Roman"/>
          <w:sz w:val="24"/>
          <w:szCs w:val="24"/>
        </w:rPr>
        <w:fldChar w:fldCharType="separate"/>
      </w:r>
      <w:r>
        <w:rPr>
          <w:rFonts w:ascii="Times New Roman" w:hAnsi="Times New Roman" w:cs="Times New Roman"/>
          <w:sz w:val="24"/>
          <w:szCs w:val="24"/>
        </w:rPr>
        <w:t>50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36AC471">
      <w:pPr>
        <w:pStyle w:val="17"/>
        <w:tabs>
          <w:tab w:val="right" w:leader="dot" w:pos="8834"/>
        </w:tabs>
        <w:rPr>
          <w:rFonts w:ascii="Times New Roman" w:hAnsi="Times New Roman" w:cs="Times New Roman"/>
          <w:kern w:val="2"/>
          <w:sz w:val="24"/>
          <w:szCs w:val="24"/>
        </w:rPr>
      </w:pPr>
      <w:r>
        <w:fldChar w:fldCharType="begin"/>
      </w:r>
      <w:r>
        <w:instrText xml:space="preserve"> HYPERLINK \l "_Toc66883323" </w:instrText>
      </w:r>
      <w:r>
        <w:fldChar w:fldCharType="separate"/>
      </w:r>
      <w:r>
        <w:rPr>
          <w:rStyle w:val="28"/>
          <w:rFonts w:ascii="Times New Roman" w:hAnsi="Times New Roman" w:cs="Times New Roman"/>
          <w:kern w:val="44"/>
          <w:sz w:val="24"/>
          <w:szCs w:val="24"/>
        </w:rPr>
        <w:t>五、环境保护措施监督检查清单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_Toc66883323 \h </w:instrText>
      </w:r>
      <w:r>
        <w:rPr>
          <w:rFonts w:ascii="Times New Roman" w:hAnsi="Times New Roman" w:cs="Times New Roman"/>
          <w:sz w:val="24"/>
          <w:szCs w:val="24"/>
        </w:rPr>
        <w:fldChar w:fldCharType="separate"/>
      </w:r>
      <w:r>
        <w:rPr>
          <w:rFonts w:ascii="Times New Roman" w:hAnsi="Times New Roman" w:cs="Times New Roman"/>
          <w:sz w:val="24"/>
          <w:szCs w:val="24"/>
        </w:rPr>
        <w:t>68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A4035A">
      <w:pPr>
        <w:pStyle w:val="17"/>
        <w:tabs>
          <w:tab w:val="right" w:leader="dot" w:pos="8834"/>
        </w:tabs>
        <w:rPr>
          <w:rFonts w:ascii="Times New Roman" w:hAnsi="Times New Roman" w:cs="Times New Roman"/>
          <w:kern w:val="2"/>
          <w:sz w:val="24"/>
          <w:szCs w:val="24"/>
        </w:rPr>
      </w:pPr>
      <w:r>
        <w:fldChar w:fldCharType="begin"/>
      </w:r>
      <w:r>
        <w:instrText xml:space="preserve"> HYPERLINK \l "_Toc66883324" </w:instrText>
      </w:r>
      <w:r>
        <w:fldChar w:fldCharType="separate"/>
      </w:r>
      <w:r>
        <w:rPr>
          <w:rStyle w:val="28"/>
          <w:rFonts w:ascii="Times New Roman" w:hAnsi="Times New Roman" w:cs="Times New Roman"/>
          <w:kern w:val="44"/>
          <w:sz w:val="24"/>
          <w:szCs w:val="24"/>
        </w:rPr>
        <w:t>六、结论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_Toc66883324 \h </w:instrText>
      </w:r>
      <w:r>
        <w:rPr>
          <w:rFonts w:ascii="Times New Roman" w:hAnsi="Times New Roman" w:cs="Times New Roman"/>
          <w:sz w:val="24"/>
          <w:szCs w:val="24"/>
        </w:rPr>
        <w:fldChar w:fldCharType="separate"/>
      </w:r>
      <w:r>
        <w:rPr>
          <w:rFonts w:ascii="Times New Roman" w:hAnsi="Times New Roman" w:cs="Times New Roman"/>
          <w:sz w:val="24"/>
          <w:szCs w:val="24"/>
        </w:rPr>
        <w:t>69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3B8987E">
      <w:pPr>
        <w:pStyle w:val="17"/>
        <w:tabs>
          <w:tab w:val="right" w:leader="dot" w:pos="8834"/>
        </w:tabs>
        <w:rPr>
          <w:kern w:val="2"/>
          <w:sz w:val="21"/>
        </w:rPr>
      </w:pPr>
      <w:r>
        <w:fldChar w:fldCharType="begin"/>
      </w:r>
      <w:r>
        <w:instrText xml:space="preserve"> HYPERLINK \l "_Toc66883325" </w:instrText>
      </w:r>
      <w:r>
        <w:fldChar w:fldCharType="separate"/>
      </w:r>
      <w:r>
        <w:rPr>
          <w:rStyle w:val="28"/>
          <w:rFonts w:ascii="Times New Roman" w:hAnsi="Times New Roman" w:cs="Times New Roman"/>
          <w:kern w:val="44"/>
          <w:sz w:val="24"/>
          <w:szCs w:val="24"/>
        </w:rPr>
        <w:t>附表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_Toc66883325 \h </w:instrText>
      </w:r>
      <w:r>
        <w:rPr>
          <w:rFonts w:ascii="Times New Roman" w:hAnsi="Times New Roman" w:cs="Times New Roman"/>
          <w:sz w:val="24"/>
          <w:szCs w:val="24"/>
        </w:rPr>
        <w:fldChar w:fldCharType="separate"/>
      </w:r>
      <w:r>
        <w:rPr>
          <w:rFonts w:ascii="Times New Roman" w:hAnsi="Times New Roman" w:cs="Times New Roman"/>
          <w:sz w:val="24"/>
          <w:szCs w:val="24"/>
        </w:rPr>
        <w:t>70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3FC4AB">
      <w:pPr>
        <w:spacing w:line="400" w:lineRule="exact"/>
        <w:ind w:left="967" w:leftChars="314" w:hanging="308" w:hangingChars="110"/>
        <w:jc w:val="left"/>
        <w:rPr>
          <w:rFonts w:hint="default" w:hAnsi="宋体" w:eastAsia="宋体"/>
          <w:sz w:val="24"/>
          <w:lang w:val="en-US" w:eastAsia="zh-CN"/>
        </w:rPr>
      </w:pPr>
      <w:r>
        <w:rPr>
          <w:rFonts w:ascii="宋体" w:hAnsi="宋体"/>
          <w:sz w:val="28"/>
          <w:szCs w:val="28"/>
        </w:rPr>
        <w:fldChar w:fldCharType="end"/>
      </w:r>
    </w:p>
    <w:p w14:paraId="05641EBA">
      <w:pPr>
        <w:spacing w:line="400" w:lineRule="exact"/>
        <w:ind w:left="923" w:leftChars="314" w:hanging="264" w:hangingChars="110"/>
        <w:jc w:val="left"/>
        <w:rPr>
          <w:rFonts w:hAnsi="宋体"/>
          <w:sz w:val="24"/>
        </w:rPr>
      </w:pPr>
    </w:p>
    <w:p w14:paraId="2E7638DD">
      <w:pPr>
        <w:spacing w:line="400" w:lineRule="exact"/>
        <w:ind w:left="923" w:leftChars="314" w:hanging="264" w:hangingChars="110"/>
        <w:jc w:val="left"/>
        <w:rPr>
          <w:rFonts w:hAnsi="宋体"/>
          <w:sz w:val="24"/>
        </w:rPr>
      </w:pPr>
    </w:p>
    <w:p w14:paraId="2EF764AB">
      <w:pPr>
        <w:spacing w:line="400" w:lineRule="exact"/>
        <w:jc w:val="left"/>
        <w:rPr>
          <w:rFonts w:hAnsi="宋体"/>
          <w:bCs/>
          <w:sz w:val="24"/>
        </w:rPr>
      </w:pPr>
    </w:p>
    <w:p w14:paraId="32C10B15">
      <w:pPr>
        <w:tabs>
          <w:tab w:val="left" w:pos="3225"/>
        </w:tabs>
        <w:spacing w:line="500" w:lineRule="exact"/>
        <w:outlineLvl w:val="0"/>
        <w:rPr>
          <w:rFonts w:ascii="Calibri" w:hAnsi="Calibri" w:cs="Arial"/>
          <w:b/>
          <w:kern w:val="44"/>
          <w:sz w:val="28"/>
          <w:szCs w:val="28"/>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bookmarkStart w:id="2" w:name="_Toc66883319"/>
    </w:p>
    <w:p w14:paraId="62C6807A">
      <w:pPr>
        <w:rPr>
          <w:rFonts w:hint="eastAsia" w:ascii="Calibri" w:hAnsi="Calibri" w:cs="Arial"/>
          <w:b/>
          <w:kern w:val="44"/>
          <w:sz w:val="28"/>
          <w:szCs w:val="28"/>
        </w:rPr>
      </w:pPr>
      <w:r>
        <w:rPr>
          <w:rFonts w:hint="eastAsia" w:ascii="Calibri" w:hAnsi="Calibri" w:cs="Arial"/>
          <w:b/>
          <w:kern w:val="44"/>
          <w:sz w:val="28"/>
          <w:szCs w:val="28"/>
        </w:rPr>
        <w:br w:type="page"/>
      </w:r>
    </w:p>
    <w:p w14:paraId="7C78E166">
      <w:pPr>
        <w:tabs>
          <w:tab w:val="left" w:pos="3225"/>
        </w:tabs>
        <w:spacing w:line="500" w:lineRule="exact"/>
        <w:outlineLvl w:val="0"/>
        <w:rPr>
          <w:rFonts w:ascii="Calibri" w:hAnsi="Calibri" w:cs="Arial"/>
          <w:b/>
          <w:kern w:val="44"/>
          <w:sz w:val="28"/>
          <w:szCs w:val="28"/>
        </w:rPr>
      </w:pPr>
      <w:bookmarkStart w:id="12" w:name="_GoBack"/>
      <w:bookmarkEnd w:id="12"/>
      <w:r>
        <w:rPr>
          <w:rFonts w:hint="eastAsia" w:ascii="Calibri" w:hAnsi="Calibri" w:cs="Arial"/>
          <w:b/>
          <w:kern w:val="44"/>
          <w:sz w:val="28"/>
          <w:szCs w:val="28"/>
        </w:rPr>
        <w:t>一、建设项目基本情况</w:t>
      </w:r>
      <w:bookmarkEnd w:id="2"/>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40"/>
        <w:gridCol w:w="1879"/>
        <w:gridCol w:w="2212"/>
        <w:gridCol w:w="2639"/>
      </w:tblGrid>
      <w:tr w14:paraId="430AB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14:paraId="1138DD51">
            <w:pPr>
              <w:adjustRightInd w:val="0"/>
              <w:snapToGrid w:val="0"/>
              <w:jc w:val="center"/>
              <w:rPr>
                <w:rFonts w:ascii="宋体" w:hAnsi="宋体" w:cs="宋体"/>
                <w:szCs w:val="21"/>
              </w:rPr>
            </w:pPr>
            <w:r>
              <w:rPr>
                <w:rFonts w:hint="eastAsia" w:ascii="宋体" w:hAnsi="宋体" w:cs="宋体"/>
                <w:szCs w:val="21"/>
              </w:rPr>
              <w:t>建设项目名称</w:t>
            </w:r>
          </w:p>
        </w:tc>
        <w:tc>
          <w:tcPr>
            <w:tcW w:w="6730" w:type="dxa"/>
            <w:gridSpan w:val="3"/>
            <w:vAlign w:val="center"/>
          </w:tcPr>
          <w:p w14:paraId="4016F660">
            <w:pPr>
              <w:adjustRightInd w:val="0"/>
              <w:snapToGrid w:val="0"/>
              <w:jc w:val="center"/>
              <w:rPr>
                <w:rFonts w:hint="default" w:eastAsiaTheme="minorEastAsia"/>
                <w:szCs w:val="21"/>
                <w:lang w:val="en-US" w:eastAsia="zh-CN"/>
              </w:rPr>
            </w:pPr>
            <w:r>
              <w:rPr>
                <w:rFonts w:hint="eastAsia" w:eastAsiaTheme="minorEastAsia"/>
                <w:szCs w:val="21"/>
                <w:lang w:val="en-US" w:eastAsia="zh-CN"/>
              </w:rPr>
              <w:t>除尘灰综合回收利用项目</w:t>
            </w:r>
          </w:p>
        </w:tc>
      </w:tr>
      <w:tr w14:paraId="49BD0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14:paraId="234CF932">
            <w:pPr>
              <w:adjustRightInd w:val="0"/>
              <w:snapToGrid w:val="0"/>
              <w:jc w:val="center"/>
              <w:rPr>
                <w:rFonts w:ascii="宋体" w:hAnsi="宋体" w:cs="宋体"/>
                <w:szCs w:val="21"/>
              </w:rPr>
            </w:pPr>
            <w:r>
              <w:rPr>
                <w:rFonts w:hint="eastAsia" w:ascii="宋体" w:hAnsi="宋体" w:cs="宋体"/>
                <w:szCs w:val="21"/>
              </w:rPr>
              <w:t>项目代码</w:t>
            </w:r>
          </w:p>
        </w:tc>
        <w:tc>
          <w:tcPr>
            <w:tcW w:w="6730" w:type="dxa"/>
            <w:gridSpan w:val="3"/>
            <w:vAlign w:val="center"/>
          </w:tcPr>
          <w:p w14:paraId="244AFF77">
            <w:pPr>
              <w:adjustRightInd w:val="0"/>
              <w:snapToGrid w:val="0"/>
              <w:jc w:val="center"/>
              <w:rPr>
                <w:rFonts w:hint="default" w:eastAsia="宋体"/>
                <w:szCs w:val="21"/>
                <w:lang w:val="en-US" w:eastAsia="zh-CN"/>
              </w:rPr>
            </w:pPr>
            <w:r>
              <w:rPr>
                <w:rFonts w:hint="eastAsia"/>
                <w:szCs w:val="21"/>
                <w:lang w:val="en-US" w:eastAsia="zh-CN"/>
              </w:rPr>
              <w:t>2512</w:t>
            </w:r>
            <w:r>
              <w:rPr>
                <w:szCs w:val="21"/>
              </w:rPr>
              <w:t>-450600-07-02-</w:t>
            </w:r>
            <w:r>
              <w:rPr>
                <w:rFonts w:hint="eastAsia"/>
                <w:szCs w:val="21"/>
                <w:lang w:val="en-US" w:eastAsia="zh-CN"/>
              </w:rPr>
              <w:t>789144</w:t>
            </w:r>
          </w:p>
        </w:tc>
      </w:tr>
      <w:tr w14:paraId="376A4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14:paraId="16DC2681">
            <w:pPr>
              <w:adjustRightInd w:val="0"/>
              <w:snapToGrid w:val="0"/>
              <w:jc w:val="center"/>
              <w:rPr>
                <w:rFonts w:ascii="宋体" w:hAnsi="宋体" w:cs="宋体"/>
                <w:szCs w:val="21"/>
              </w:rPr>
            </w:pPr>
            <w:r>
              <w:rPr>
                <w:rFonts w:hint="eastAsia" w:ascii="宋体" w:hAnsi="宋体" w:cs="宋体"/>
                <w:szCs w:val="21"/>
              </w:rPr>
              <w:t>建设单位联系人</w:t>
            </w:r>
          </w:p>
        </w:tc>
        <w:tc>
          <w:tcPr>
            <w:tcW w:w="1879" w:type="dxa"/>
            <w:vAlign w:val="center"/>
          </w:tcPr>
          <w:p w14:paraId="18B9CF89">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梁振波</w:t>
            </w:r>
          </w:p>
        </w:tc>
        <w:tc>
          <w:tcPr>
            <w:tcW w:w="2212" w:type="dxa"/>
            <w:vAlign w:val="center"/>
          </w:tcPr>
          <w:p w14:paraId="662CA5C3">
            <w:pPr>
              <w:adjustRightInd w:val="0"/>
              <w:snapToGrid w:val="0"/>
              <w:jc w:val="center"/>
              <w:rPr>
                <w:rFonts w:ascii="宋体" w:hAnsi="宋体" w:cs="宋体"/>
                <w:szCs w:val="21"/>
              </w:rPr>
            </w:pPr>
            <w:r>
              <w:rPr>
                <w:rFonts w:hint="eastAsia" w:ascii="宋体" w:hAnsi="宋体" w:cs="宋体"/>
                <w:szCs w:val="21"/>
              </w:rPr>
              <w:t>联系方式</w:t>
            </w:r>
          </w:p>
        </w:tc>
        <w:tc>
          <w:tcPr>
            <w:tcW w:w="2639" w:type="dxa"/>
            <w:vAlign w:val="center"/>
          </w:tcPr>
          <w:p w14:paraId="1F76CE11">
            <w:pPr>
              <w:adjustRightInd w:val="0"/>
              <w:snapToGrid w:val="0"/>
              <w:jc w:val="center"/>
              <w:rPr>
                <w:rFonts w:hint="default" w:eastAsia="宋体"/>
                <w:szCs w:val="21"/>
                <w:lang w:val="en-US" w:eastAsia="zh-CN"/>
              </w:rPr>
            </w:pPr>
            <w:r>
              <w:rPr>
                <w:rFonts w:hint="eastAsia"/>
                <w:szCs w:val="21"/>
                <w:lang w:val="en-US" w:eastAsia="zh-CN"/>
              </w:rPr>
              <w:t>18587602001</w:t>
            </w:r>
          </w:p>
        </w:tc>
      </w:tr>
      <w:tr w14:paraId="44A4A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14:paraId="6B5F25AE">
            <w:pPr>
              <w:adjustRightInd w:val="0"/>
              <w:snapToGrid w:val="0"/>
              <w:jc w:val="center"/>
              <w:rPr>
                <w:rFonts w:ascii="宋体" w:hAnsi="宋体" w:cs="宋体"/>
                <w:szCs w:val="21"/>
              </w:rPr>
            </w:pPr>
            <w:r>
              <w:rPr>
                <w:rFonts w:hint="eastAsia" w:ascii="宋体" w:hAnsi="宋体" w:cs="宋体"/>
                <w:szCs w:val="21"/>
              </w:rPr>
              <w:t>建设地点</w:t>
            </w:r>
          </w:p>
        </w:tc>
        <w:tc>
          <w:tcPr>
            <w:tcW w:w="6730" w:type="dxa"/>
            <w:gridSpan w:val="3"/>
            <w:vAlign w:val="center"/>
          </w:tcPr>
          <w:p w14:paraId="1A866E72">
            <w:pPr>
              <w:adjustRightInd w:val="0"/>
              <w:snapToGrid w:val="0"/>
              <w:jc w:val="center"/>
              <w:rPr>
                <w:szCs w:val="21"/>
              </w:rPr>
            </w:pPr>
            <w:r>
              <w:rPr>
                <w:rFonts w:hint="eastAsia"/>
                <w:szCs w:val="21"/>
              </w:rPr>
              <w:t>广西壮族自治区防城港市港口区公车镇广西盛隆冶金有限公司厂区内</w:t>
            </w:r>
          </w:p>
        </w:tc>
      </w:tr>
      <w:tr w14:paraId="56B2C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14:paraId="4BEBDD32">
            <w:pPr>
              <w:adjustRightInd w:val="0"/>
              <w:snapToGrid w:val="0"/>
              <w:jc w:val="center"/>
              <w:rPr>
                <w:rFonts w:ascii="宋体" w:hAnsi="宋体" w:cs="宋体"/>
                <w:szCs w:val="21"/>
              </w:rPr>
            </w:pPr>
            <w:r>
              <w:rPr>
                <w:rFonts w:hint="eastAsia" w:ascii="宋体" w:hAnsi="宋体" w:cs="宋体"/>
                <w:szCs w:val="21"/>
              </w:rPr>
              <w:t>地理坐标</w:t>
            </w:r>
          </w:p>
        </w:tc>
        <w:tc>
          <w:tcPr>
            <w:tcW w:w="6730" w:type="dxa"/>
            <w:gridSpan w:val="3"/>
            <w:vAlign w:val="center"/>
          </w:tcPr>
          <w:p w14:paraId="17063EEA">
            <w:pPr>
              <w:jc w:val="center"/>
              <w:rPr>
                <w:szCs w:val="21"/>
              </w:rPr>
            </w:pPr>
            <w:r>
              <w:rPr>
                <w:szCs w:val="21"/>
              </w:rPr>
              <w:t>（</w:t>
            </w:r>
            <w:r>
              <w:rPr>
                <w:szCs w:val="21"/>
                <w:highlight w:val="none"/>
              </w:rPr>
              <w:t>经度：</w:t>
            </w:r>
            <w:r>
              <w:rPr>
                <w:rFonts w:hint="eastAsia"/>
                <w:szCs w:val="21"/>
                <w:highlight w:val="none"/>
              </w:rPr>
              <w:t>108.407624</w:t>
            </w:r>
            <w:r>
              <w:rPr>
                <w:szCs w:val="21"/>
                <w:highlight w:val="none"/>
              </w:rPr>
              <w:t>，纬度：</w:t>
            </w:r>
            <w:r>
              <w:rPr>
                <w:rFonts w:hint="eastAsia"/>
                <w:szCs w:val="21"/>
                <w:highlight w:val="none"/>
              </w:rPr>
              <w:t>21.680570</w:t>
            </w:r>
            <w:r>
              <w:rPr>
                <w:szCs w:val="21"/>
              </w:rPr>
              <w:t>）</w:t>
            </w:r>
          </w:p>
        </w:tc>
      </w:tr>
      <w:tr w14:paraId="1CB9B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140" w:type="dxa"/>
            <w:tcMar>
              <w:top w:w="16" w:type="dxa"/>
              <w:left w:w="16" w:type="dxa"/>
              <w:right w:w="16" w:type="dxa"/>
            </w:tcMar>
            <w:vAlign w:val="center"/>
          </w:tcPr>
          <w:p w14:paraId="148B1B90">
            <w:pPr>
              <w:adjustRightInd w:val="0"/>
              <w:snapToGrid w:val="0"/>
              <w:jc w:val="center"/>
              <w:rPr>
                <w:rFonts w:ascii="宋体" w:hAnsi="宋体" w:cs="宋体"/>
                <w:szCs w:val="21"/>
              </w:rPr>
            </w:pPr>
            <w:r>
              <w:rPr>
                <w:rFonts w:hint="eastAsia" w:ascii="宋体" w:hAnsi="宋体" w:cs="宋体"/>
                <w:szCs w:val="21"/>
              </w:rPr>
              <w:t>国民经济</w:t>
            </w:r>
          </w:p>
          <w:p w14:paraId="7F5A2CE0">
            <w:pPr>
              <w:adjustRightInd w:val="0"/>
              <w:snapToGrid w:val="0"/>
              <w:jc w:val="center"/>
              <w:rPr>
                <w:rFonts w:ascii="宋体" w:hAnsi="宋体" w:cs="宋体"/>
                <w:szCs w:val="21"/>
              </w:rPr>
            </w:pPr>
            <w:r>
              <w:rPr>
                <w:rFonts w:hint="eastAsia" w:ascii="宋体" w:hAnsi="宋体" w:cs="宋体"/>
                <w:szCs w:val="21"/>
              </w:rPr>
              <w:t>行业类别</w:t>
            </w:r>
          </w:p>
        </w:tc>
        <w:tc>
          <w:tcPr>
            <w:tcW w:w="1879" w:type="dxa"/>
            <w:vAlign w:val="center"/>
          </w:tcPr>
          <w:p w14:paraId="410FB88B">
            <w:pPr>
              <w:adjustRightInd w:val="0"/>
              <w:snapToGrid w:val="0"/>
              <w:jc w:val="center"/>
              <w:rPr>
                <w:szCs w:val="21"/>
              </w:rPr>
            </w:pPr>
            <w:r>
              <w:rPr>
                <w:rFonts w:hint="eastAsia"/>
                <w:szCs w:val="21"/>
                <w:lang w:val="en-US" w:eastAsia="zh-CN"/>
              </w:rPr>
              <w:t>N7723</w:t>
            </w:r>
            <w:r>
              <w:rPr>
                <w:rFonts w:hint="eastAsia"/>
                <w:szCs w:val="21"/>
              </w:rPr>
              <w:t>固体废物治理</w:t>
            </w:r>
          </w:p>
        </w:tc>
        <w:tc>
          <w:tcPr>
            <w:tcW w:w="2212" w:type="dxa"/>
            <w:vAlign w:val="center"/>
          </w:tcPr>
          <w:p w14:paraId="04430A58">
            <w:pPr>
              <w:adjustRightInd w:val="0"/>
              <w:snapToGrid w:val="0"/>
              <w:jc w:val="center"/>
              <w:rPr>
                <w:szCs w:val="21"/>
              </w:rPr>
            </w:pPr>
            <w:bookmarkStart w:id="3" w:name="_Hlk49843745"/>
            <w:r>
              <w:rPr>
                <w:szCs w:val="21"/>
              </w:rPr>
              <w:t>建设项目</w:t>
            </w:r>
          </w:p>
          <w:p w14:paraId="3F2DB797">
            <w:pPr>
              <w:adjustRightInd w:val="0"/>
              <w:snapToGrid w:val="0"/>
              <w:jc w:val="center"/>
              <w:rPr>
                <w:szCs w:val="21"/>
              </w:rPr>
            </w:pPr>
            <w:r>
              <w:rPr>
                <w:szCs w:val="21"/>
              </w:rPr>
              <w:t>行业类别</w:t>
            </w:r>
            <w:bookmarkEnd w:id="3"/>
          </w:p>
        </w:tc>
        <w:tc>
          <w:tcPr>
            <w:tcW w:w="2639" w:type="dxa"/>
            <w:vAlign w:val="center"/>
          </w:tcPr>
          <w:p w14:paraId="4C5CB992">
            <w:pPr>
              <w:adjustRightInd w:val="0"/>
              <w:snapToGrid w:val="0"/>
              <w:jc w:val="center"/>
              <w:rPr>
                <w:szCs w:val="21"/>
              </w:rPr>
            </w:pPr>
            <w:r>
              <w:rPr>
                <w:rFonts w:hint="eastAsia"/>
                <w:szCs w:val="21"/>
                <w:lang w:val="en-US" w:eastAsia="zh-CN"/>
              </w:rPr>
              <w:t>四十七</w:t>
            </w:r>
            <w:r>
              <w:rPr>
                <w:szCs w:val="21"/>
              </w:rPr>
              <w:t>、</w:t>
            </w:r>
            <w:r>
              <w:rPr>
                <w:rFonts w:hint="eastAsia"/>
                <w:szCs w:val="21"/>
                <w:lang w:val="en-US" w:eastAsia="zh-CN"/>
              </w:rPr>
              <w:t>生态保护和环境治理业</w:t>
            </w:r>
            <w:r>
              <w:rPr>
                <w:rFonts w:hint="eastAsia"/>
                <w:szCs w:val="21"/>
              </w:rPr>
              <w:t>-</w:t>
            </w:r>
            <w:r>
              <w:rPr>
                <w:rFonts w:hint="eastAsia"/>
                <w:szCs w:val="21"/>
                <w:lang w:val="en-US" w:eastAsia="zh-CN"/>
              </w:rPr>
              <w:t>103一般工业固体废物</w:t>
            </w:r>
            <w:r>
              <w:rPr>
                <w:rFonts w:hint="eastAsia"/>
                <w:szCs w:val="21"/>
              </w:rPr>
              <w:t xml:space="preserve"> -其他</w:t>
            </w:r>
          </w:p>
        </w:tc>
      </w:tr>
      <w:tr w14:paraId="580BF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40" w:type="dxa"/>
            <w:tcMar>
              <w:top w:w="16" w:type="dxa"/>
              <w:left w:w="16" w:type="dxa"/>
              <w:right w:w="16" w:type="dxa"/>
            </w:tcMar>
            <w:vAlign w:val="center"/>
          </w:tcPr>
          <w:p w14:paraId="41707D35">
            <w:pPr>
              <w:adjustRightInd w:val="0"/>
              <w:snapToGrid w:val="0"/>
              <w:jc w:val="center"/>
              <w:rPr>
                <w:rFonts w:ascii="宋体" w:hAnsi="宋体" w:cs="宋体"/>
                <w:szCs w:val="21"/>
              </w:rPr>
            </w:pPr>
            <w:r>
              <w:rPr>
                <w:rFonts w:hint="eastAsia" w:ascii="宋体" w:hAnsi="宋体" w:cs="宋体"/>
                <w:szCs w:val="21"/>
              </w:rPr>
              <w:t>建设性质</w:t>
            </w:r>
          </w:p>
        </w:tc>
        <w:tc>
          <w:tcPr>
            <w:tcW w:w="1879" w:type="dxa"/>
            <w:vAlign w:val="center"/>
          </w:tcPr>
          <w:p w14:paraId="5A773828">
            <w:pPr>
              <w:jc w:val="left"/>
              <w:rPr>
                <w:rFonts w:ascii="宋体" w:hAnsi="宋体" w:cs="宋体"/>
                <w:szCs w:val="21"/>
              </w:rPr>
            </w:pPr>
            <w:r>
              <w:rPr>
                <w:rFonts w:hint="eastAsia" w:ascii="宋体" w:hAnsi="宋体" w:cs="宋体"/>
                <w:szCs w:val="21"/>
              </w:rPr>
              <w:t>□新建（迁建）</w:t>
            </w:r>
          </w:p>
          <w:p w14:paraId="4B891D04">
            <w:pPr>
              <w:jc w:val="left"/>
              <w:rPr>
                <w:rFonts w:ascii="宋体" w:hAnsi="宋体" w:cs="宋体"/>
                <w:szCs w:val="21"/>
              </w:rPr>
            </w:pPr>
            <w:r>
              <w:rPr>
                <w:rFonts w:hint="eastAsia" w:ascii="宋体" w:hAnsi="宋体" w:cs="宋体"/>
                <w:szCs w:val="21"/>
              </w:rPr>
              <w:t>■扩建</w:t>
            </w:r>
          </w:p>
          <w:p w14:paraId="2008B371">
            <w:pPr>
              <w:jc w:val="left"/>
              <w:rPr>
                <w:rFonts w:ascii="宋体" w:hAnsi="宋体" w:cs="宋体"/>
                <w:szCs w:val="21"/>
              </w:rPr>
            </w:pPr>
            <w:r>
              <w:rPr>
                <w:rFonts w:hint="eastAsia" w:ascii="宋体" w:hAnsi="宋体" w:cs="宋体"/>
                <w:szCs w:val="21"/>
              </w:rPr>
              <w:t>□改建</w:t>
            </w:r>
          </w:p>
          <w:p w14:paraId="3DF11ADF">
            <w:pPr>
              <w:jc w:val="left"/>
              <w:rPr>
                <w:rFonts w:ascii="宋体" w:hAnsi="宋体" w:cs="宋体"/>
                <w:szCs w:val="21"/>
              </w:rPr>
            </w:pPr>
            <w:r>
              <w:rPr>
                <w:rFonts w:hint="eastAsia" w:ascii="宋体" w:hAnsi="宋体" w:cs="宋体"/>
                <w:szCs w:val="21"/>
              </w:rPr>
              <w:t>□技术改造</w:t>
            </w:r>
          </w:p>
        </w:tc>
        <w:tc>
          <w:tcPr>
            <w:tcW w:w="2212" w:type="dxa"/>
            <w:vAlign w:val="center"/>
          </w:tcPr>
          <w:p w14:paraId="24D1B9BB">
            <w:pPr>
              <w:adjustRightInd w:val="0"/>
              <w:snapToGrid w:val="0"/>
              <w:jc w:val="center"/>
              <w:rPr>
                <w:rFonts w:ascii="宋体" w:hAnsi="宋体" w:cs="宋体"/>
                <w:szCs w:val="21"/>
              </w:rPr>
            </w:pPr>
            <w:r>
              <w:rPr>
                <w:rFonts w:hint="eastAsia" w:ascii="宋体" w:hAnsi="宋体" w:cs="宋体"/>
                <w:szCs w:val="21"/>
              </w:rPr>
              <w:t>建设项目</w:t>
            </w:r>
          </w:p>
          <w:p w14:paraId="1F439525">
            <w:pPr>
              <w:adjustRightInd w:val="0"/>
              <w:snapToGrid w:val="0"/>
              <w:jc w:val="center"/>
              <w:rPr>
                <w:rFonts w:ascii="宋体" w:hAnsi="宋体" w:cs="宋体"/>
                <w:szCs w:val="21"/>
              </w:rPr>
            </w:pPr>
            <w:r>
              <w:rPr>
                <w:rFonts w:hint="eastAsia" w:ascii="宋体" w:hAnsi="宋体" w:cs="宋体"/>
                <w:szCs w:val="21"/>
              </w:rPr>
              <w:t>申报情形</w:t>
            </w:r>
          </w:p>
        </w:tc>
        <w:tc>
          <w:tcPr>
            <w:tcW w:w="2639" w:type="dxa"/>
            <w:vAlign w:val="center"/>
          </w:tcPr>
          <w:p w14:paraId="3A9163EB">
            <w:pPr>
              <w:jc w:val="left"/>
              <w:rPr>
                <w:rFonts w:ascii="宋体" w:hAnsi="宋体" w:cs="宋体"/>
                <w:szCs w:val="21"/>
              </w:rPr>
            </w:pPr>
            <w:r>
              <w:rPr>
                <w:rFonts w:hint="eastAsia" w:ascii="宋体" w:hAnsi="宋体" w:cs="宋体"/>
                <w:szCs w:val="21"/>
              </w:rPr>
              <w:t>■首次申报项目</w:t>
            </w:r>
            <w:r>
              <w:rPr>
                <w:rFonts w:ascii="宋体" w:hAnsi="宋体" w:cs="宋体"/>
                <w:szCs w:val="21"/>
              </w:rPr>
              <w:t xml:space="preserve">             </w:t>
            </w:r>
          </w:p>
          <w:p w14:paraId="4413EED2">
            <w:pPr>
              <w:jc w:val="left"/>
              <w:rPr>
                <w:rFonts w:ascii="宋体" w:hAnsi="宋体" w:cs="宋体"/>
                <w:szCs w:val="21"/>
              </w:rPr>
            </w:pPr>
            <w:r>
              <w:rPr>
                <w:rFonts w:hint="eastAsia" w:ascii="宋体" w:hAnsi="宋体" w:cs="宋体"/>
                <w:szCs w:val="21"/>
              </w:rPr>
              <w:t>□不予批准后再次申报项目</w:t>
            </w:r>
          </w:p>
          <w:p w14:paraId="02C9FEB4">
            <w:pPr>
              <w:jc w:val="left"/>
              <w:rPr>
                <w:rFonts w:ascii="宋体" w:hAnsi="宋体" w:cs="宋体"/>
                <w:szCs w:val="21"/>
              </w:rPr>
            </w:pPr>
            <w:r>
              <w:rPr>
                <w:rFonts w:hint="eastAsia" w:ascii="宋体" w:hAnsi="宋体" w:cs="宋体"/>
                <w:szCs w:val="21"/>
              </w:rPr>
              <w:t>□超五年重新审核项目</w:t>
            </w:r>
            <w:r>
              <w:rPr>
                <w:rFonts w:ascii="宋体" w:hAnsi="宋体" w:cs="宋体"/>
                <w:szCs w:val="21"/>
              </w:rPr>
              <w:t xml:space="preserve">     </w:t>
            </w:r>
          </w:p>
          <w:p w14:paraId="14A08948">
            <w:pPr>
              <w:jc w:val="left"/>
              <w:rPr>
                <w:rFonts w:ascii="宋体" w:hAnsi="宋体" w:cs="宋体"/>
                <w:szCs w:val="21"/>
              </w:rPr>
            </w:pPr>
            <w:r>
              <w:rPr>
                <w:rFonts w:hint="eastAsia" w:ascii="宋体" w:hAnsi="宋体" w:cs="宋体"/>
                <w:szCs w:val="21"/>
              </w:rPr>
              <w:t>□重大变动重新报批项目</w:t>
            </w:r>
          </w:p>
        </w:tc>
      </w:tr>
      <w:tr w14:paraId="549F7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40" w:type="dxa"/>
            <w:tcMar>
              <w:top w:w="16" w:type="dxa"/>
              <w:left w:w="16" w:type="dxa"/>
              <w:right w:w="16" w:type="dxa"/>
            </w:tcMar>
            <w:vAlign w:val="center"/>
          </w:tcPr>
          <w:p w14:paraId="2D2DBD49">
            <w:pPr>
              <w:adjustRightInd w:val="0"/>
              <w:snapToGrid w:val="0"/>
              <w:jc w:val="center"/>
              <w:rPr>
                <w:rFonts w:ascii="宋体" w:hAnsi="宋体" w:cs="宋体"/>
                <w:szCs w:val="21"/>
              </w:rPr>
            </w:pPr>
            <w:r>
              <w:rPr>
                <w:rFonts w:hint="eastAsia" w:ascii="宋体" w:hAnsi="宋体" w:cs="宋体"/>
                <w:szCs w:val="21"/>
              </w:rPr>
              <w:t>项目审批（核准</w:t>
            </w:r>
            <w:r>
              <w:rPr>
                <w:rFonts w:ascii="宋体" w:hAnsi="宋体" w:cs="宋体"/>
                <w:szCs w:val="21"/>
              </w:rPr>
              <w:t>/</w:t>
            </w:r>
          </w:p>
          <w:p w14:paraId="3E4CCB88">
            <w:pPr>
              <w:adjustRightInd w:val="0"/>
              <w:snapToGrid w:val="0"/>
              <w:jc w:val="center"/>
              <w:rPr>
                <w:rFonts w:ascii="宋体" w:hAnsi="宋体" w:cs="宋体"/>
                <w:szCs w:val="21"/>
              </w:rPr>
            </w:pPr>
            <w:r>
              <w:rPr>
                <w:rFonts w:hint="eastAsia" w:ascii="宋体" w:hAnsi="宋体" w:cs="宋体"/>
                <w:szCs w:val="21"/>
              </w:rPr>
              <w:t>备案）部门（选填）</w:t>
            </w:r>
          </w:p>
        </w:tc>
        <w:tc>
          <w:tcPr>
            <w:tcW w:w="1879" w:type="dxa"/>
            <w:vAlign w:val="center"/>
          </w:tcPr>
          <w:p w14:paraId="34871C3A">
            <w:pPr>
              <w:adjustRightInd w:val="0"/>
              <w:snapToGrid w:val="0"/>
              <w:jc w:val="center"/>
              <w:rPr>
                <w:rFonts w:ascii="宋体" w:hAnsi="宋体" w:cs="宋体"/>
                <w:szCs w:val="21"/>
              </w:rPr>
            </w:pPr>
            <w:r>
              <w:rPr>
                <w:rFonts w:hint="eastAsia" w:ascii="宋体" w:hAnsi="宋体" w:cs="宋体"/>
                <w:szCs w:val="21"/>
              </w:rPr>
              <w:t>防城港市工业和信息化局</w:t>
            </w:r>
          </w:p>
        </w:tc>
        <w:tc>
          <w:tcPr>
            <w:tcW w:w="2212" w:type="dxa"/>
            <w:vAlign w:val="center"/>
          </w:tcPr>
          <w:p w14:paraId="296847D3">
            <w:pPr>
              <w:adjustRightInd w:val="0"/>
              <w:snapToGrid w:val="0"/>
              <w:jc w:val="center"/>
              <w:rPr>
                <w:rFonts w:ascii="宋体" w:hAnsi="宋体" w:cs="宋体"/>
                <w:szCs w:val="21"/>
              </w:rPr>
            </w:pPr>
            <w:r>
              <w:rPr>
                <w:rFonts w:hint="eastAsia" w:ascii="宋体" w:hAnsi="宋体" w:cs="宋体"/>
                <w:szCs w:val="21"/>
              </w:rPr>
              <w:t>项目审批（核准</w:t>
            </w:r>
            <w:r>
              <w:rPr>
                <w:rFonts w:ascii="宋体" w:hAnsi="宋体" w:cs="宋体"/>
                <w:szCs w:val="21"/>
              </w:rPr>
              <w:t>/</w:t>
            </w:r>
          </w:p>
          <w:p w14:paraId="02C7A8A3">
            <w:pPr>
              <w:adjustRightInd w:val="0"/>
              <w:snapToGrid w:val="0"/>
              <w:jc w:val="center"/>
              <w:rPr>
                <w:rFonts w:ascii="宋体" w:hAnsi="宋体" w:cs="宋体"/>
                <w:szCs w:val="21"/>
              </w:rPr>
            </w:pPr>
            <w:r>
              <w:rPr>
                <w:rFonts w:hint="eastAsia" w:ascii="宋体" w:hAnsi="宋体" w:cs="宋体"/>
                <w:szCs w:val="21"/>
              </w:rPr>
              <w:t>备案）文号（选填）</w:t>
            </w:r>
          </w:p>
        </w:tc>
        <w:tc>
          <w:tcPr>
            <w:tcW w:w="2639" w:type="dxa"/>
            <w:vAlign w:val="center"/>
          </w:tcPr>
          <w:p w14:paraId="36D3841C">
            <w:pPr>
              <w:adjustRightInd w:val="0"/>
              <w:snapToGrid w:val="0"/>
              <w:jc w:val="center"/>
              <w:rPr>
                <w:szCs w:val="21"/>
              </w:rPr>
            </w:pPr>
            <w:r>
              <w:rPr>
                <w:rFonts w:hint="eastAsia"/>
                <w:szCs w:val="21"/>
              </w:rPr>
              <w:t>2512-450600-07-02-789144</w:t>
            </w:r>
          </w:p>
        </w:tc>
      </w:tr>
      <w:tr w14:paraId="22A4F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14:paraId="38B9E28B">
            <w:pPr>
              <w:adjustRightInd w:val="0"/>
              <w:snapToGrid w:val="0"/>
              <w:jc w:val="center"/>
              <w:rPr>
                <w:szCs w:val="21"/>
              </w:rPr>
            </w:pPr>
            <w:r>
              <w:rPr>
                <w:szCs w:val="21"/>
              </w:rPr>
              <w:t>总投资（万元）</w:t>
            </w:r>
          </w:p>
        </w:tc>
        <w:tc>
          <w:tcPr>
            <w:tcW w:w="1879" w:type="dxa"/>
            <w:vAlign w:val="center"/>
          </w:tcPr>
          <w:p w14:paraId="343CAA0B">
            <w:pPr>
              <w:adjustRightInd w:val="0"/>
              <w:snapToGrid w:val="0"/>
              <w:jc w:val="center"/>
              <w:rPr>
                <w:rFonts w:hint="default" w:eastAsia="宋体"/>
                <w:szCs w:val="21"/>
                <w:highlight w:val="yellow"/>
                <w:lang w:val="en-US" w:eastAsia="zh-CN"/>
              </w:rPr>
            </w:pPr>
            <w:r>
              <w:rPr>
                <w:rFonts w:hint="eastAsia"/>
                <w:szCs w:val="21"/>
                <w:lang w:val="en-US" w:eastAsia="zh-CN"/>
              </w:rPr>
              <w:t>20000</w:t>
            </w:r>
          </w:p>
        </w:tc>
        <w:tc>
          <w:tcPr>
            <w:tcW w:w="2212" w:type="dxa"/>
            <w:tcMar>
              <w:top w:w="16" w:type="dxa"/>
              <w:left w:w="16" w:type="dxa"/>
              <w:right w:w="16" w:type="dxa"/>
            </w:tcMar>
            <w:vAlign w:val="center"/>
          </w:tcPr>
          <w:p w14:paraId="5B7332DB">
            <w:pPr>
              <w:adjustRightInd w:val="0"/>
              <w:snapToGrid w:val="0"/>
              <w:jc w:val="center"/>
              <w:rPr>
                <w:szCs w:val="21"/>
              </w:rPr>
            </w:pPr>
            <w:r>
              <w:rPr>
                <w:szCs w:val="21"/>
              </w:rPr>
              <w:t>环保投资（万元）</w:t>
            </w:r>
          </w:p>
        </w:tc>
        <w:tc>
          <w:tcPr>
            <w:tcW w:w="2639" w:type="dxa"/>
            <w:vAlign w:val="center"/>
          </w:tcPr>
          <w:p w14:paraId="0B0FB33E">
            <w:pPr>
              <w:adjustRightInd w:val="0"/>
              <w:snapToGrid w:val="0"/>
              <w:jc w:val="center"/>
              <w:rPr>
                <w:rFonts w:hint="default" w:eastAsia="宋体"/>
                <w:szCs w:val="21"/>
                <w:highlight w:val="yellow"/>
                <w:lang w:val="en-US" w:eastAsia="zh-CN"/>
              </w:rPr>
            </w:pPr>
            <w:r>
              <w:rPr>
                <w:rFonts w:hint="eastAsia"/>
                <w:szCs w:val="21"/>
                <w:highlight w:val="none"/>
                <w:lang w:val="en-US" w:eastAsia="zh-CN"/>
              </w:rPr>
              <w:t>133</w:t>
            </w:r>
          </w:p>
        </w:tc>
      </w:tr>
      <w:tr w14:paraId="477AB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14:paraId="59FAFAE2">
            <w:pPr>
              <w:adjustRightInd w:val="0"/>
              <w:snapToGrid w:val="0"/>
              <w:jc w:val="center"/>
              <w:rPr>
                <w:szCs w:val="21"/>
              </w:rPr>
            </w:pPr>
            <w:r>
              <w:rPr>
                <w:szCs w:val="21"/>
              </w:rPr>
              <w:t>环保投资占比（%）</w:t>
            </w:r>
          </w:p>
        </w:tc>
        <w:tc>
          <w:tcPr>
            <w:tcW w:w="1879" w:type="dxa"/>
            <w:vAlign w:val="center"/>
          </w:tcPr>
          <w:p w14:paraId="12BBF33B">
            <w:pPr>
              <w:adjustRightInd w:val="0"/>
              <w:snapToGrid w:val="0"/>
              <w:jc w:val="center"/>
              <w:rPr>
                <w:rFonts w:hint="default" w:eastAsia="宋体"/>
                <w:szCs w:val="21"/>
                <w:highlight w:val="yellow"/>
                <w:lang w:val="en-US" w:eastAsia="zh-CN"/>
              </w:rPr>
            </w:pPr>
            <w:r>
              <w:rPr>
                <w:rFonts w:hint="eastAsia"/>
                <w:szCs w:val="21"/>
                <w:highlight w:val="none"/>
                <w:lang w:val="en-US" w:eastAsia="zh-CN"/>
              </w:rPr>
              <w:t>0.67</w:t>
            </w:r>
          </w:p>
        </w:tc>
        <w:tc>
          <w:tcPr>
            <w:tcW w:w="2212" w:type="dxa"/>
            <w:tcMar>
              <w:top w:w="16" w:type="dxa"/>
              <w:left w:w="16" w:type="dxa"/>
              <w:right w:w="16" w:type="dxa"/>
            </w:tcMar>
            <w:vAlign w:val="center"/>
          </w:tcPr>
          <w:p w14:paraId="3FBA7787">
            <w:pPr>
              <w:adjustRightInd w:val="0"/>
              <w:snapToGrid w:val="0"/>
              <w:jc w:val="center"/>
              <w:rPr>
                <w:szCs w:val="21"/>
              </w:rPr>
            </w:pPr>
            <w:r>
              <w:rPr>
                <w:szCs w:val="21"/>
              </w:rPr>
              <w:t>施工工期</w:t>
            </w:r>
          </w:p>
        </w:tc>
        <w:tc>
          <w:tcPr>
            <w:tcW w:w="2639" w:type="dxa"/>
            <w:vAlign w:val="center"/>
          </w:tcPr>
          <w:p w14:paraId="4CDB0D53">
            <w:pPr>
              <w:adjustRightInd w:val="0"/>
              <w:snapToGrid w:val="0"/>
              <w:jc w:val="center"/>
              <w:rPr>
                <w:szCs w:val="21"/>
                <w:highlight w:val="yellow"/>
              </w:rPr>
            </w:pPr>
            <w:r>
              <w:rPr>
                <w:rFonts w:hint="eastAsia"/>
                <w:szCs w:val="21"/>
                <w:highlight w:val="none"/>
                <w:lang w:val="en-US" w:eastAsia="zh-CN"/>
              </w:rPr>
              <w:t>8</w:t>
            </w:r>
            <w:r>
              <w:rPr>
                <w:rFonts w:hint="eastAsia"/>
                <w:szCs w:val="21"/>
                <w:highlight w:val="none"/>
              </w:rPr>
              <w:t>个月</w:t>
            </w:r>
          </w:p>
        </w:tc>
      </w:tr>
      <w:tr w14:paraId="00B96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14:paraId="4D093663">
            <w:pPr>
              <w:adjustRightInd w:val="0"/>
              <w:snapToGrid w:val="0"/>
              <w:jc w:val="center"/>
              <w:rPr>
                <w:szCs w:val="21"/>
              </w:rPr>
            </w:pPr>
            <w:r>
              <w:rPr>
                <w:szCs w:val="21"/>
              </w:rPr>
              <w:t>是否开工建设</w:t>
            </w:r>
          </w:p>
        </w:tc>
        <w:tc>
          <w:tcPr>
            <w:tcW w:w="1879" w:type="dxa"/>
            <w:vAlign w:val="center"/>
          </w:tcPr>
          <w:p w14:paraId="75B46062">
            <w:pPr>
              <w:adjustRightInd w:val="0"/>
              <w:snapToGrid w:val="0"/>
              <w:rPr>
                <w:szCs w:val="21"/>
              </w:rPr>
            </w:pPr>
            <w:r>
              <w:rPr>
                <w:rFonts w:hint="eastAsia" w:ascii="宋体" w:hAnsi="宋体" w:cs="宋体"/>
                <w:szCs w:val="21"/>
              </w:rPr>
              <w:t>□</w:t>
            </w:r>
            <w:r>
              <w:rPr>
                <w:szCs w:val="21"/>
              </w:rPr>
              <w:t>否</w:t>
            </w:r>
          </w:p>
          <w:p w14:paraId="71693B6C">
            <w:pPr>
              <w:adjustRightInd w:val="0"/>
              <w:snapToGrid w:val="0"/>
              <w:rPr>
                <w:rFonts w:hint="default" w:eastAsia="宋体"/>
                <w:szCs w:val="21"/>
                <w:lang w:val="en-US" w:eastAsia="zh-CN"/>
              </w:rPr>
            </w:pPr>
            <w:r>
              <w:rPr>
                <w:rFonts w:hint="eastAsia" w:ascii="宋体" w:hAnsi="宋体" w:cs="宋体"/>
                <w:szCs w:val="21"/>
                <w:lang w:eastAsia="zh-CN"/>
              </w:rPr>
              <w:t>☑</w:t>
            </w:r>
            <w:r>
              <w:rPr>
                <w:szCs w:val="21"/>
              </w:rPr>
              <w:t>是：</w:t>
            </w:r>
            <w:r>
              <w:rPr>
                <w:rFonts w:hint="eastAsia"/>
                <w:szCs w:val="21"/>
                <w:lang w:val="en-US" w:eastAsia="zh-CN"/>
              </w:rPr>
              <w:t>项目电气综合楼已建设完成，主要生产设备正在安装中。</w:t>
            </w:r>
          </w:p>
        </w:tc>
        <w:tc>
          <w:tcPr>
            <w:tcW w:w="2212" w:type="dxa"/>
            <w:tcMar>
              <w:top w:w="16" w:type="dxa"/>
              <w:left w:w="16" w:type="dxa"/>
              <w:right w:w="16" w:type="dxa"/>
            </w:tcMar>
            <w:vAlign w:val="center"/>
          </w:tcPr>
          <w:p w14:paraId="233B38B2">
            <w:pPr>
              <w:adjustRightInd w:val="0"/>
              <w:snapToGrid w:val="0"/>
              <w:jc w:val="center"/>
              <w:rPr>
                <w:spacing w:val="-6"/>
                <w:szCs w:val="21"/>
              </w:rPr>
            </w:pPr>
            <w:r>
              <w:rPr>
                <w:spacing w:val="-6"/>
                <w:szCs w:val="21"/>
              </w:rPr>
              <w:t>用地面积（m</w:t>
            </w:r>
            <w:r>
              <w:rPr>
                <w:spacing w:val="-6"/>
                <w:szCs w:val="21"/>
                <w:vertAlign w:val="superscript"/>
              </w:rPr>
              <w:t>2</w:t>
            </w:r>
            <w:r>
              <w:rPr>
                <w:spacing w:val="-6"/>
                <w:szCs w:val="21"/>
              </w:rPr>
              <w:t>）</w:t>
            </w:r>
          </w:p>
        </w:tc>
        <w:tc>
          <w:tcPr>
            <w:tcW w:w="2639" w:type="dxa"/>
            <w:vAlign w:val="center"/>
          </w:tcPr>
          <w:p w14:paraId="13402316">
            <w:pPr>
              <w:adjustRightInd w:val="0"/>
              <w:snapToGrid w:val="0"/>
              <w:jc w:val="center"/>
              <w:rPr>
                <w:rFonts w:hint="default" w:eastAsia="宋体"/>
                <w:szCs w:val="21"/>
                <w:lang w:val="en-US" w:eastAsia="zh-CN"/>
              </w:rPr>
            </w:pPr>
            <w:r>
              <w:rPr>
                <w:rFonts w:hint="eastAsia"/>
                <w:szCs w:val="21"/>
                <w:lang w:val="en-US" w:eastAsia="zh-CN"/>
              </w:rPr>
              <w:t>20000</w:t>
            </w:r>
          </w:p>
        </w:tc>
      </w:tr>
      <w:tr w14:paraId="220BB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140" w:type="dxa"/>
            <w:vAlign w:val="center"/>
          </w:tcPr>
          <w:p w14:paraId="1C800CB1">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专项评价设置情况</w:t>
            </w:r>
          </w:p>
        </w:tc>
        <w:tc>
          <w:tcPr>
            <w:tcW w:w="6730" w:type="dxa"/>
            <w:gridSpan w:val="3"/>
            <w:vAlign w:val="center"/>
          </w:tcPr>
          <w:p w14:paraId="4EB349F5">
            <w:pPr>
              <w:autoSpaceDE w:val="0"/>
              <w:autoSpaceDN w:val="0"/>
              <w:adjustRightInd w:val="0"/>
              <w:snapToGrid w:val="0"/>
              <w:jc w:val="center"/>
              <w:rPr>
                <w:kern w:val="0"/>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4350"/>
              <w:gridCol w:w="932"/>
            </w:tblGrid>
            <w:tr w14:paraId="3DD4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2" w:type="dxa"/>
                  <w:tcBorders>
                    <w:tl2br w:val="nil"/>
                    <w:tr2bl w:val="nil"/>
                  </w:tcBorders>
                  <w:vAlign w:val="center"/>
                </w:tcPr>
                <w:p w14:paraId="0F00CBFF">
                  <w:pPr>
                    <w:widowControl/>
                    <w:jc w:val="center"/>
                    <w:rPr>
                      <w:bCs/>
                      <w:szCs w:val="21"/>
                    </w:rPr>
                  </w:pPr>
                  <w:r>
                    <w:rPr>
                      <w:rFonts w:hint="eastAsia"/>
                      <w:bCs/>
                      <w:szCs w:val="21"/>
                    </w:rPr>
                    <w:t>专项评价的类别</w:t>
                  </w:r>
                </w:p>
              </w:tc>
              <w:tc>
                <w:tcPr>
                  <w:tcW w:w="4350" w:type="dxa"/>
                  <w:tcBorders>
                    <w:tl2br w:val="nil"/>
                    <w:tr2bl w:val="nil"/>
                  </w:tcBorders>
                  <w:vAlign w:val="center"/>
                </w:tcPr>
                <w:p w14:paraId="4D30F10F">
                  <w:pPr>
                    <w:widowControl/>
                    <w:jc w:val="center"/>
                    <w:rPr>
                      <w:bCs/>
                      <w:szCs w:val="21"/>
                    </w:rPr>
                  </w:pPr>
                  <w:r>
                    <w:rPr>
                      <w:rFonts w:hint="eastAsia"/>
                      <w:bCs/>
                      <w:szCs w:val="21"/>
                    </w:rPr>
                    <w:t>设置原则</w:t>
                  </w:r>
                </w:p>
              </w:tc>
              <w:tc>
                <w:tcPr>
                  <w:tcW w:w="932" w:type="dxa"/>
                  <w:tcBorders>
                    <w:tl2br w:val="nil"/>
                    <w:tr2bl w:val="nil"/>
                  </w:tcBorders>
                  <w:vAlign w:val="center"/>
                </w:tcPr>
                <w:p w14:paraId="67377C84">
                  <w:pPr>
                    <w:widowControl/>
                    <w:jc w:val="center"/>
                    <w:rPr>
                      <w:bCs/>
                      <w:szCs w:val="21"/>
                    </w:rPr>
                  </w:pPr>
                  <w:r>
                    <w:rPr>
                      <w:rFonts w:hint="eastAsia"/>
                      <w:bCs/>
                      <w:szCs w:val="21"/>
                    </w:rPr>
                    <w:t>本项目情况</w:t>
                  </w:r>
                </w:p>
              </w:tc>
            </w:tr>
            <w:tr w14:paraId="7FDC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2" w:type="dxa"/>
                  <w:tcBorders>
                    <w:tl2br w:val="nil"/>
                    <w:tr2bl w:val="nil"/>
                  </w:tcBorders>
                  <w:vAlign w:val="center"/>
                </w:tcPr>
                <w:p w14:paraId="523E7EAB">
                  <w:pPr>
                    <w:widowControl/>
                    <w:jc w:val="center"/>
                    <w:rPr>
                      <w:bCs/>
                      <w:szCs w:val="21"/>
                    </w:rPr>
                  </w:pPr>
                  <w:r>
                    <w:rPr>
                      <w:rFonts w:hint="eastAsia"/>
                      <w:bCs/>
                      <w:szCs w:val="21"/>
                    </w:rPr>
                    <w:t>大气</w:t>
                  </w:r>
                </w:p>
              </w:tc>
              <w:tc>
                <w:tcPr>
                  <w:tcW w:w="4350" w:type="dxa"/>
                  <w:tcBorders>
                    <w:tl2br w:val="nil"/>
                    <w:tr2bl w:val="nil"/>
                  </w:tcBorders>
                  <w:vAlign w:val="center"/>
                </w:tcPr>
                <w:p w14:paraId="5AB83EDB">
                  <w:pPr>
                    <w:widowControl/>
                    <w:jc w:val="center"/>
                    <w:rPr>
                      <w:bCs/>
                      <w:szCs w:val="21"/>
                    </w:rPr>
                  </w:pPr>
                  <w:r>
                    <w:rPr>
                      <w:bCs/>
                      <w:szCs w:val="21"/>
                    </w:rPr>
                    <w:t>排放废气含有毒有害污染物、二噁英、苯并[a]芘、氰化物、氯气且厂界外500米范围内有环境空气保护目标的建设项目</w:t>
                  </w:r>
                </w:p>
              </w:tc>
              <w:tc>
                <w:tcPr>
                  <w:tcW w:w="932" w:type="dxa"/>
                  <w:tcBorders>
                    <w:tl2br w:val="nil"/>
                    <w:tr2bl w:val="nil"/>
                  </w:tcBorders>
                  <w:vAlign w:val="center"/>
                </w:tcPr>
                <w:p w14:paraId="35356938">
                  <w:pPr>
                    <w:widowControl/>
                    <w:jc w:val="center"/>
                    <w:rPr>
                      <w:bCs/>
                      <w:szCs w:val="21"/>
                    </w:rPr>
                  </w:pPr>
                  <w:r>
                    <w:rPr>
                      <w:rFonts w:hint="eastAsia"/>
                      <w:bCs/>
                      <w:szCs w:val="21"/>
                    </w:rPr>
                    <w:t>不涉及</w:t>
                  </w:r>
                </w:p>
              </w:tc>
            </w:tr>
            <w:tr w14:paraId="197F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2" w:type="dxa"/>
                  <w:tcBorders>
                    <w:tl2br w:val="nil"/>
                    <w:tr2bl w:val="nil"/>
                  </w:tcBorders>
                  <w:vAlign w:val="center"/>
                </w:tcPr>
                <w:p w14:paraId="400ACC30">
                  <w:pPr>
                    <w:widowControl/>
                    <w:jc w:val="center"/>
                    <w:rPr>
                      <w:bCs/>
                      <w:szCs w:val="21"/>
                    </w:rPr>
                  </w:pPr>
                  <w:r>
                    <w:rPr>
                      <w:rFonts w:hint="eastAsia"/>
                      <w:bCs/>
                      <w:szCs w:val="21"/>
                    </w:rPr>
                    <w:t>地表水</w:t>
                  </w:r>
                </w:p>
              </w:tc>
              <w:tc>
                <w:tcPr>
                  <w:tcW w:w="4350" w:type="dxa"/>
                  <w:tcBorders>
                    <w:tl2br w:val="nil"/>
                    <w:tr2bl w:val="nil"/>
                  </w:tcBorders>
                  <w:vAlign w:val="center"/>
                </w:tcPr>
                <w:p w14:paraId="3C6248DB">
                  <w:pPr>
                    <w:widowControl/>
                    <w:jc w:val="center"/>
                    <w:rPr>
                      <w:bCs/>
                      <w:szCs w:val="21"/>
                    </w:rPr>
                  </w:pPr>
                  <w:r>
                    <w:rPr>
                      <w:bCs/>
                      <w:szCs w:val="21"/>
                    </w:rPr>
                    <w:t>新增工业废水直排建设项目（槽罐车外送污水处理厂的除外）；新增废水直排的污水集中处理厂</w:t>
                  </w:r>
                </w:p>
              </w:tc>
              <w:tc>
                <w:tcPr>
                  <w:tcW w:w="932" w:type="dxa"/>
                  <w:tcBorders>
                    <w:tl2br w:val="nil"/>
                    <w:tr2bl w:val="nil"/>
                  </w:tcBorders>
                  <w:vAlign w:val="center"/>
                </w:tcPr>
                <w:p w14:paraId="16AC2B09">
                  <w:pPr>
                    <w:widowControl/>
                    <w:jc w:val="center"/>
                    <w:rPr>
                      <w:bCs/>
                      <w:szCs w:val="21"/>
                    </w:rPr>
                  </w:pPr>
                  <w:r>
                    <w:rPr>
                      <w:rFonts w:hint="eastAsia"/>
                      <w:bCs/>
                      <w:szCs w:val="21"/>
                    </w:rPr>
                    <w:t>不涉及</w:t>
                  </w:r>
                </w:p>
              </w:tc>
            </w:tr>
            <w:tr w14:paraId="0DCB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2" w:type="dxa"/>
                  <w:tcBorders>
                    <w:tl2br w:val="nil"/>
                    <w:tr2bl w:val="nil"/>
                  </w:tcBorders>
                  <w:vAlign w:val="center"/>
                </w:tcPr>
                <w:p w14:paraId="1DE81A41">
                  <w:pPr>
                    <w:widowControl/>
                    <w:jc w:val="center"/>
                    <w:rPr>
                      <w:bCs/>
                      <w:szCs w:val="21"/>
                    </w:rPr>
                  </w:pPr>
                  <w:r>
                    <w:rPr>
                      <w:rFonts w:hint="eastAsia"/>
                      <w:bCs/>
                      <w:szCs w:val="21"/>
                    </w:rPr>
                    <w:t>环境风险</w:t>
                  </w:r>
                </w:p>
              </w:tc>
              <w:tc>
                <w:tcPr>
                  <w:tcW w:w="4350" w:type="dxa"/>
                  <w:tcBorders>
                    <w:tl2br w:val="nil"/>
                    <w:tr2bl w:val="nil"/>
                  </w:tcBorders>
                  <w:vAlign w:val="center"/>
                </w:tcPr>
                <w:p w14:paraId="63B1080A">
                  <w:pPr>
                    <w:widowControl/>
                    <w:jc w:val="center"/>
                    <w:rPr>
                      <w:bCs/>
                      <w:szCs w:val="21"/>
                    </w:rPr>
                  </w:pPr>
                  <w:r>
                    <w:rPr>
                      <w:bCs/>
                      <w:szCs w:val="21"/>
                    </w:rPr>
                    <w:t>有毒有害和易燃易爆危险物质存储量超过临界量的建设项目</w:t>
                  </w:r>
                </w:p>
              </w:tc>
              <w:tc>
                <w:tcPr>
                  <w:tcW w:w="932" w:type="dxa"/>
                  <w:tcBorders>
                    <w:tl2br w:val="nil"/>
                    <w:tr2bl w:val="nil"/>
                  </w:tcBorders>
                  <w:vAlign w:val="center"/>
                </w:tcPr>
                <w:p w14:paraId="5E756E85">
                  <w:pPr>
                    <w:widowControl/>
                    <w:jc w:val="center"/>
                    <w:rPr>
                      <w:bCs/>
                      <w:szCs w:val="21"/>
                    </w:rPr>
                  </w:pPr>
                  <w:r>
                    <w:rPr>
                      <w:rFonts w:hint="eastAsia"/>
                      <w:bCs/>
                      <w:szCs w:val="21"/>
                    </w:rPr>
                    <w:t>不涉及</w:t>
                  </w:r>
                </w:p>
              </w:tc>
            </w:tr>
            <w:tr w14:paraId="7F10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2" w:type="dxa"/>
                  <w:tcBorders>
                    <w:tl2br w:val="nil"/>
                    <w:tr2bl w:val="nil"/>
                  </w:tcBorders>
                  <w:vAlign w:val="center"/>
                </w:tcPr>
                <w:p w14:paraId="2286B79E">
                  <w:pPr>
                    <w:widowControl/>
                    <w:jc w:val="center"/>
                    <w:rPr>
                      <w:bCs/>
                      <w:szCs w:val="21"/>
                    </w:rPr>
                  </w:pPr>
                  <w:r>
                    <w:rPr>
                      <w:rFonts w:hint="eastAsia"/>
                      <w:bCs/>
                      <w:szCs w:val="21"/>
                    </w:rPr>
                    <w:t>生态</w:t>
                  </w:r>
                </w:p>
              </w:tc>
              <w:tc>
                <w:tcPr>
                  <w:tcW w:w="4350" w:type="dxa"/>
                  <w:tcBorders>
                    <w:tl2br w:val="nil"/>
                    <w:tr2bl w:val="nil"/>
                  </w:tcBorders>
                  <w:vAlign w:val="center"/>
                </w:tcPr>
                <w:p w14:paraId="5275D822">
                  <w:pPr>
                    <w:widowControl/>
                    <w:jc w:val="center"/>
                    <w:rPr>
                      <w:bCs/>
                      <w:szCs w:val="21"/>
                    </w:rPr>
                  </w:pPr>
                  <w:r>
                    <w:rPr>
                      <w:bCs/>
                      <w:szCs w:val="21"/>
                    </w:rPr>
                    <w:t>取水口下游500米范围内有重要水生生物的自然产卵场、索饵场、越冬场和洄游通道的新增河道取水的污染类建设项目</w:t>
                  </w:r>
                </w:p>
              </w:tc>
              <w:tc>
                <w:tcPr>
                  <w:tcW w:w="932" w:type="dxa"/>
                  <w:tcBorders>
                    <w:tl2br w:val="nil"/>
                    <w:tr2bl w:val="nil"/>
                  </w:tcBorders>
                  <w:vAlign w:val="center"/>
                </w:tcPr>
                <w:p w14:paraId="30E7C8D1">
                  <w:pPr>
                    <w:widowControl/>
                    <w:jc w:val="center"/>
                    <w:rPr>
                      <w:bCs/>
                      <w:szCs w:val="21"/>
                    </w:rPr>
                  </w:pPr>
                  <w:r>
                    <w:rPr>
                      <w:rFonts w:hint="eastAsia"/>
                      <w:bCs/>
                      <w:szCs w:val="21"/>
                    </w:rPr>
                    <w:t>不涉及</w:t>
                  </w:r>
                </w:p>
              </w:tc>
            </w:tr>
            <w:tr w14:paraId="4CDB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2" w:type="dxa"/>
                  <w:tcBorders>
                    <w:tl2br w:val="nil"/>
                    <w:tr2bl w:val="nil"/>
                  </w:tcBorders>
                  <w:vAlign w:val="center"/>
                </w:tcPr>
                <w:p w14:paraId="1168A20D">
                  <w:pPr>
                    <w:widowControl/>
                    <w:jc w:val="center"/>
                    <w:rPr>
                      <w:bCs/>
                      <w:szCs w:val="21"/>
                    </w:rPr>
                  </w:pPr>
                  <w:r>
                    <w:rPr>
                      <w:rFonts w:hint="eastAsia"/>
                      <w:bCs/>
                      <w:szCs w:val="21"/>
                    </w:rPr>
                    <w:t>海洋</w:t>
                  </w:r>
                </w:p>
              </w:tc>
              <w:tc>
                <w:tcPr>
                  <w:tcW w:w="4350" w:type="dxa"/>
                  <w:tcBorders>
                    <w:tl2br w:val="nil"/>
                    <w:tr2bl w:val="nil"/>
                  </w:tcBorders>
                  <w:vAlign w:val="center"/>
                </w:tcPr>
                <w:p w14:paraId="3BC70CB5">
                  <w:pPr>
                    <w:widowControl/>
                    <w:jc w:val="center"/>
                    <w:rPr>
                      <w:bCs/>
                      <w:szCs w:val="21"/>
                    </w:rPr>
                  </w:pPr>
                  <w:r>
                    <w:rPr>
                      <w:bCs/>
                      <w:szCs w:val="21"/>
                    </w:rPr>
                    <w:t>直接向海排放污染物的海洋工程建设项目</w:t>
                  </w:r>
                </w:p>
              </w:tc>
              <w:tc>
                <w:tcPr>
                  <w:tcW w:w="932" w:type="dxa"/>
                  <w:tcBorders>
                    <w:tl2br w:val="nil"/>
                    <w:tr2bl w:val="nil"/>
                  </w:tcBorders>
                  <w:vAlign w:val="center"/>
                </w:tcPr>
                <w:p w14:paraId="1122D885">
                  <w:pPr>
                    <w:widowControl/>
                    <w:jc w:val="center"/>
                    <w:rPr>
                      <w:bCs/>
                      <w:szCs w:val="21"/>
                    </w:rPr>
                  </w:pPr>
                  <w:r>
                    <w:rPr>
                      <w:rFonts w:hint="eastAsia"/>
                      <w:bCs/>
                      <w:szCs w:val="21"/>
                    </w:rPr>
                    <w:t>不涉及</w:t>
                  </w:r>
                </w:p>
              </w:tc>
            </w:tr>
          </w:tbl>
          <w:p w14:paraId="2309A112">
            <w:pPr>
              <w:autoSpaceDE w:val="0"/>
              <w:autoSpaceDN w:val="0"/>
              <w:adjustRightInd w:val="0"/>
              <w:snapToGrid w:val="0"/>
              <w:jc w:val="center"/>
              <w:rPr>
                <w:kern w:val="0"/>
                <w:szCs w:val="21"/>
              </w:rPr>
            </w:pPr>
          </w:p>
        </w:tc>
      </w:tr>
      <w:tr w14:paraId="7834A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40" w:type="dxa"/>
            <w:vAlign w:val="center"/>
          </w:tcPr>
          <w:p w14:paraId="03A446DA">
            <w:pPr>
              <w:autoSpaceDE w:val="0"/>
              <w:autoSpaceDN w:val="0"/>
              <w:adjustRightInd w:val="0"/>
              <w:snapToGrid w:val="0"/>
              <w:jc w:val="center"/>
              <w:rPr>
                <w:kern w:val="0"/>
                <w:szCs w:val="21"/>
              </w:rPr>
            </w:pPr>
            <w:r>
              <w:rPr>
                <w:rFonts w:hint="eastAsia"/>
                <w:kern w:val="0"/>
                <w:szCs w:val="21"/>
              </w:rPr>
              <w:t>规划情况</w:t>
            </w:r>
          </w:p>
        </w:tc>
        <w:tc>
          <w:tcPr>
            <w:tcW w:w="6730" w:type="dxa"/>
            <w:gridSpan w:val="3"/>
            <w:vAlign w:val="center"/>
          </w:tcPr>
          <w:p w14:paraId="61E42570">
            <w:pPr>
              <w:spacing w:line="500" w:lineRule="atLeast"/>
              <w:ind w:firstLine="420" w:firstLineChars="200"/>
              <w:rPr>
                <w:rFonts w:hint="eastAsia"/>
                <w:szCs w:val="21"/>
              </w:rPr>
            </w:pPr>
            <w:r>
              <w:rPr>
                <w:rFonts w:hint="eastAsia"/>
                <w:szCs w:val="21"/>
              </w:rPr>
              <w:t>1.规划名称：《防城港市国土空间总体规划（2021—3035年）》</w:t>
            </w:r>
          </w:p>
          <w:p w14:paraId="70981EB6">
            <w:pPr>
              <w:spacing w:line="500" w:lineRule="atLeast"/>
              <w:ind w:firstLine="420" w:firstLineChars="200"/>
              <w:rPr>
                <w:rFonts w:hint="eastAsia" w:eastAsia="宋体"/>
                <w:szCs w:val="21"/>
                <w:lang w:eastAsia="zh-CN"/>
              </w:rPr>
            </w:pPr>
            <w:r>
              <w:rPr>
                <w:rFonts w:hint="eastAsia"/>
                <w:szCs w:val="21"/>
              </w:rPr>
              <w:t>召集审查机关：广西壮族自治区人民政府</w:t>
            </w:r>
            <w:r>
              <w:rPr>
                <w:rFonts w:hint="eastAsia"/>
                <w:szCs w:val="21"/>
                <w:lang w:eastAsia="zh-CN"/>
              </w:rPr>
              <w:t>；</w:t>
            </w:r>
          </w:p>
          <w:p w14:paraId="45E995B2">
            <w:pPr>
              <w:spacing w:line="500" w:lineRule="atLeast"/>
              <w:ind w:firstLine="420" w:firstLineChars="200"/>
              <w:rPr>
                <w:rFonts w:hint="eastAsia" w:eastAsia="宋体"/>
                <w:szCs w:val="21"/>
                <w:lang w:eastAsia="zh-CN"/>
              </w:rPr>
            </w:pPr>
            <w:r>
              <w:rPr>
                <w:rFonts w:hint="eastAsia"/>
                <w:szCs w:val="21"/>
              </w:rPr>
              <w:t>审批文号：广西壮族自治区人民政府关于《防城港市国土空间总体规划（2021—2035年）》的批复（桂政函〔2024〕16号）</w:t>
            </w:r>
            <w:r>
              <w:rPr>
                <w:rFonts w:hint="eastAsia"/>
                <w:szCs w:val="21"/>
                <w:lang w:eastAsia="zh-CN"/>
              </w:rPr>
              <w:t>。</w:t>
            </w:r>
          </w:p>
          <w:p w14:paraId="0FB6901F">
            <w:pPr>
              <w:spacing w:line="500" w:lineRule="atLeast"/>
              <w:ind w:firstLine="420" w:firstLineChars="200"/>
              <w:rPr>
                <w:rFonts w:hint="eastAsia"/>
                <w:szCs w:val="21"/>
              </w:rPr>
            </w:pPr>
            <w:r>
              <w:rPr>
                <w:rFonts w:hint="eastAsia"/>
                <w:szCs w:val="21"/>
              </w:rPr>
              <w:t>2.规划名称：《防城港经济技术开发区总体规划（2023—2035年）》</w:t>
            </w:r>
          </w:p>
          <w:p w14:paraId="0A8665E8">
            <w:pPr>
              <w:spacing w:line="500" w:lineRule="atLeast"/>
              <w:ind w:firstLine="420" w:firstLineChars="200"/>
              <w:rPr>
                <w:rFonts w:hint="eastAsia" w:eastAsia="宋体"/>
                <w:szCs w:val="21"/>
                <w:lang w:eastAsia="zh-CN"/>
              </w:rPr>
            </w:pPr>
            <w:r>
              <w:rPr>
                <w:rFonts w:hint="eastAsia"/>
                <w:szCs w:val="21"/>
              </w:rPr>
              <w:t>召集审查机关：广西防城港港口区人民政府</w:t>
            </w:r>
            <w:r>
              <w:rPr>
                <w:rFonts w:hint="eastAsia"/>
                <w:szCs w:val="21"/>
                <w:lang w:eastAsia="zh-CN"/>
              </w:rPr>
              <w:t>；</w:t>
            </w:r>
          </w:p>
          <w:p w14:paraId="78EC515A">
            <w:pPr>
              <w:spacing w:line="500" w:lineRule="atLeast"/>
              <w:ind w:firstLine="420" w:firstLineChars="200"/>
              <w:rPr>
                <w:rFonts w:hint="eastAsia" w:eastAsia="宋体"/>
                <w:kern w:val="0"/>
                <w:szCs w:val="21"/>
                <w:lang w:eastAsia="zh-CN"/>
              </w:rPr>
            </w:pPr>
            <w:r>
              <w:rPr>
                <w:rFonts w:hint="eastAsia"/>
                <w:szCs w:val="21"/>
              </w:rPr>
              <w:t>审批文号：防城港市人民政府关于同意《防城港经济技术开发区总体规划</w:t>
            </w:r>
            <w:r>
              <w:rPr>
                <w:rFonts w:hint="eastAsia"/>
                <w:szCs w:val="21"/>
                <w:lang w:eastAsia="zh-CN"/>
              </w:rPr>
              <w:t>（</w:t>
            </w:r>
            <w:r>
              <w:rPr>
                <w:rFonts w:hint="eastAsia"/>
                <w:szCs w:val="21"/>
              </w:rPr>
              <w:t>2023—2035</w:t>
            </w:r>
            <w:r>
              <w:rPr>
                <w:rFonts w:hint="eastAsia"/>
                <w:szCs w:val="21"/>
                <w:lang w:eastAsia="zh-CN"/>
              </w:rPr>
              <w:t>）</w:t>
            </w:r>
            <w:r>
              <w:rPr>
                <w:rFonts w:hint="eastAsia"/>
                <w:szCs w:val="21"/>
              </w:rPr>
              <w:t>年)》的批复（防政函〔2024〕153号）</w:t>
            </w:r>
            <w:r>
              <w:rPr>
                <w:rFonts w:hint="eastAsia"/>
                <w:szCs w:val="21"/>
                <w:lang w:eastAsia="zh-CN"/>
              </w:rPr>
              <w:t>。</w:t>
            </w:r>
          </w:p>
        </w:tc>
      </w:tr>
      <w:tr w14:paraId="26E6A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140" w:type="dxa"/>
            <w:vAlign w:val="center"/>
          </w:tcPr>
          <w:p w14:paraId="79193E8F">
            <w:pPr>
              <w:autoSpaceDE w:val="0"/>
              <w:autoSpaceDN w:val="0"/>
              <w:adjustRightInd w:val="0"/>
              <w:snapToGrid w:val="0"/>
              <w:jc w:val="center"/>
              <w:rPr>
                <w:kern w:val="0"/>
                <w:szCs w:val="21"/>
              </w:rPr>
            </w:pPr>
            <w:r>
              <w:rPr>
                <w:rFonts w:hint="eastAsia"/>
                <w:kern w:val="0"/>
                <w:szCs w:val="21"/>
              </w:rPr>
              <w:t>规划环境影响</w:t>
            </w:r>
          </w:p>
          <w:p w14:paraId="3AD3A88C">
            <w:pPr>
              <w:autoSpaceDE w:val="0"/>
              <w:autoSpaceDN w:val="0"/>
              <w:adjustRightInd w:val="0"/>
              <w:snapToGrid w:val="0"/>
              <w:jc w:val="center"/>
              <w:rPr>
                <w:kern w:val="0"/>
                <w:szCs w:val="21"/>
              </w:rPr>
            </w:pPr>
            <w:r>
              <w:rPr>
                <w:rFonts w:hint="eastAsia"/>
                <w:kern w:val="0"/>
                <w:szCs w:val="21"/>
              </w:rPr>
              <w:t>评价情况</w:t>
            </w:r>
          </w:p>
        </w:tc>
        <w:tc>
          <w:tcPr>
            <w:tcW w:w="6730" w:type="dxa"/>
            <w:gridSpan w:val="3"/>
            <w:vAlign w:val="center"/>
          </w:tcPr>
          <w:p w14:paraId="7C73B63D">
            <w:pPr>
              <w:spacing w:line="500" w:lineRule="atLeas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规划名称：</w:t>
            </w:r>
            <w:r>
              <w:rPr>
                <w:rFonts w:hint="eastAsia" w:ascii="Times New Roman" w:hAnsi="Times New Roman" w:eastAsia="宋体" w:cs="Times New Roman"/>
                <w:szCs w:val="21"/>
              </w:rPr>
              <w:t>《</w:t>
            </w:r>
            <w:r>
              <w:rPr>
                <w:rFonts w:hint="default" w:ascii="Times New Roman" w:hAnsi="Times New Roman" w:eastAsia="宋体" w:cs="Times New Roman"/>
                <w:szCs w:val="21"/>
              </w:rPr>
              <w:t>防城港经济技术开发区总体规划环境影响报告书》</w:t>
            </w:r>
            <w:r>
              <w:rPr>
                <w:rFonts w:hint="eastAsia" w:ascii="Times New Roman" w:hAnsi="Times New Roman" w:eastAsia="宋体" w:cs="Times New Roman"/>
                <w:szCs w:val="21"/>
                <w:lang w:val="en-US" w:eastAsia="zh-CN"/>
              </w:rPr>
              <w:t>；</w:t>
            </w:r>
          </w:p>
          <w:p w14:paraId="1E3422D6">
            <w:pPr>
              <w:spacing w:line="500" w:lineRule="atLeas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审批机关：原</w:t>
            </w:r>
            <w:r>
              <w:rPr>
                <w:rFonts w:hint="eastAsia" w:ascii="Times New Roman" w:hAnsi="Times New Roman" w:eastAsia="宋体" w:cs="Times New Roman"/>
                <w:szCs w:val="21"/>
              </w:rPr>
              <w:t>防城港市</w:t>
            </w:r>
            <w:r>
              <w:rPr>
                <w:rFonts w:hint="default" w:ascii="Times New Roman" w:hAnsi="Times New Roman" w:eastAsia="宋体" w:cs="Times New Roman"/>
                <w:szCs w:val="21"/>
              </w:rPr>
              <w:t>环境保护局</w:t>
            </w:r>
            <w:r>
              <w:rPr>
                <w:rFonts w:hint="eastAsia" w:ascii="Times New Roman" w:hAnsi="Times New Roman" w:eastAsia="宋体" w:cs="Times New Roman"/>
                <w:szCs w:val="21"/>
                <w:lang w:val="en-US" w:eastAsia="zh-CN"/>
              </w:rPr>
              <w:t>；</w:t>
            </w:r>
          </w:p>
          <w:p w14:paraId="7019C71A">
            <w:pPr>
              <w:spacing w:line="500" w:lineRule="atLeast"/>
              <w:ind w:firstLine="420" w:firstLineChars="200"/>
              <w:rPr>
                <w:rFonts w:hint="eastAsia" w:eastAsia="宋体"/>
                <w:kern w:val="0"/>
                <w:szCs w:val="21"/>
                <w:lang w:eastAsia="zh-CN"/>
              </w:rPr>
            </w:pPr>
            <w:r>
              <w:rPr>
                <w:rFonts w:hint="default" w:ascii="Times New Roman" w:hAnsi="Times New Roman" w:eastAsia="宋体" w:cs="Times New Roman"/>
                <w:szCs w:val="21"/>
                <w:lang w:val="en-US" w:eastAsia="zh-CN"/>
              </w:rPr>
              <w:t>审批文件名称及文号：</w:t>
            </w:r>
            <w:r>
              <w:rPr>
                <w:rFonts w:hint="eastAsia" w:ascii="Times New Roman" w:hAnsi="Times New Roman" w:eastAsia="宋体" w:cs="Times New Roman"/>
                <w:szCs w:val="21"/>
              </w:rPr>
              <w:t>《防城港市</w:t>
            </w:r>
            <w:r>
              <w:rPr>
                <w:rFonts w:hint="default" w:ascii="Times New Roman" w:hAnsi="Times New Roman" w:eastAsia="宋体" w:cs="Times New Roman"/>
                <w:szCs w:val="21"/>
              </w:rPr>
              <w:t>环境保护局关于防城港经济技术开发区总体规划环境影响报告书的审查意见》（防环函〔2018〕106号）</w:t>
            </w:r>
            <w:r>
              <w:rPr>
                <w:rFonts w:hint="default" w:ascii="Times New Roman" w:hAnsi="Times New Roman" w:eastAsia="宋体" w:cs="Times New Roman"/>
                <w:szCs w:val="21"/>
                <w:lang w:val="en-US" w:eastAsia="zh-CN"/>
              </w:rPr>
              <w:t>。</w:t>
            </w:r>
          </w:p>
        </w:tc>
      </w:tr>
      <w:tr w14:paraId="23315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40" w:type="dxa"/>
            <w:vAlign w:val="center"/>
          </w:tcPr>
          <w:p w14:paraId="7184BFA5">
            <w:pPr>
              <w:autoSpaceDE w:val="0"/>
              <w:autoSpaceDN w:val="0"/>
              <w:adjustRightInd w:val="0"/>
              <w:snapToGrid w:val="0"/>
              <w:jc w:val="center"/>
              <w:rPr>
                <w:kern w:val="0"/>
                <w:szCs w:val="21"/>
              </w:rPr>
            </w:pPr>
            <w:r>
              <w:rPr>
                <w:rFonts w:hint="eastAsia"/>
                <w:kern w:val="0"/>
                <w:szCs w:val="21"/>
              </w:rPr>
              <w:t>规划及规划环境</w:t>
            </w:r>
          </w:p>
          <w:p w14:paraId="6FE9D3CD">
            <w:pPr>
              <w:autoSpaceDE w:val="0"/>
              <w:autoSpaceDN w:val="0"/>
              <w:adjustRightInd w:val="0"/>
              <w:snapToGrid w:val="0"/>
              <w:jc w:val="center"/>
              <w:rPr>
                <w:kern w:val="0"/>
                <w:szCs w:val="21"/>
              </w:rPr>
            </w:pPr>
            <w:r>
              <w:rPr>
                <w:rFonts w:hint="eastAsia"/>
                <w:kern w:val="0"/>
                <w:szCs w:val="21"/>
              </w:rPr>
              <w:t>影响评价符合性分析</w:t>
            </w:r>
          </w:p>
        </w:tc>
        <w:tc>
          <w:tcPr>
            <w:tcW w:w="6730" w:type="dxa"/>
            <w:gridSpan w:val="3"/>
            <w:vAlign w:val="center"/>
          </w:tcPr>
          <w:p w14:paraId="4200E1C4">
            <w:pPr>
              <w:spacing w:line="500" w:lineRule="atLeast"/>
              <w:ind w:firstLine="420" w:firstLineChars="200"/>
              <w:rPr>
                <w:rFonts w:hint="eastAsia"/>
                <w:szCs w:val="21"/>
              </w:rPr>
            </w:pPr>
            <w:r>
              <w:rPr>
                <w:rFonts w:hint="eastAsia"/>
                <w:szCs w:val="21"/>
              </w:rPr>
              <w:t>1.项目与《防城港市国土空间总体规划（2021—3035年）》的符合性分析</w:t>
            </w:r>
          </w:p>
          <w:p w14:paraId="66953BDF">
            <w:pPr>
              <w:spacing w:line="500" w:lineRule="atLeast"/>
              <w:ind w:firstLine="420" w:firstLineChars="200"/>
              <w:rPr>
                <w:rFonts w:hint="eastAsia"/>
                <w:szCs w:val="21"/>
              </w:rPr>
            </w:pPr>
            <w:r>
              <w:rPr>
                <w:rFonts w:hint="eastAsia"/>
                <w:szCs w:val="21"/>
              </w:rPr>
              <w:t>根据《防城港市国土空间总体规划（2021—3035年）》，规划范围中心城区陆域面积465.12平方千米，企沙</w:t>
            </w:r>
            <w:r>
              <w:rPr>
                <w:rFonts w:hint="eastAsia"/>
                <w:szCs w:val="21"/>
                <w:lang w:eastAsia="zh-CN"/>
              </w:rPr>
              <w:t>新城</w:t>
            </w:r>
            <w:r>
              <w:rPr>
                <w:rFonts w:hint="eastAsia"/>
                <w:szCs w:val="21"/>
              </w:rPr>
              <w:t>陆域面积162.47平方千米。</w:t>
            </w:r>
          </w:p>
          <w:p w14:paraId="26291343">
            <w:pPr>
              <w:spacing w:line="500" w:lineRule="atLeast"/>
              <w:ind w:firstLine="420" w:firstLineChars="200"/>
              <w:rPr>
                <w:rFonts w:hint="eastAsia"/>
                <w:szCs w:val="21"/>
              </w:rPr>
            </w:pPr>
            <w:r>
              <w:rPr>
                <w:rFonts w:hint="eastAsia"/>
                <w:szCs w:val="21"/>
              </w:rPr>
              <w:t>“一屏两片、一轴双心”的国土空间开发保护总体格局。</w:t>
            </w:r>
          </w:p>
          <w:p w14:paraId="4F6C80F1">
            <w:pPr>
              <w:spacing w:line="500" w:lineRule="atLeast"/>
              <w:ind w:firstLine="420" w:firstLineChars="200"/>
              <w:rPr>
                <w:rFonts w:hint="eastAsia"/>
                <w:szCs w:val="21"/>
              </w:rPr>
            </w:pPr>
            <w:r>
              <w:rPr>
                <w:rFonts w:hint="eastAsia"/>
                <w:szCs w:val="21"/>
              </w:rPr>
              <w:t>一屏：即十万大山及其支脉构成的绿色生态屏障，承担区域水源涵养林、生物多样性功能。</w:t>
            </w:r>
          </w:p>
          <w:p w14:paraId="109F4D69">
            <w:pPr>
              <w:spacing w:line="500" w:lineRule="atLeast"/>
              <w:ind w:firstLine="420" w:firstLineChars="200"/>
              <w:rPr>
                <w:rFonts w:hint="eastAsia"/>
                <w:szCs w:val="21"/>
              </w:rPr>
            </w:pPr>
            <w:r>
              <w:rPr>
                <w:rFonts w:hint="eastAsia"/>
                <w:szCs w:val="21"/>
              </w:rPr>
              <w:t>两片：即北部上思盆地基本农田集中区和防城区、东兴市低丘基本农田集中区，是自治区及全市重要的农产品供给区域。</w:t>
            </w:r>
          </w:p>
          <w:p w14:paraId="4A15B25A">
            <w:pPr>
              <w:spacing w:line="500" w:lineRule="atLeast"/>
              <w:ind w:firstLine="420" w:firstLineChars="200"/>
              <w:rPr>
                <w:rFonts w:hint="eastAsia"/>
                <w:szCs w:val="21"/>
              </w:rPr>
            </w:pPr>
            <w:r>
              <w:rPr>
                <w:rFonts w:hint="eastAsia"/>
                <w:szCs w:val="21"/>
              </w:rPr>
              <w:t>一轴：即沿海保护与发展轴，自东向西串联防城港主中心、江山半岛、北仑河口国家级自然保护区、东兴副中心等城镇、旅游和生态节点，是城市的综合保护与发展轴。</w:t>
            </w:r>
          </w:p>
          <w:p w14:paraId="2C133DF6">
            <w:pPr>
              <w:spacing w:line="500" w:lineRule="atLeast"/>
              <w:ind w:firstLine="420" w:firstLineChars="200"/>
              <w:rPr>
                <w:rFonts w:hint="eastAsia"/>
                <w:szCs w:val="21"/>
              </w:rPr>
            </w:pPr>
            <w:r>
              <w:rPr>
                <w:rFonts w:hint="eastAsia"/>
                <w:szCs w:val="21"/>
              </w:rPr>
              <w:t>双心：指防城港主中心及东兴副中心，承担对外国际开放示范功能及区域综合服务功能，是区域发展的增长极。</w:t>
            </w:r>
          </w:p>
          <w:p w14:paraId="5CA9EFA3">
            <w:pPr>
              <w:spacing w:line="500" w:lineRule="atLeast"/>
              <w:ind w:firstLine="420" w:firstLineChars="200"/>
              <w:rPr>
                <w:rFonts w:hint="eastAsia"/>
                <w:szCs w:val="21"/>
              </w:rPr>
            </w:pPr>
            <w:r>
              <w:rPr>
                <w:rFonts w:hint="eastAsia"/>
                <w:szCs w:val="21"/>
              </w:rPr>
              <w:t>项目位于防城港市港口区大西南临港工业园，属于防城港主中心。</w:t>
            </w:r>
          </w:p>
          <w:p w14:paraId="3442D397">
            <w:pPr>
              <w:spacing w:line="500" w:lineRule="atLeast"/>
              <w:ind w:firstLine="420" w:firstLineChars="200"/>
              <w:rPr>
                <w:rFonts w:hint="eastAsia"/>
                <w:szCs w:val="21"/>
              </w:rPr>
            </w:pPr>
            <w:r>
              <w:rPr>
                <w:rFonts w:hint="eastAsia"/>
                <w:szCs w:val="21"/>
              </w:rPr>
              <w:t>构建钢铁、有色金属、绿色新材料、粮油食品加工4个千亿级支柱产业，以及电子信息、能源、装备制造、生物医药、县域轻工业5个百亿级特色优势产业，深入开展转型升级和补链延链强链专项行动，推动产业高端化、智能化、绿色化、集群化发展。广西盛隆冶金有限公司属于钢铁联合企业，主要经营钢、铁冶炼、钢压延加工、有色金属合金制造、金属材料制造等，项目</w:t>
            </w:r>
            <w:r>
              <w:rPr>
                <w:rFonts w:hint="eastAsia"/>
                <w:szCs w:val="21"/>
                <w:lang w:val="en-US" w:eastAsia="zh-CN"/>
              </w:rPr>
              <w:t>属于</w:t>
            </w:r>
            <w:r>
              <w:rPr>
                <w:rFonts w:hint="eastAsia"/>
                <w:szCs w:val="21"/>
              </w:rPr>
              <w:t>除尘灰综合回收利用项目</w:t>
            </w:r>
            <w:r>
              <w:rPr>
                <w:rFonts w:hint="eastAsia"/>
                <w:szCs w:val="21"/>
                <w:lang w:eastAsia="zh-CN"/>
              </w:rPr>
              <w:t>，属于广西盛隆冶金有限公司钢铁生产配套项目，</w:t>
            </w:r>
            <w:r>
              <w:rPr>
                <w:rFonts w:hint="eastAsia"/>
                <w:szCs w:val="21"/>
              </w:rPr>
              <w:t>因此，项目符合大西南临港工业园的产业定位，符合园区规划。</w:t>
            </w:r>
          </w:p>
          <w:p w14:paraId="233188B0">
            <w:pPr>
              <w:spacing w:line="500" w:lineRule="atLeast"/>
              <w:ind w:firstLine="420" w:firstLineChars="200"/>
              <w:rPr>
                <w:rFonts w:hint="eastAsia"/>
                <w:szCs w:val="21"/>
              </w:rPr>
            </w:pPr>
            <w:r>
              <w:rPr>
                <w:rFonts w:hint="eastAsia"/>
                <w:szCs w:val="21"/>
              </w:rPr>
              <w:t>本项目位于盛隆公司现有厂区内，盛隆公司位于大西南临港工业园内，根据《防城港市国土空间总体规划（2021—3035年）》中心城区国土空间规划分区图，项目位置属于工业</w:t>
            </w:r>
            <w:r>
              <w:rPr>
                <w:rFonts w:hint="eastAsia"/>
                <w:szCs w:val="21"/>
                <w:lang w:val="en-US" w:eastAsia="zh-CN"/>
              </w:rPr>
              <w:t>用地</w:t>
            </w:r>
            <w:r>
              <w:rPr>
                <w:rFonts w:hint="eastAsia"/>
                <w:szCs w:val="21"/>
              </w:rPr>
              <w:t>（详见附图</w:t>
            </w:r>
            <w:r>
              <w:rPr>
                <w:rFonts w:hint="eastAsia"/>
                <w:szCs w:val="21"/>
                <w:lang w:val="en-US" w:eastAsia="zh-CN"/>
              </w:rPr>
              <w:t>10</w:t>
            </w:r>
            <w:r>
              <w:rPr>
                <w:rFonts w:hint="eastAsia"/>
                <w:szCs w:val="21"/>
              </w:rPr>
              <w:t>），全部用地均取得独立所有的国有建设用地使用权，因此项目用地合理。</w:t>
            </w:r>
          </w:p>
          <w:p w14:paraId="558D021B">
            <w:pPr>
              <w:spacing w:line="500" w:lineRule="atLeast"/>
              <w:ind w:firstLine="420" w:firstLineChars="200"/>
              <w:rPr>
                <w:rFonts w:hint="eastAsia"/>
                <w:szCs w:val="21"/>
              </w:rPr>
            </w:pPr>
            <w:r>
              <w:rPr>
                <w:rFonts w:hint="eastAsia"/>
                <w:szCs w:val="21"/>
              </w:rPr>
              <w:t>综上，本项目建设符合《防城港市国土空间总体规划（2021—3035年）》。</w:t>
            </w:r>
          </w:p>
          <w:p w14:paraId="0DFB478A">
            <w:pPr>
              <w:spacing w:line="500" w:lineRule="atLeast"/>
              <w:ind w:firstLine="420" w:firstLineChars="200"/>
              <w:rPr>
                <w:rFonts w:hint="default" w:eastAsia="宋体"/>
                <w:szCs w:val="21"/>
                <w:lang w:val="en-US" w:eastAsia="zh-CN"/>
              </w:rPr>
            </w:pPr>
            <w:r>
              <w:rPr>
                <w:rFonts w:hint="eastAsia"/>
                <w:szCs w:val="21"/>
                <w:lang w:val="en-US" w:eastAsia="zh-CN"/>
              </w:rPr>
              <w:t>2.项目与《防城港经济技术开发区总体规划（2023—2035年）》的符合性分析</w:t>
            </w:r>
          </w:p>
          <w:p w14:paraId="32446EA2">
            <w:pPr>
              <w:spacing w:line="500" w:lineRule="atLeast"/>
              <w:ind w:firstLine="420" w:firstLineChars="200"/>
              <w:rPr>
                <w:rFonts w:hint="eastAsia"/>
                <w:szCs w:val="21"/>
              </w:rPr>
            </w:pPr>
            <w:r>
              <w:rPr>
                <w:rFonts w:hint="eastAsia"/>
                <w:szCs w:val="21"/>
              </w:rPr>
              <w:t>根据《防城港经济技术开发区总体规划（2023—2035年）》，规划范围：西至西湾，北至沙企大道，东至红沙核电站，南至企沙工业区，涉及沙潭江街道、渔州坪街道、白沙万街道、王府街道、光坡镇、企沙镇。规划面积70.35平方千米。</w:t>
            </w:r>
          </w:p>
          <w:p w14:paraId="1B2B2904">
            <w:pPr>
              <w:spacing w:line="500" w:lineRule="atLeast"/>
              <w:ind w:firstLine="420" w:firstLineChars="200"/>
              <w:rPr>
                <w:rFonts w:hint="eastAsia"/>
                <w:szCs w:val="21"/>
              </w:rPr>
            </w:pPr>
            <w:r>
              <w:rPr>
                <w:rFonts w:hint="eastAsia"/>
                <w:szCs w:val="21"/>
              </w:rPr>
              <w:t>形成“一心、两轴、五区、多节点”的联动式空间格局：一心：集总部基地、产业孵化器、科技研发、商务商贸、智慧物流、航运服务等功能于一体的临港综合服务中心。</w:t>
            </w:r>
          </w:p>
          <w:p w14:paraId="1E57CD4A">
            <w:pPr>
              <w:spacing w:line="500" w:lineRule="atLeast"/>
              <w:ind w:firstLine="420" w:firstLineChars="200"/>
              <w:rPr>
                <w:rFonts w:hint="eastAsia"/>
                <w:szCs w:val="21"/>
              </w:rPr>
            </w:pPr>
            <w:r>
              <w:rPr>
                <w:rFonts w:hint="eastAsia"/>
                <w:szCs w:val="21"/>
              </w:rPr>
              <w:t>两轴：云约江大道发展轴和跨海发展轴。</w:t>
            </w:r>
          </w:p>
          <w:p w14:paraId="3D0D5419">
            <w:pPr>
              <w:spacing w:line="500" w:lineRule="atLeast"/>
              <w:ind w:firstLine="420" w:firstLineChars="200"/>
              <w:rPr>
                <w:rFonts w:hint="eastAsia"/>
                <w:szCs w:val="21"/>
              </w:rPr>
            </w:pPr>
            <w:r>
              <w:rPr>
                <w:rFonts w:hint="eastAsia"/>
                <w:szCs w:val="21"/>
              </w:rPr>
              <w:t>五区：包括东湾物流园片区——开放门户、大西南临港工业园片区——城市客厅、企沙工业区北片区——活力中央、企沙工业区南片区——临港重工、企沙工业区东片区——能源保障。</w:t>
            </w:r>
          </w:p>
          <w:p w14:paraId="03755090">
            <w:pPr>
              <w:spacing w:line="500" w:lineRule="atLeast"/>
              <w:ind w:firstLine="420" w:firstLineChars="200"/>
              <w:rPr>
                <w:rFonts w:hint="eastAsia"/>
                <w:szCs w:val="21"/>
              </w:rPr>
            </w:pPr>
            <w:r>
              <w:rPr>
                <w:rFonts w:hint="eastAsia"/>
                <w:szCs w:val="21"/>
              </w:rPr>
              <w:t>多节点：依托港城服务、自然生态景观形成的重要功能节点，如创新科研基地、风流岭江生态绿核、保税物流、港区、蝴蝶岛等节点。</w:t>
            </w:r>
          </w:p>
          <w:p w14:paraId="506591DD">
            <w:pPr>
              <w:spacing w:line="500" w:lineRule="atLeast"/>
              <w:ind w:firstLine="420" w:firstLineChars="200"/>
              <w:rPr>
                <w:rFonts w:hint="eastAsia"/>
                <w:szCs w:val="21"/>
              </w:rPr>
            </w:pPr>
            <w:r>
              <w:rPr>
                <w:rFonts w:hint="eastAsia"/>
                <w:szCs w:val="21"/>
              </w:rPr>
              <w:t>各园区主导产业：大西南临港工业区重点发展钢铁、有色金属、化工新材料、再生资源等产业；企沙工业区南片区重点发展钢铁、有色金属、装备制造、绿色新材料等产业；企沙工业区北片区重点拓展绿色新材料、电子信息等新兴产业；企沙工业区东片区重点推进核电能源发展，以及相关研发空间；东湾物流园重点发展现代物流、食品加工产业。</w:t>
            </w:r>
          </w:p>
          <w:p w14:paraId="4E7C78D2">
            <w:pPr>
              <w:spacing w:line="500" w:lineRule="atLeast"/>
              <w:ind w:firstLine="420" w:firstLineChars="200"/>
              <w:rPr>
                <w:rFonts w:hint="eastAsia" w:eastAsia="宋体"/>
                <w:szCs w:val="21"/>
                <w:lang w:eastAsia="zh-CN"/>
              </w:rPr>
            </w:pPr>
            <w:r>
              <w:rPr>
                <w:rFonts w:hint="eastAsia"/>
                <w:szCs w:val="21"/>
              </w:rPr>
              <w:t>项目位于防城港市港口区大西南临港工业园内，广西盛隆冶金有限公司主要发展钢铁产业，项目属于除尘灰综合回收利用项目，属于广西盛隆冶金有限公司钢铁生产配套项目</w:t>
            </w:r>
            <w:r>
              <w:rPr>
                <w:rFonts w:hint="eastAsia"/>
                <w:szCs w:val="21"/>
                <w:lang w:eastAsia="zh-CN"/>
              </w:rPr>
              <w:t>，因此符合主导产业。</w:t>
            </w:r>
          </w:p>
          <w:p w14:paraId="202BF47C">
            <w:pPr>
              <w:spacing w:line="500" w:lineRule="atLeast"/>
              <w:ind w:firstLine="420" w:firstLineChars="200"/>
              <w:rPr>
                <w:rFonts w:hint="eastAsia"/>
                <w:szCs w:val="21"/>
              </w:rPr>
            </w:pPr>
            <w:r>
              <w:rPr>
                <w:rFonts w:hint="eastAsia"/>
                <w:szCs w:val="21"/>
              </w:rPr>
              <w:t>根据《防城港经济技术开发区总体规划（2023—2035年）》土地使用规划图，项目位置属于三类工业用地（附图6），因此项目用地合理。</w:t>
            </w:r>
          </w:p>
          <w:p w14:paraId="59FCB75B">
            <w:pPr>
              <w:spacing w:line="500" w:lineRule="atLeast"/>
              <w:ind w:firstLine="420" w:firstLineChars="200"/>
              <w:rPr>
                <w:rFonts w:hint="eastAsia"/>
                <w:szCs w:val="21"/>
              </w:rPr>
            </w:pPr>
            <w:r>
              <w:rPr>
                <w:rFonts w:hint="eastAsia"/>
                <w:szCs w:val="21"/>
              </w:rPr>
              <w:t>综上，本项目建设符合《防城港经济技术开发区总体规划（2023—3035年）》。</w:t>
            </w:r>
          </w:p>
          <w:p w14:paraId="5543C65F">
            <w:pPr>
              <w:spacing w:line="500" w:lineRule="atLeast"/>
              <w:ind w:firstLine="420" w:firstLineChars="200"/>
              <w:rPr>
                <w:szCs w:val="21"/>
              </w:rPr>
            </w:pPr>
            <w:r>
              <w:rPr>
                <w:rFonts w:hint="eastAsia"/>
                <w:szCs w:val="21"/>
                <w:lang w:val="en-US" w:eastAsia="zh-CN"/>
              </w:rPr>
              <w:t>3.</w:t>
            </w:r>
            <w:r>
              <w:rPr>
                <w:rFonts w:hint="eastAsia"/>
                <w:szCs w:val="21"/>
              </w:rPr>
              <w:t>与《防城港市经济技术开发区总体规划环境影响报告书》及环评审查意见相符性分析</w:t>
            </w:r>
          </w:p>
          <w:p w14:paraId="40B1A68C">
            <w:pPr>
              <w:spacing w:line="500" w:lineRule="atLeast"/>
              <w:ind w:firstLine="420" w:firstLineChars="200"/>
              <w:rPr>
                <w:szCs w:val="21"/>
              </w:rPr>
            </w:pPr>
            <w:r>
              <w:rPr>
                <w:rFonts w:hint="eastAsia"/>
                <w:szCs w:val="21"/>
              </w:rPr>
              <w:t>根据《防城港市经济技术开发区总体规划环境影响报告书》及其审查意见（防环函〔2018〕106号）：项目的选址位于大西南临港工业园</w:t>
            </w:r>
            <w:r>
              <w:rPr>
                <w:rFonts w:hint="eastAsia"/>
                <w:szCs w:val="21"/>
                <w:lang w:val="en-US" w:eastAsia="zh-CN"/>
              </w:rPr>
              <w:t>内</w:t>
            </w:r>
            <w:r>
              <w:rPr>
                <w:rFonts w:hint="eastAsia"/>
                <w:szCs w:val="21"/>
              </w:rPr>
              <w:t>，不涉及生态红线范围，与大西南组团规划产业、用地规划相符合，符合园区规划“三线一单”的要求；项目采取相应措施后，各大气污染物均达标排放；项目无生产废水产生；项目产生的一般固废均合理处置，不会造成二次污染。因此，项目的建设符合园区规划环评及其审查意见中的相关要求。</w:t>
            </w:r>
          </w:p>
          <w:p w14:paraId="19F984C9">
            <w:pPr>
              <w:spacing w:line="500" w:lineRule="atLeast"/>
              <w:ind w:firstLine="422" w:firstLineChars="200"/>
              <w:rPr>
                <w:b/>
                <w:szCs w:val="21"/>
              </w:rPr>
            </w:pPr>
            <w:r>
              <w:rPr>
                <w:rFonts w:hint="eastAsia"/>
                <w:b/>
                <w:szCs w:val="21"/>
              </w:rPr>
              <w:t>表1-1 与防城港经开发区总体规划环境影响报告书审查意见符合性分析</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775"/>
              <w:gridCol w:w="2911"/>
              <w:gridCol w:w="1608"/>
              <w:gridCol w:w="615"/>
            </w:tblGrid>
            <w:tr w14:paraId="31E7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Align w:val="center"/>
                </w:tcPr>
                <w:p w14:paraId="6BD719B3">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序号</w:t>
                  </w:r>
                </w:p>
              </w:tc>
              <w:tc>
                <w:tcPr>
                  <w:tcW w:w="3686" w:type="dxa"/>
                  <w:gridSpan w:val="2"/>
                  <w:vAlign w:val="center"/>
                </w:tcPr>
                <w:p w14:paraId="1ED5A296">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相关内容要求</w:t>
                  </w:r>
                </w:p>
              </w:tc>
              <w:tc>
                <w:tcPr>
                  <w:tcW w:w="1608" w:type="dxa"/>
                  <w:vAlign w:val="center"/>
                </w:tcPr>
                <w:p w14:paraId="20C016AD">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项目情况</w:t>
                  </w:r>
                </w:p>
              </w:tc>
              <w:tc>
                <w:tcPr>
                  <w:tcW w:w="615" w:type="dxa"/>
                  <w:vAlign w:val="center"/>
                </w:tcPr>
                <w:p w14:paraId="50A8484B">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是否符合</w:t>
                  </w:r>
                </w:p>
              </w:tc>
            </w:tr>
            <w:tr w14:paraId="5CBB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Align w:val="center"/>
                </w:tcPr>
                <w:p w14:paraId="3C4FB31B">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1</w:t>
                  </w:r>
                </w:p>
              </w:tc>
              <w:tc>
                <w:tcPr>
                  <w:tcW w:w="775" w:type="dxa"/>
                  <w:vMerge w:val="restart"/>
                  <w:vAlign w:val="center"/>
                </w:tcPr>
                <w:p w14:paraId="15EF14B6">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严</w:t>
                  </w:r>
                  <w:r>
                    <w:rPr>
                      <w:rFonts w:hint="eastAsia" w:ascii="Times New Roman" w:hAnsi="Times New Roman" w:cs="Times New Roman"/>
                      <w:color w:val="auto"/>
                      <w:sz w:val="21"/>
                      <w:szCs w:val="21"/>
                    </w:rPr>
                    <w:t>格落实三线</w:t>
                  </w:r>
                  <w:r>
                    <w:rPr>
                      <w:rFonts w:hint="eastAsia" w:ascii="Times New Roman" w:hAnsi="Times New Roman" w:cs="Times New Roman"/>
                      <w:color w:val="auto"/>
                      <w:sz w:val="21"/>
                      <w:szCs w:val="21"/>
                      <w:lang w:val="en-US" w:eastAsia="zh-CN"/>
                    </w:rPr>
                    <w:t>一</w:t>
                  </w:r>
                  <w:r>
                    <w:rPr>
                      <w:rFonts w:hint="eastAsia" w:ascii="Times New Roman" w:hAnsi="Times New Roman" w:cs="Times New Roman"/>
                      <w:color w:val="auto"/>
                      <w:sz w:val="21"/>
                      <w:szCs w:val="21"/>
                    </w:rPr>
                    <w:t>单管理要求</w:t>
                  </w:r>
                </w:p>
              </w:tc>
              <w:tc>
                <w:tcPr>
                  <w:tcW w:w="2911" w:type="dxa"/>
                  <w:vAlign w:val="center"/>
                </w:tcPr>
                <w:p w14:paraId="50F02A7B">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严控生态红线，落实生态环境保护要求。在规划实施过程中，需严格落实防城港东湾红树林保护区、北部湾二长棘鲷长毛对虾国家级水产种质资源保护区、渔业养殖区和蝴蝶岛公园绿地等周边生态环境敏感区的保护要求</w:t>
                  </w:r>
                </w:p>
              </w:tc>
              <w:tc>
                <w:tcPr>
                  <w:tcW w:w="1608" w:type="dxa"/>
                  <w:vAlign w:val="center"/>
                </w:tcPr>
                <w:p w14:paraId="330E6B05">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本项目位于大西南临港工业园，不在生态红线控制范围内</w:t>
                  </w:r>
                </w:p>
              </w:tc>
              <w:tc>
                <w:tcPr>
                  <w:tcW w:w="615" w:type="dxa"/>
                  <w:vAlign w:val="center"/>
                </w:tcPr>
                <w:p w14:paraId="125F078F">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符合</w:t>
                  </w:r>
                </w:p>
              </w:tc>
            </w:tr>
            <w:tr w14:paraId="0A75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Align w:val="center"/>
                </w:tcPr>
                <w:p w14:paraId="1C08AF28">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2</w:t>
                  </w:r>
                </w:p>
              </w:tc>
              <w:tc>
                <w:tcPr>
                  <w:tcW w:w="775" w:type="dxa"/>
                  <w:vMerge w:val="continue"/>
                  <w:vAlign w:val="center"/>
                </w:tcPr>
                <w:p w14:paraId="7D1792F7">
                  <w:pPr>
                    <w:pStyle w:val="62"/>
                    <w:snapToGrid w:val="0"/>
                    <w:jc w:val="center"/>
                    <w:rPr>
                      <w:rFonts w:ascii="Times New Roman" w:hAnsi="Times New Roman" w:cs="Times New Roman"/>
                      <w:color w:val="auto"/>
                      <w:sz w:val="21"/>
                      <w:szCs w:val="21"/>
                    </w:rPr>
                  </w:pPr>
                </w:p>
              </w:tc>
              <w:tc>
                <w:tcPr>
                  <w:tcW w:w="2911" w:type="dxa"/>
                  <w:vAlign w:val="center"/>
                </w:tcPr>
                <w:p w14:paraId="47D15661">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严守环境质量底线，确保各类功能区环境质量符合相应标准要求。区域环境质量满足《环境空气质量标准》（GB3095-2012）二级标准要求；区域地下水水质满足《地下水质量标准》（GB/T14848-2017）Ⅲ类标准要求；防城港近岸海域海水水质符合《海水水质标准》（GB3097-1997）中相应功能区的标准要求</w:t>
                  </w:r>
                </w:p>
              </w:tc>
              <w:tc>
                <w:tcPr>
                  <w:tcW w:w="1608" w:type="dxa"/>
                  <w:vAlign w:val="center"/>
                </w:tcPr>
                <w:p w14:paraId="0F167E0C">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本项目建成投运后，废气和厂界噪声可实现达标排放，</w:t>
                  </w:r>
                  <w:r>
                    <w:rPr>
                      <w:rFonts w:hint="eastAsia" w:ascii="Times New Roman" w:hAnsi="Times New Roman" w:cs="Times New Roman"/>
                      <w:color w:val="auto"/>
                      <w:sz w:val="21"/>
                      <w:szCs w:val="21"/>
                      <w:lang w:val="en-US" w:eastAsia="zh-CN"/>
                    </w:rPr>
                    <w:t>废水经厂区污水处理站处理后回用，不外排。</w:t>
                  </w:r>
                  <w:r>
                    <w:rPr>
                      <w:rFonts w:hint="eastAsia" w:ascii="Times New Roman" w:hAnsi="Times New Roman" w:cs="Times New Roman"/>
                      <w:color w:val="auto"/>
                      <w:sz w:val="21"/>
                      <w:szCs w:val="21"/>
                    </w:rPr>
                    <w:t>厂区按功能进行分区防渗处理，以确保各类功能区环境质量符合相应标准要求，严守环境质量底线</w:t>
                  </w:r>
                </w:p>
              </w:tc>
              <w:tc>
                <w:tcPr>
                  <w:tcW w:w="615" w:type="dxa"/>
                  <w:vAlign w:val="center"/>
                </w:tcPr>
                <w:p w14:paraId="15B90910">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符合</w:t>
                  </w:r>
                </w:p>
              </w:tc>
            </w:tr>
            <w:tr w14:paraId="6FC3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Align w:val="center"/>
                </w:tcPr>
                <w:p w14:paraId="0B376767">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3</w:t>
                  </w:r>
                </w:p>
              </w:tc>
              <w:tc>
                <w:tcPr>
                  <w:tcW w:w="775" w:type="dxa"/>
                  <w:vMerge w:val="continue"/>
                  <w:vAlign w:val="center"/>
                </w:tcPr>
                <w:p w14:paraId="3CAA8764">
                  <w:pPr>
                    <w:pStyle w:val="62"/>
                    <w:snapToGrid w:val="0"/>
                    <w:jc w:val="center"/>
                    <w:rPr>
                      <w:rFonts w:ascii="Times New Roman" w:hAnsi="Times New Roman" w:cs="Times New Roman"/>
                      <w:color w:val="auto"/>
                      <w:sz w:val="21"/>
                      <w:szCs w:val="21"/>
                    </w:rPr>
                  </w:pPr>
                </w:p>
              </w:tc>
              <w:tc>
                <w:tcPr>
                  <w:tcW w:w="2911" w:type="dxa"/>
                  <w:vAlign w:val="center"/>
                </w:tcPr>
                <w:p w14:paraId="0B8019A4">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严格落实项目环境负面清单。禁止引进不符合开发区产业定位，不符合国家产业政策和相关行业准入条件，清洁生产水平不达标、装置单位产品能源消耗限额不达标、污染物排放不达标的项目。禁止在东海海洋生物多样性保护功能区外1公里范围内新增油类等液体危化品码头项目。禁止截断蝴蝶岛公园绿地周围水域与海洋的连通性，禁止侵占蝴蝶岛用地。严格控制东海海域新增设入海排污口</w:t>
                  </w:r>
                </w:p>
              </w:tc>
              <w:tc>
                <w:tcPr>
                  <w:tcW w:w="1608" w:type="dxa"/>
                  <w:vAlign w:val="center"/>
                </w:tcPr>
                <w:p w14:paraId="212E2D94">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本项目不在环境准入负面清单中；项目符合国家产业政策和相关行业准入条件，污染物达标排放</w:t>
                  </w:r>
                </w:p>
              </w:tc>
              <w:tc>
                <w:tcPr>
                  <w:tcW w:w="615" w:type="dxa"/>
                  <w:vAlign w:val="center"/>
                </w:tcPr>
                <w:p w14:paraId="28851AF3">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符合</w:t>
                  </w:r>
                </w:p>
              </w:tc>
            </w:tr>
            <w:tr w14:paraId="344C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Align w:val="center"/>
                </w:tcPr>
                <w:p w14:paraId="384CB0C3">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4</w:t>
                  </w:r>
                </w:p>
              </w:tc>
              <w:tc>
                <w:tcPr>
                  <w:tcW w:w="3686" w:type="dxa"/>
                  <w:gridSpan w:val="2"/>
                  <w:vAlign w:val="center"/>
                </w:tcPr>
                <w:p w14:paraId="2DEE90A8">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严格污染物总量管控。提高入园企业清洁生产水平，控制污染物排放。落实开发区矿石、煤炭及其他颗粒状物料储运全封闭防尘措施，大力推进低氮燃烧和烟气脱硝，有序推进集中供气、供热，采取有效措施削减二氧化硫、氮氧化物、挥发性有机物、颗粒物、化学需氧量、氨氮等污染物的排放量。强化开发区挥发性有机物、恶臭污染物等有毒有害废气防治，推进工艺技术和污染治理技术改造，各类大气污染物排放须满足国家和自治区最新污染物排放标准要求。严格落实污染物排放总量控制要求，污染物排放量应控制在《报告书》提出的总量核定限值内</w:t>
                  </w:r>
                </w:p>
              </w:tc>
              <w:tc>
                <w:tcPr>
                  <w:tcW w:w="1608" w:type="dxa"/>
                  <w:vAlign w:val="center"/>
                </w:tcPr>
                <w:p w14:paraId="4F2CED6B">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本项目各污染物排放满足国家要求，并严格落实污染物排放总量控制要求</w:t>
                  </w:r>
                </w:p>
              </w:tc>
              <w:tc>
                <w:tcPr>
                  <w:tcW w:w="615" w:type="dxa"/>
                  <w:vAlign w:val="center"/>
                </w:tcPr>
                <w:p w14:paraId="7D684DD3">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符合</w:t>
                  </w:r>
                </w:p>
              </w:tc>
            </w:tr>
            <w:tr w14:paraId="2AB8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Align w:val="center"/>
                </w:tcPr>
                <w:p w14:paraId="4D84BF7F">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5</w:t>
                  </w:r>
                </w:p>
              </w:tc>
              <w:tc>
                <w:tcPr>
                  <w:tcW w:w="3686" w:type="dxa"/>
                  <w:gridSpan w:val="2"/>
                  <w:vAlign w:val="center"/>
                </w:tcPr>
                <w:p w14:paraId="322C285D">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完善开发区污水处理、固废集中处置（理）、集中供热等环境基础设施。按照“雨污分流”“清污分流”“污污分治”原则规划、设计和建设开发区排水系统、废（污）水处理系统确保各组团污水实现统一收集处理排放，严格限制区域新增排污口。加快集中供热设施建设，依法淘汰取缔不符合环保准入条件的小型燃煤锅炉。积极寻求固体废物综合利用途径；严格按照国家有关规定进行危险废物贮存、处置和处理</w:t>
                  </w:r>
                </w:p>
              </w:tc>
              <w:tc>
                <w:tcPr>
                  <w:tcW w:w="1608" w:type="dxa"/>
                  <w:vAlign w:val="center"/>
                </w:tcPr>
                <w:p w14:paraId="017F4858">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本项目按照“雨污分流”“清污分流”“污污分治”原则进行排水，运营过程产生的固废全部妥善处置</w:t>
                  </w:r>
                </w:p>
              </w:tc>
              <w:tc>
                <w:tcPr>
                  <w:tcW w:w="615" w:type="dxa"/>
                  <w:vAlign w:val="center"/>
                </w:tcPr>
                <w:p w14:paraId="7EF89F7A">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符合</w:t>
                  </w:r>
                </w:p>
              </w:tc>
            </w:tr>
            <w:tr w14:paraId="5006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Align w:val="center"/>
                </w:tcPr>
                <w:p w14:paraId="0E6D7E28">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6</w:t>
                  </w:r>
                </w:p>
              </w:tc>
              <w:tc>
                <w:tcPr>
                  <w:tcW w:w="3686" w:type="dxa"/>
                  <w:gridSpan w:val="2"/>
                  <w:vAlign w:val="center"/>
                </w:tcPr>
                <w:p w14:paraId="358BB72A">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强化开发区企业环境管理要求，针对开发区现存环境问题开展集中整治。对开发区建成并投产的企业，结合区域环境质量要求，要进一步升级改造产业结构和加强污染整治，确保污染物符合最新排放标准要求</w:t>
                  </w:r>
                </w:p>
              </w:tc>
              <w:tc>
                <w:tcPr>
                  <w:tcW w:w="1608" w:type="dxa"/>
                  <w:vAlign w:val="center"/>
                </w:tcPr>
                <w:p w14:paraId="710A5C2A">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项目建设严格执行环保“三同时 ”制度，确保污染物符合最新排放标准要求</w:t>
                  </w:r>
                </w:p>
              </w:tc>
              <w:tc>
                <w:tcPr>
                  <w:tcW w:w="615" w:type="dxa"/>
                  <w:vAlign w:val="center"/>
                </w:tcPr>
                <w:p w14:paraId="4CD9B2C5">
                  <w:pPr>
                    <w:pStyle w:val="62"/>
                    <w:snapToGrid w:val="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符合</w:t>
                  </w:r>
                </w:p>
              </w:tc>
            </w:tr>
          </w:tbl>
          <w:p w14:paraId="612B9369">
            <w:pPr>
              <w:spacing w:line="500" w:lineRule="atLeast"/>
              <w:ind w:firstLine="420" w:firstLineChars="200"/>
              <w:rPr>
                <w:rFonts w:hint="eastAsia"/>
                <w:szCs w:val="21"/>
              </w:rPr>
            </w:pPr>
          </w:p>
        </w:tc>
      </w:tr>
      <w:tr w14:paraId="30BC4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2140" w:type="dxa"/>
            <w:vAlign w:val="center"/>
          </w:tcPr>
          <w:p w14:paraId="4D042553">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其他符合性分析</w:t>
            </w:r>
          </w:p>
        </w:tc>
        <w:tc>
          <w:tcPr>
            <w:tcW w:w="6730" w:type="dxa"/>
            <w:gridSpan w:val="3"/>
            <w:vAlign w:val="center"/>
          </w:tcPr>
          <w:p w14:paraId="4FC7B882">
            <w:pPr>
              <w:spacing w:line="500" w:lineRule="atLeast"/>
              <w:ind w:firstLine="422" w:firstLineChars="200"/>
              <w:rPr>
                <w:rFonts w:hint="default" w:eastAsia="宋体"/>
                <w:b/>
                <w:bCs w:val="0"/>
                <w:szCs w:val="21"/>
                <w:lang w:val="en-US" w:eastAsia="zh-CN"/>
              </w:rPr>
            </w:pPr>
            <w:r>
              <w:rPr>
                <w:rFonts w:hint="eastAsia"/>
                <w:b/>
                <w:bCs w:val="0"/>
                <w:szCs w:val="21"/>
                <w:lang w:val="en-US" w:eastAsia="zh-CN"/>
              </w:rPr>
              <w:t>一、评价类别判断</w:t>
            </w:r>
          </w:p>
          <w:p w14:paraId="6D4ACEBE">
            <w:pPr>
              <w:spacing w:line="500" w:lineRule="atLeast"/>
              <w:ind w:firstLine="420" w:firstLineChars="200"/>
              <w:rPr>
                <w:rFonts w:hint="default" w:eastAsia="宋体"/>
                <w:b w:val="0"/>
                <w:bCs/>
                <w:szCs w:val="21"/>
                <w:lang w:val="en-US" w:eastAsia="zh-CN"/>
              </w:rPr>
            </w:pPr>
            <w:r>
              <w:rPr>
                <w:rFonts w:hint="eastAsia"/>
                <w:b w:val="0"/>
                <w:bCs/>
                <w:szCs w:val="21"/>
                <w:lang w:val="en-US" w:eastAsia="zh-CN"/>
              </w:rPr>
              <w:t>本项目为除尘灰综合回收利用项目，主要在广西盛隆冶金有限公司厂内现有车间建设回转窑脱锌生产线及配套附属工程对盛隆公司生产工序产生的高炉重力灰、转炉除尘灰加以处理综合利用。根据《一般固体废物分类与代码》，高炉重力灰、转炉除尘灰均属于一般工业固体废物，高炉重力灰代码为311-004-S01，转炉除尘灰代码为312-002-S01。</w:t>
            </w:r>
          </w:p>
          <w:p w14:paraId="5F1913EF">
            <w:pPr>
              <w:spacing w:line="500" w:lineRule="atLeast"/>
              <w:ind w:firstLine="420" w:firstLineChars="200"/>
              <w:rPr>
                <w:rFonts w:hint="eastAsia" w:eastAsia="宋体"/>
                <w:b w:val="0"/>
                <w:bCs/>
                <w:szCs w:val="21"/>
                <w:lang w:val="en-US" w:eastAsia="zh-CN"/>
              </w:rPr>
            </w:pPr>
            <w:r>
              <w:rPr>
                <w:rFonts w:hint="eastAsia"/>
                <w:b w:val="0"/>
                <w:bCs/>
                <w:szCs w:val="21"/>
                <w:lang w:val="en-US" w:eastAsia="zh-CN"/>
              </w:rPr>
              <w:t>根据</w:t>
            </w:r>
            <w:r>
              <w:rPr>
                <w:rFonts w:hint="eastAsia"/>
                <w:b w:val="0"/>
                <w:bCs/>
                <w:szCs w:val="21"/>
              </w:rPr>
              <w:t>《建设项目环境影响评价分类管理名录》（2021年版）</w:t>
            </w:r>
            <w:r>
              <w:rPr>
                <w:rFonts w:hint="eastAsia"/>
                <w:b w:val="0"/>
                <w:bCs/>
                <w:szCs w:val="21"/>
                <w:lang w:val="en-US" w:eastAsia="zh-CN"/>
              </w:rPr>
              <w:t>第四条，“建设内容不涉及主体工程的改建、扩建项目，其环境影响评价类别按照改建、扩建的工程内容确定”，本项目属于扩建项目，扩建内容不涉及改变现有工程的主体工程和生产线，因此其环境影响评价类别按照扩建的工程内容确定。</w:t>
            </w:r>
          </w:p>
          <w:p w14:paraId="197486F6">
            <w:pPr>
              <w:spacing w:line="500" w:lineRule="atLeast"/>
              <w:ind w:firstLine="420" w:firstLineChars="200"/>
              <w:rPr>
                <w:rFonts w:hint="eastAsia"/>
                <w:b w:val="0"/>
                <w:bCs/>
                <w:szCs w:val="21"/>
              </w:rPr>
            </w:pPr>
            <w:r>
              <w:rPr>
                <w:rFonts w:hint="eastAsia"/>
                <w:b w:val="0"/>
                <w:bCs/>
                <w:szCs w:val="21"/>
              </w:rPr>
              <w:t>根据《建设项目环境影响评价分类管理名录》（2021年版），本项目</w:t>
            </w:r>
            <w:r>
              <w:rPr>
                <w:rFonts w:hint="eastAsia"/>
                <w:b w:val="0"/>
                <w:bCs/>
                <w:szCs w:val="21"/>
                <w:lang w:val="en-US" w:eastAsia="zh-CN"/>
              </w:rPr>
              <w:t>扩建工程内容</w:t>
            </w:r>
            <w:r>
              <w:rPr>
                <w:rFonts w:hint="eastAsia"/>
                <w:b w:val="0"/>
                <w:bCs/>
                <w:szCs w:val="21"/>
              </w:rPr>
              <w:t>属于“四十七、生态保护和环境治理业-103一般工业固体废物 -其他”项，需编制环境影响报告</w:t>
            </w:r>
            <w:r>
              <w:rPr>
                <w:rFonts w:hint="eastAsia"/>
                <w:b w:val="0"/>
                <w:bCs/>
                <w:szCs w:val="21"/>
                <w:lang w:val="en-US" w:eastAsia="zh-CN"/>
              </w:rPr>
              <w:t>表</w:t>
            </w:r>
            <w:r>
              <w:rPr>
                <w:rFonts w:hint="eastAsia"/>
                <w:b w:val="0"/>
                <w:bCs/>
                <w:szCs w:val="21"/>
              </w:rPr>
              <w:t>。</w:t>
            </w:r>
          </w:p>
          <w:p w14:paraId="4C31C04A">
            <w:pPr>
              <w:spacing w:line="500" w:lineRule="atLeast"/>
              <w:ind w:firstLine="422" w:firstLineChars="200"/>
              <w:rPr>
                <w:b/>
                <w:szCs w:val="21"/>
              </w:rPr>
            </w:pPr>
            <w:r>
              <w:rPr>
                <w:rFonts w:hint="eastAsia"/>
                <w:b/>
                <w:szCs w:val="21"/>
                <w:lang w:val="en-US" w:eastAsia="zh-CN"/>
              </w:rPr>
              <w:t>二</w:t>
            </w:r>
            <w:r>
              <w:rPr>
                <w:rFonts w:hint="eastAsia"/>
                <w:b/>
                <w:szCs w:val="21"/>
              </w:rPr>
              <w:t>、选址合理性分析</w:t>
            </w:r>
          </w:p>
          <w:p w14:paraId="3B2D42F3">
            <w:pPr>
              <w:spacing w:line="500" w:lineRule="atLeast"/>
              <w:ind w:firstLine="420" w:firstLineChars="200"/>
              <w:rPr>
                <w:szCs w:val="21"/>
              </w:rPr>
            </w:pPr>
            <w:r>
              <w:rPr>
                <w:rFonts w:hint="eastAsia"/>
                <w:szCs w:val="21"/>
              </w:rPr>
              <w:t>项目位于广西壮族自治区防城港市港口区公车镇大西南临港工业园区内，根据《防城港经济技术开发区总体规划（2023—2035年）》土地使用规划图，项目位置属于三类工业用地，符合用地要求；本项目为除尘灰综合回收利用项目，属于广西盛隆冶金有限公司钢铁生产配套项目，符合</w:t>
            </w:r>
            <w:r>
              <w:rPr>
                <w:rFonts w:hint="eastAsia"/>
                <w:szCs w:val="21"/>
                <w:lang w:val="en-US" w:eastAsia="zh-CN"/>
              </w:rPr>
              <w:t>所在园区</w:t>
            </w:r>
            <w:r>
              <w:rPr>
                <w:rFonts w:hint="eastAsia"/>
                <w:szCs w:val="21"/>
              </w:rPr>
              <w:t>产业定位，符合规划要求；且项目周边无饮用水源保护区、自然保护区等</w:t>
            </w:r>
            <w:r>
              <w:rPr>
                <w:rFonts w:hint="eastAsia"/>
                <w:szCs w:val="21"/>
                <w:lang w:eastAsia="zh-CN"/>
              </w:rPr>
              <w:t>，</w:t>
            </w:r>
            <w:r>
              <w:rPr>
                <w:rFonts w:hint="eastAsia"/>
                <w:szCs w:val="21"/>
              </w:rPr>
              <w:t>项目选址基本合理。</w:t>
            </w:r>
          </w:p>
          <w:p w14:paraId="1B48032C">
            <w:pPr>
              <w:spacing w:line="500" w:lineRule="atLeast"/>
              <w:ind w:firstLine="422" w:firstLineChars="200"/>
              <w:rPr>
                <w:b/>
                <w:szCs w:val="21"/>
              </w:rPr>
            </w:pPr>
            <w:r>
              <w:rPr>
                <w:rFonts w:hint="eastAsia"/>
                <w:b/>
                <w:szCs w:val="21"/>
                <w:lang w:val="en-US" w:eastAsia="zh-CN"/>
              </w:rPr>
              <w:t>三</w:t>
            </w:r>
            <w:r>
              <w:rPr>
                <w:rFonts w:hint="eastAsia"/>
                <w:b/>
                <w:szCs w:val="21"/>
              </w:rPr>
              <w:t>、产业政策符合性分析</w:t>
            </w:r>
          </w:p>
          <w:p w14:paraId="46A1D35D">
            <w:pPr>
              <w:spacing w:line="500" w:lineRule="atLeast"/>
              <w:ind w:firstLine="420" w:firstLineChars="200"/>
              <w:rPr>
                <w:rFonts w:hint="eastAsia"/>
                <w:szCs w:val="21"/>
              </w:rPr>
            </w:pPr>
            <w:r>
              <w:rPr>
                <w:rFonts w:hint="eastAsia"/>
                <w:szCs w:val="21"/>
              </w:rPr>
              <w:t>根据《产业结构调整指导目录（2024 年本）》，项目属于鼓励类“</w:t>
            </w:r>
            <w:r>
              <w:rPr>
                <w:rFonts w:hint="eastAsia"/>
                <w:szCs w:val="21"/>
                <w:lang w:val="en-US" w:eastAsia="zh-CN"/>
              </w:rPr>
              <w:t>四十二</w:t>
            </w:r>
            <w:r>
              <w:rPr>
                <w:rFonts w:hint="eastAsia"/>
                <w:szCs w:val="21"/>
              </w:rPr>
              <w:t xml:space="preserve">、环境保护与资源节约综合利用 </w:t>
            </w:r>
            <w:r>
              <w:rPr>
                <w:rFonts w:hint="eastAsia"/>
                <w:szCs w:val="21"/>
                <w:lang w:val="en-US" w:eastAsia="zh-CN"/>
              </w:rPr>
              <w:t>3</w:t>
            </w:r>
            <w:r>
              <w:rPr>
                <w:rFonts w:hint="eastAsia"/>
                <w:szCs w:val="21"/>
              </w:rPr>
              <w:t>.</w:t>
            </w:r>
            <w:r>
              <w:rPr>
                <w:rFonts w:hint="eastAsia"/>
              </w:rPr>
              <w:t xml:space="preserve"> </w:t>
            </w:r>
            <w:r>
              <w:rPr>
                <w:rFonts w:hint="eastAsia"/>
                <w:szCs w:val="21"/>
              </w:rPr>
              <w:t>污泥及其他固体废弃物减量化、资源化、无害化处理和综合利用工程，符合国家产业政策；项目不属于《北钦防一体化产业协同发展限制布局清单（工业类2021年版）》中防城港市限制产业</w:t>
            </w:r>
            <w:r>
              <w:rPr>
                <w:rFonts w:hint="eastAsia"/>
                <w:szCs w:val="21"/>
                <w:lang w:eastAsia="zh-CN"/>
              </w:rPr>
              <w:t>；</w:t>
            </w:r>
            <w:r>
              <w:rPr>
                <w:rFonts w:hint="eastAsia"/>
                <w:szCs w:val="21"/>
              </w:rPr>
              <w:t>另外，项目已获得备案证明，</w:t>
            </w:r>
            <w:r>
              <w:rPr>
                <w:rFonts w:hint="eastAsia"/>
                <w:szCs w:val="21"/>
                <w:lang w:val="en-US" w:eastAsia="zh-CN"/>
              </w:rPr>
              <w:t>详</w:t>
            </w:r>
            <w:r>
              <w:rPr>
                <w:rFonts w:hint="eastAsia"/>
                <w:szCs w:val="21"/>
              </w:rPr>
              <w:t>见附件2。</w:t>
            </w:r>
          </w:p>
          <w:p w14:paraId="0031C940">
            <w:pPr>
              <w:spacing w:line="500" w:lineRule="atLeast"/>
              <w:ind w:firstLine="422" w:firstLineChars="200"/>
              <w:rPr>
                <w:b/>
                <w:szCs w:val="21"/>
              </w:rPr>
            </w:pPr>
            <w:r>
              <w:rPr>
                <w:rFonts w:hint="eastAsia"/>
                <w:b/>
                <w:szCs w:val="21"/>
                <w:lang w:val="en-US" w:eastAsia="zh-CN"/>
              </w:rPr>
              <w:t>四</w:t>
            </w:r>
            <w:r>
              <w:rPr>
                <w:rFonts w:hint="eastAsia"/>
                <w:b/>
                <w:szCs w:val="21"/>
              </w:rPr>
              <w:t>、项目与生态环境准入及管控要求相符性分析</w:t>
            </w:r>
          </w:p>
          <w:p w14:paraId="7B4E5274">
            <w:pPr>
              <w:spacing w:line="500" w:lineRule="atLeast"/>
              <w:ind w:firstLine="422" w:firstLineChars="200"/>
              <w:rPr>
                <w:rFonts w:hint="eastAsia"/>
                <w:b/>
                <w:bCs/>
                <w:szCs w:val="21"/>
              </w:rPr>
            </w:pPr>
            <w:r>
              <w:rPr>
                <w:rFonts w:hint="eastAsia"/>
                <w:b/>
                <w:bCs/>
                <w:szCs w:val="21"/>
                <w:lang w:eastAsia="zh-CN"/>
              </w:rPr>
              <w:t>（</w:t>
            </w:r>
            <w:r>
              <w:rPr>
                <w:rFonts w:hint="eastAsia"/>
                <w:b/>
                <w:bCs/>
                <w:szCs w:val="21"/>
                <w:lang w:val="en-US" w:eastAsia="zh-CN"/>
              </w:rPr>
              <w:t>1</w:t>
            </w:r>
            <w:r>
              <w:rPr>
                <w:rFonts w:hint="eastAsia"/>
                <w:b/>
                <w:bCs/>
                <w:szCs w:val="21"/>
                <w:lang w:eastAsia="zh-CN"/>
              </w:rPr>
              <w:t>）</w:t>
            </w:r>
            <w:r>
              <w:rPr>
                <w:rFonts w:hint="eastAsia"/>
                <w:b/>
                <w:bCs/>
                <w:szCs w:val="21"/>
              </w:rPr>
              <w:t>与防城港市生态环境准入及管控要求相符性分析</w:t>
            </w:r>
          </w:p>
          <w:p w14:paraId="6CEB6640">
            <w:pPr>
              <w:spacing w:line="500" w:lineRule="atLeast"/>
              <w:ind w:firstLine="420" w:firstLineChars="200"/>
              <w:rPr>
                <w:rFonts w:hint="eastAsia"/>
                <w:szCs w:val="21"/>
              </w:rPr>
            </w:pPr>
            <w:r>
              <w:rPr>
                <w:rFonts w:hint="eastAsia"/>
                <w:szCs w:val="21"/>
              </w:rPr>
              <w:t>根据防城港市生态环境分区管控动态更新成果（2023年）。全市陆域共划分为49个环境管控单元，其中：优先保护单元23个，面积占比52.78%；重点管控单元22个，面积占比20.95%；一般管控单元4个，面积占比26.27%。近岸海域共划分为63个环境管控单元，其中：优先保护单元26个，面积占比7.27%；重点管控单元22个，面积占比7.07%；一般管控单元15个，面积占比85.66%。根据广西“生态云”平台建设项目智能研判报告（详见附件5），</w:t>
            </w:r>
            <w:r>
              <w:rPr>
                <w:rFonts w:hint="eastAsia"/>
                <w:szCs w:val="21"/>
                <w:highlight w:val="none"/>
              </w:rPr>
              <w:t>项目所在区域属于</w:t>
            </w:r>
            <w:r>
              <w:rPr>
                <w:rFonts w:hint="eastAsia"/>
                <w:szCs w:val="21"/>
                <w:highlight w:val="none"/>
                <w:lang w:val="en-US" w:eastAsia="zh-CN"/>
              </w:rPr>
              <w:t>防城港经济技术开发区</w:t>
            </w:r>
            <w:r>
              <w:rPr>
                <w:rFonts w:hint="eastAsia"/>
                <w:szCs w:val="21"/>
                <w:highlight w:val="none"/>
              </w:rPr>
              <w:t>重点管控单元（编码：ZH4506022000</w:t>
            </w:r>
            <w:r>
              <w:rPr>
                <w:rFonts w:hint="eastAsia"/>
                <w:szCs w:val="21"/>
                <w:highlight w:val="none"/>
                <w:lang w:val="en-US" w:eastAsia="zh-CN"/>
              </w:rPr>
              <w:t>2</w:t>
            </w:r>
            <w:r>
              <w:rPr>
                <w:rFonts w:hint="eastAsia"/>
                <w:szCs w:val="21"/>
                <w:highlight w:val="none"/>
              </w:rPr>
              <w:t>）</w:t>
            </w:r>
            <w:r>
              <w:rPr>
                <w:rFonts w:hint="eastAsia"/>
                <w:szCs w:val="21"/>
              </w:rPr>
              <w:t>。项目与防城港市环境准入及管控要求清单相符性分析详见下表。</w:t>
            </w:r>
          </w:p>
          <w:p w14:paraId="008A8C47">
            <w:pPr>
              <w:spacing w:line="500" w:lineRule="atLeast"/>
              <w:jc w:val="center"/>
              <w:rPr>
                <w:rFonts w:hint="eastAsia"/>
                <w:szCs w:val="21"/>
              </w:rPr>
            </w:pPr>
            <w:r>
              <w:rPr>
                <w:rFonts w:hint="eastAsia" w:ascii="Times New Roman" w:hAnsi="Times New Roman" w:eastAsia="宋体" w:cs="Times New Roman"/>
                <w:b/>
                <w:szCs w:val="21"/>
                <w:lang w:val="en-US" w:eastAsia="zh-CN"/>
              </w:rPr>
              <w:t>表1-</w:t>
            </w:r>
            <w:r>
              <w:rPr>
                <w:rFonts w:hint="eastAsia" w:cs="Times New Roman"/>
                <w:b/>
                <w:szCs w:val="21"/>
                <w:lang w:val="en-US" w:eastAsia="zh-CN"/>
              </w:rPr>
              <w:t>2</w:t>
            </w:r>
            <w:r>
              <w:rPr>
                <w:rFonts w:hint="eastAsia" w:ascii="Times New Roman" w:hAnsi="Times New Roman" w:eastAsia="宋体" w:cs="Times New Roman"/>
                <w:b/>
                <w:szCs w:val="21"/>
                <w:lang w:val="en-US" w:eastAsia="zh-CN"/>
              </w:rPr>
              <w:t xml:space="preserve"> </w:t>
            </w:r>
            <w:r>
              <w:rPr>
                <w:rFonts w:hint="eastAsia" w:ascii="Times New Roman" w:hAnsi="Times New Roman" w:eastAsia="宋体" w:cs="Times New Roman"/>
                <w:b/>
                <w:szCs w:val="21"/>
              </w:rPr>
              <w:t>与防城港市生态环境准入及管控要求相符性分析</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518"/>
              <w:gridCol w:w="2081"/>
            </w:tblGrid>
            <w:tr w14:paraId="649B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95" w:type="pct"/>
                  <w:vAlign w:val="center"/>
                </w:tcPr>
                <w:p w14:paraId="3A8DD726">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管控类别</w:t>
                  </w:r>
                </w:p>
              </w:tc>
              <w:tc>
                <w:tcPr>
                  <w:tcW w:w="2704" w:type="pct"/>
                  <w:vAlign w:val="center"/>
                </w:tcPr>
                <w:p w14:paraId="302590E9">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与项目有关</w:t>
                  </w:r>
                  <w:r>
                    <w:rPr>
                      <w:rFonts w:hint="eastAsia" w:ascii="Times New Roman" w:hAnsi="Times New Roman" w:eastAsia="宋体" w:cs="Times New Roman"/>
                      <w:color w:val="000000"/>
                      <w:spacing w:val="0"/>
                      <w:kern w:val="0"/>
                      <w:sz w:val="21"/>
                      <w:szCs w:val="21"/>
                      <w:u w:val="none"/>
                    </w:rPr>
                    <w:t>的</w:t>
                  </w:r>
                  <w:r>
                    <w:rPr>
                      <w:rFonts w:ascii="Times New Roman" w:hAnsi="Times New Roman" w:eastAsia="宋体" w:cs="Times New Roman"/>
                      <w:color w:val="000000"/>
                      <w:spacing w:val="0"/>
                      <w:kern w:val="0"/>
                      <w:sz w:val="21"/>
                      <w:szCs w:val="21"/>
                      <w:u w:val="none"/>
                    </w:rPr>
                    <w:t>生态环境准入及管控要求</w:t>
                  </w:r>
                </w:p>
              </w:tc>
              <w:tc>
                <w:tcPr>
                  <w:tcW w:w="1599" w:type="pct"/>
                  <w:vAlign w:val="center"/>
                </w:tcPr>
                <w:p w14:paraId="25248454">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符合性分析</w:t>
                  </w:r>
                </w:p>
              </w:tc>
            </w:tr>
            <w:tr w14:paraId="04BC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restart"/>
                  <w:vAlign w:val="center"/>
                </w:tcPr>
                <w:p w14:paraId="6DD6D2E7">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空间布局约束</w:t>
                  </w:r>
                </w:p>
              </w:tc>
              <w:tc>
                <w:tcPr>
                  <w:tcW w:w="2704" w:type="pct"/>
                  <w:vAlign w:val="center"/>
                </w:tcPr>
                <w:p w14:paraId="1BF5B7A3">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lang w:bidi="ar"/>
                    </w:rPr>
                  </w:pPr>
                  <w:r>
                    <w:rPr>
                      <w:rFonts w:hint="eastAsia" w:ascii="Times New Roman" w:hAnsi="Times New Roman" w:eastAsia="宋体" w:cs="Times New Roman"/>
                      <w:color w:val="auto"/>
                      <w:spacing w:val="0"/>
                      <w:kern w:val="0"/>
                      <w:sz w:val="21"/>
                      <w:szCs w:val="21"/>
                      <w:u w:val="none"/>
                      <w:lang w:bidi="ar"/>
                    </w:rPr>
                    <w:t>1.自然保护区、森林公园、湿地公园、石漠公园、饮用水水源保护区、风景名胜区、公益林、天然林等具有法律地位，具有管理条例、规定、办法等的各类保护地，其管控要求原则上按照各类保护地的现行规定进行管理，重叠区域以最严格的要求进行管理。纳入生态保护红线管理的各类自然保护地，还应执行国家、自治区有关生态保护红线内各类开发活动的准入及管控规定和要求。</w:t>
                  </w:r>
                </w:p>
              </w:tc>
              <w:tc>
                <w:tcPr>
                  <w:tcW w:w="1599" w:type="pct"/>
                  <w:vAlign w:val="center"/>
                </w:tcPr>
                <w:p w14:paraId="0D1722E6">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符合，项目不涉及。</w:t>
                  </w:r>
                </w:p>
              </w:tc>
            </w:tr>
            <w:tr w14:paraId="3914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1261B639">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5DE1AD41">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lang w:bidi="ar"/>
                    </w:rPr>
                  </w:pPr>
                  <w:r>
                    <w:rPr>
                      <w:rFonts w:hint="eastAsia" w:ascii="Times New Roman" w:hAnsi="Times New Roman" w:eastAsia="宋体" w:cs="Times New Roman"/>
                      <w:color w:val="auto"/>
                      <w:spacing w:val="0"/>
                      <w:kern w:val="0"/>
                      <w:sz w:val="21"/>
                      <w:szCs w:val="21"/>
                      <w:u w:val="none"/>
                      <w:lang w:bidi="ar"/>
                    </w:rPr>
                    <w:t>2</w:t>
                  </w:r>
                  <w:r>
                    <w:rPr>
                      <w:rFonts w:ascii="Times New Roman" w:hAnsi="Times New Roman" w:eastAsia="宋体" w:cs="Times New Roman"/>
                      <w:color w:val="auto"/>
                      <w:spacing w:val="0"/>
                      <w:kern w:val="0"/>
                      <w:sz w:val="21"/>
                      <w:szCs w:val="21"/>
                      <w:u w:val="none"/>
                      <w:lang w:bidi="ar"/>
                    </w:rPr>
                    <w:t>.全市产业布局符合《北钦防一体化产业协同发展限制布局清单》要求。</w:t>
                  </w:r>
                </w:p>
              </w:tc>
              <w:tc>
                <w:tcPr>
                  <w:tcW w:w="1599" w:type="pct"/>
                  <w:vAlign w:val="center"/>
                </w:tcPr>
                <w:p w14:paraId="08EB0632">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w:t>
                  </w:r>
                  <w:r>
                    <w:rPr>
                      <w:rFonts w:hint="eastAsia" w:ascii="Times New Roman" w:hAnsi="Times New Roman" w:eastAsia="宋体" w:cs="Times New Roman"/>
                      <w:color w:val="000000"/>
                      <w:spacing w:val="0"/>
                      <w:kern w:val="0"/>
                      <w:sz w:val="21"/>
                      <w:szCs w:val="21"/>
                      <w:u w:val="none"/>
                    </w:rPr>
                    <w:t>根据《北钦防一体化产业协同发展限制布局清单》，项目不属于防城港市限制产业。</w:t>
                  </w:r>
                </w:p>
              </w:tc>
            </w:tr>
            <w:tr w14:paraId="63E4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2AE611C3">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4423DBE7">
                  <w:pPr>
                    <w:widowControl/>
                    <w:spacing w:line="320" w:lineRule="exact"/>
                    <w:jc w:val="center"/>
                    <w:rPr>
                      <w:rFonts w:ascii="Times New Roman" w:hAnsi="Times New Roman" w:eastAsia="宋体" w:cs="Times New Roman"/>
                      <w:color w:val="000000"/>
                      <w:spacing w:val="0"/>
                      <w:sz w:val="21"/>
                      <w:szCs w:val="21"/>
                      <w:u w:val="none"/>
                      <w:lang w:bidi="ar"/>
                    </w:rPr>
                  </w:pPr>
                  <w:r>
                    <w:rPr>
                      <w:rFonts w:hint="eastAsia" w:ascii="Times New Roman" w:hAnsi="Times New Roman" w:eastAsia="宋体" w:cs="Times New Roman"/>
                      <w:color w:val="000000"/>
                      <w:spacing w:val="0"/>
                      <w:sz w:val="21"/>
                      <w:szCs w:val="21"/>
                      <w:u w:val="none"/>
                      <w:lang w:bidi="ar"/>
                    </w:rPr>
                    <w:t>3.</w:t>
                  </w:r>
                  <w:r>
                    <w:rPr>
                      <w:rFonts w:ascii="Times New Roman" w:hAnsi="Times New Roman" w:eastAsia="宋体" w:cs="Times New Roman"/>
                      <w:color w:val="000000"/>
                      <w:spacing w:val="0"/>
                      <w:sz w:val="21"/>
                      <w:szCs w:val="21"/>
                      <w:u w:val="none"/>
                      <w:lang w:bidi="ar"/>
                    </w:rPr>
                    <w:t>城市建成区内的钢铁、石油、化工、有色金属、水泥、砖瓦等行业中的高排放、高污染项目，应当逐步进行搬迁、改造或者转型、退出</w:t>
                  </w:r>
                  <w:r>
                    <w:rPr>
                      <w:rFonts w:hint="eastAsia" w:ascii="Times New Roman" w:hAnsi="Times New Roman" w:eastAsia="宋体" w:cs="Times New Roman"/>
                      <w:color w:val="000000"/>
                      <w:spacing w:val="0"/>
                      <w:sz w:val="21"/>
                      <w:szCs w:val="21"/>
                      <w:u w:val="none"/>
                      <w:lang w:bidi="ar"/>
                    </w:rPr>
                    <w:t>，</w:t>
                  </w:r>
                  <w:r>
                    <w:rPr>
                      <w:rFonts w:ascii="Times New Roman" w:hAnsi="Times New Roman" w:eastAsia="宋体" w:cs="Times New Roman"/>
                      <w:color w:val="000000"/>
                      <w:spacing w:val="0"/>
                      <w:sz w:val="21"/>
                      <w:szCs w:val="21"/>
                      <w:u w:val="none"/>
                      <w:lang w:bidi="ar"/>
                    </w:rPr>
                    <w:t>加快推进企业入园管理。</w:t>
                  </w:r>
                </w:p>
              </w:tc>
              <w:tc>
                <w:tcPr>
                  <w:tcW w:w="1599" w:type="pct"/>
                  <w:vAlign w:val="center"/>
                </w:tcPr>
                <w:p w14:paraId="07663758">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符合，项目不属于</w:t>
                  </w:r>
                  <w:r>
                    <w:rPr>
                      <w:rFonts w:hint="eastAsia" w:ascii="Times New Roman" w:hAnsi="Times New Roman" w:eastAsia="宋体" w:cs="Times New Roman"/>
                      <w:color w:val="000000"/>
                      <w:spacing w:val="0"/>
                      <w:kern w:val="0"/>
                      <w:sz w:val="21"/>
                      <w:szCs w:val="21"/>
                      <w:u w:val="none"/>
                    </w:rPr>
                    <w:t>高排放、高污染项目。</w:t>
                  </w:r>
                </w:p>
              </w:tc>
            </w:tr>
            <w:tr w14:paraId="7837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restart"/>
                  <w:vAlign w:val="center"/>
                </w:tcPr>
                <w:p w14:paraId="41625B57">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污染物排放管控</w:t>
                  </w:r>
                </w:p>
              </w:tc>
              <w:tc>
                <w:tcPr>
                  <w:tcW w:w="2704" w:type="pct"/>
                  <w:vAlign w:val="center"/>
                </w:tcPr>
                <w:p w14:paraId="2C475AB6">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rPr>
                  </w:pPr>
                  <w:r>
                    <w:rPr>
                      <w:rFonts w:ascii="Times New Roman" w:hAnsi="Times New Roman" w:eastAsia="宋体" w:cs="Times New Roman"/>
                      <w:color w:val="auto"/>
                      <w:spacing w:val="0"/>
                      <w:kern w:val="0"/>
                      <w:sz w:val="21"/>
                      <w:szCs w:val="21"/>
                      <w:u w:val="none"/>
                    </w:rPr>
                    <w:t>1.</w:t>
                  </w:r>
                  <w:r>
                    <w:rPr>
                      <w:rFonts w:hint="eastAsia" w:eastAsia="方正仿宋_GB2312"/>
                      <w:u w:val="none"/>
                    </w:rPr>
                    <w:t xml:space="preserve"> </w:t>
                  </w:r>
                  <w:r>
                    <w:rPr>
                      <w:rFonts w:hint="eastAsia" w:ascii="Times New Roman" w:hAnsi="Times New Roman" w:eastAsia="宋体" w:cs="Times New Roman"/>
                      <w:color w:val="auto"/>
                      <w:spacing w:val="0"/>
                      <w:kern w:val="0"/>
                      <w:sz w:val="21"/>
                      <w:szCs w:val="21"/>
                      <w:u w:val="none"/>
                    </w:rPr>
                    <w:t>提升城镇污水收集处理能力，加强市、县两级城镇生活污水处理设施及配套管网建设和提标改造，完善建制镇污水处理设施建设；推进城中村、老旧城区和城乡结合部污水截流、收集</w:t>
                  </w:r>
                  <w:r>
                    <w:rPr>
                      <w:rFonts w:ascii="Times New Roman" w:hAnsi="Times New Roman" w:eastAsia="宋体" w:cs="Times New Roman"/>
                      <w:color w:val="auto"/>
                      <w:spacing w:val="0"/>
                      <w:kern w:val="0"/>
                      <w:sz w:val="21"/>
                      <w:szCs w:val="21"/>
                      <w:u w:val="none"/>
                    </w:rPr>
                    <w:t>。</w:t>
                  </w:r>
                </w:p>
              </w:tc>
              <w:tc>
                <w:tcPr>
                  <w:tcW w:w="1599" w:type="pct"/>
                  <w:vAlign w:val="center"/>
                </w:tcPr>
                <w:p w14:paraId="7CC59BB0">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w:t>
                  </w:r>
                  <w:r>
                    <w:rPr>
                      <w:rFonts w:hint="eastAsia" w:ascii="Times New Roman" w:hAnsi="Times New Roman" w:eastAsia="宋体" w:cs="Times New Roman"/>
                      <w:color w:val="000000"/>
                      <w:spacing w:val="0"/>
                      <w:kern w:val="0"/>
                      <w:sz w:val="21"/>
                      <w:szCs w:val="21"/>
                      <w:u w:val="none"/>
                      <w:lang w:val="en-US" w:eastAsia="zh-CN"/>
                    </w:rPr>
                    <w:t>本项目所产生的废水均经管道收集进入盛隆公司污水处理系统处理后全部循环利用，不外排</w:t>
                  </w:r>
                  <w:r>
                    <w:rPr>
                      <w:rFonts w:hint="eastAsia" w:ascii="Times New Roman" w:hAnsi="Times New Roman" w:eastAsia="宋体" w:cs="Times New Roman"/>
                      <w:color w:val="000000"/>
                      <w:spacing w:val="0"/>
                      <w:kern w:val="0"/>
                      <w:sz w:val="21"/>
                      <w:szCs w:val="21"/>
                      <w:u w:val="none"/>
                    </w:rPr>
                    <w:t>。</w:t>
                  </w:r>
                  <w:r>
                    <w:rPr>
                      <w:rFonts w:ascii="Times New Roman" w:hAnsi="Times New Roman" w:eastAsia="宋体" w:cs="Times New Roman"/>
                      <w:color w:val="000000"/>
                      <w:spacing w:val="0"/>
                      <w:kern w:val="0"/>
                      <w:sz w:val="21"/>
                      <w:szCs w:val="21"/>
                      <w:u w:val="none"/>
                    </w:rPr>
                    <w:t xml:space="preserve"> </w:t>
                  </w:r>
                </w:p>
              </w:tc>
            </w:tr>
            <w:tr w14:paraId="6D87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0BF3121A">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2A44ED42">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rPr>
                  </w:pPr>
                  <w:r>
                    <w:rPr>
                      <w:rFonts w:hint="eastAsia" w:ascii="Times New Roman" w:hAnsi="Times New Roman" w:eastAsia="宋体" w:cs="Times New Roman"/>
                      <w:color w:val="auto"/>
                      <w:spacing w:val="0"/>
                      <w:kern w:val="0"/>
                      <w:sz w:val="21"/>
                      <w:szCs w:val="21"/>
                      <w:u w:val="none"/>
                      <w:lang w:val="en-US" w:eastAsia="zh-CN"/>
                    </w:rPr>
                    <w:t>2</w:t>
                  </w:r>
                  <w:r>
                    <w:rPr>
                      <w:rFonts w:hint="eastAsia" w:ascii="Times New Roman" w:hAnsi="Times New Roman" w:eastAsia="宋体" w:cs="Times New Roman"/>
                      <w:color w:val="auto"/>
                      <w:spacing w:val="0"/>
                      <w:kern w:val="0"/>
                      <w:sz w:val="21"/>
                      <w:szCs w:val="21"/>
                      <w:u w:val="none"/>
                    </w:rPr>
                    <w:t>.钢铁、有色金属、化工等行业工业企业脱硫、脱硝、除尘升级改造，钢铁行业超低排放改造，严格控制工业炉窑生产过程及相关物料储运、输送等无组织排放。工业涂装、塑料制品、包装印刷等重点行业企业实施强制性清洁生产审核制度，加强VOCs排放行业源头减排、过程控制和末端治理。制药、木材加工、家具制造、印刷等重点行业企业VOCs治理，推广使用低VOCs含量涂料、油墨、胶粘剂，减少挥发性有机物排放量；鼓励工业园区和产业集群推广溶剂集中回收、活性炭集中再生、集中喷涂、共享喷涂。</w:t>
                  </w:r>
                </w:p>
              </w:tc>
              <w:tc>
                <w:tcPr>
                  <w:tcW w:w="1599" w:type="pct"/>
                  <w:vAlign w:val="center"/>
                </w:tcPr>
                <w:p w14:paraId="7289792F">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rPr>
                    <w:t>符合，本项目生产过程无VOCs产生。</w:t>
                  </w:r>
                </w:p>
              </w:tc>
            </w:tr>
            <w:tr w14:paraId="7C93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46602C0A">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19BA5D61">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rPr>
                  </w:pPr>
                  <w:r>
                    <w:rPr>
                      <w:rFonts w:hint="eastAsia" w:ascii="Times New Roman" w:hAnsi="Times New Roman" w:eastAsia="宋体" w:cs="Times New Roman"/>
                      <w:color w:val="auto"/>
                      <w:spacing w:val="0"/>
                      <w:kern w:val="0"/>
                      <w:sz w:val="21"/>
                      <w:szCs w:val="21"/>
                      <w:u w:val="none"/>
                      <w:lang w:val="en-US" w:eastAsia="zh-CN"/>
                    </w:rPr>
                    <w:t>3.</w:t>
                  </w:r>
                  <w:r>
                    <w:rPr>
                      <w:rFonts w:hint="eastAsia" w:ascii="Times New Roman" w:hAnsi="Times New Roman" w:eastAsia="宋体" w:cs="Times New Roman"/>
                      <w:color w:val="auto"/>
                      <w:spacing w:val="0"/>
                      <w:kern w:val="0"/>
                      <w:sz w:val="21"/>
                      <w:szCs w:val="21"/>
                      <w:u w:val="none"/>
                    </w:rPr>
                    <w:t>新建、改建、扩建涉及重点重金属排放建设项目，依照相关规定实行总量控制，实施重点重金属污染物排放“减量置换”或“等量替换”。</w:t>
                  </w:r>
                </w:p>
              </w:tc>
              <w:tc>
                <w:tcPr>
                  <w:tcW w:w="1599" w:type="pct"/>
                  <w:vAlign w:val="center"/>
                </w:tcPr>
                <w:p w14:paraId="42AE368F">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rPr>
                    <w:t>符合，项目</w:t>
                  </w:r>
                  <w:r>
                    <w:rPr>
                      <w:rFonts w:hint="eastAsia" w:ascii="Times New Roman" w:hAnsi="Times New Roman" w:eastAsia="宋体" w:cs="Times New Roman"/>
                      <w:color w:val="000000"/>
                      <w:spacing w:val="0"/>
                      <w:kern w:val="0"/>
                      <w:sz w:val="21"/>
                      <w:szCs w:val="21"/>
                      <w:u w:val="none"/>
                      <w:lang w:val="en-US" w:eastAsia="zh-CN"/>
                    </w:rPr>
                    <w:t>不</w:t>
                  </w:r>
                  <w:r>
                    <w:rPr>
                      <w:rFonts w:hint="eastAsia" w:cs="Times New Roman"/>
                      <w:color w:val="000000"/>
                      <w:spacing w:val="0"/>
                      <w:kern w:val="0"/>
                      <w:sz w:val="21"/>
                      <w:szCs w:val="21"/>
                      <w:u w:val="none"/>
                      <w:lang w:val="en-US" w:eastAsia="zh-CN"/>
                    </w:rPr>
                    <w:t>属于</w:t>
                  </w:r>
                  <w:r>
                    <w:rPr>
                      <w:rFonts w:hint="eastAsia" w:ascii="Times New Roman" w:hAnsi="Times New Roman" w:eastAsia="宋体" w:cs="Times New Roman"/>
                      <w:color w:val="000000"/>
                      <w:spacing w:val="0"/>
                      <w:kern w:val="0"/>
                      <w:sz w:val="21"/>
                      <w:szCs w:val="21"/>
                      <w:u w:val="none"/>
                      <w:lang w:val="en-US" w:eastAsia="zh-CN"/>
                    </w:rPr>
                    <w:t>重点重金属排放建设项目</w:t>
                  </w:r>
                  <w:r>
                    <w:rPr>
                      <w:rFonts w:hint="eastAsia" w:ascii="Times New Roman" w:hAnsi="Times New Roman" w:eastAsia="宋体" w:cs="Times New Roman"/>
                      <w:color w:val="000000"/>
                      <w:spacing w:val="0"/>
                      <w:kern w:val="0"/>
                      <w:sz w:val="21"/>
                      <w:szCs w:val="21"/>
                      <w:u w:val="none"/>
                    </w:rPr>
                    <w:t>。</w:t>
                  </w:r>
                </w:p>
              </w:tc>
            </w:tr>
            <w:tr w14:paraId="1BB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54A7151C">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7BE1AFC9">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rPr>
                  </w:pPr>
                  <w:r>
                    <w:rPr>
                      <w:rFonts w:hint="eastAsia" w:ascii="Times New Roman" w:hAnsi="Times New Roman" w:eastAsia="宋体" w:cs="Times New Roman"/>
                      <w:color w:val="auto"/>
                      <w:spacing w:val="0"/>
                      <w:kern w:val="0"/>
                      <w:sz w:val="21"/>
                      <w:szCs w:val="21"/>
                      <w:u w:val="none"/>
                      <w:lang w:val="en-US" w:eastAsia="zh-CN"/>
                    </w:rPr>
                    <w:t>4.</w:t>
                  </w:r>
                  <w:r>
                    <w:rPr>
                      <w:rFonts w:hint="eastAsia" w:ascii="Times New Roman" w:hAnsi="Times New Roman" w:eastAsia="宋体" w:cs="Times New Roman"/>
                      <w:color w:val="auto"/>
                      <w:spacing w:val="0"/>
                      <w:kern w:val="0"/>
                      <w:sz w:val="21"/>
                      <w:szCs w:val="21"/>
                      <w:u w:val="none"/>
                    </w:rPr>
                    <w:t>新建“两高”项目应采用先进适用的工艺技术和装备，单位产品物耗、能耗、水耗等达到清洁生产先进水平，依法制定并严格落实防治土壤与地下水污染的措施。按照《关于加强重点行业建设项目区域削减措施监督管理的通知》（环办环评〔2020〕36号）《广西壮族自治区高耗能、高排放建设项目主要污染物排放管理办法》（桂环规范〔2023〕6号）要求，依据区域环境质量改善目标，制定配套区域污染物削减方案，采取有效的污染物区域削减措施，腾出足够的环境容量；推进“两高”行业减污降碳协同控制，将碳排放影响评价纳入环境影响评价体系。</w:t>
                  </w:r>
                </w:p>
              </w:tc>
              <w:tc>
                <w:tcPr>
                  <w:tcW w:w="1599" w:type="pct"/>
                  <w:vAlign w:val="center"/>
                </w:tcPr>
                <w:p w14:paraId="3C50E4EA">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rPr>
                    <w:t>符合，项目不属于两高项目。</w:t>
                  </w:r>
                </w:p>
              </w:tc>
            </w:tr>
            <w:tr w14:paraId="210A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02D0A760">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0497345B">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rPr>
                  </w:pPr>
                  <w:r>
                    <w:rPr>
                      <w:rFonts w:hint="eastAsia" w:ascii="Times New Roman" w:hAnsi="Times New Roman" w:eastAsia="宋体" w:cs="Times New Roman"/>
                      <w:color w:val="auto"/>
                      <w:spacing w:val="0"/>
                      <w:kern w:val="0"/>
                      <w:sz w:val="21"/>
                      <w:szCs w:val="21"/>
                      <w:u w:val="none"/>
                      <w:lang w:val="en-US" w:eastAsia="zh-CN"/>
                    </w:rPr>
                    <w:t>5.</w:t>
                  </w:r>
                  <w:r>
                    <w:rPr>
                      <w:rFonts w:hint="eastAsia" w:ascii="Times New Roman" w:hAnsi="Times New Roman" w:eastAsia="宋体" w:cs="Times New Roman"/>
                      <w:color w:val="auto"/>
                      <w:spacing w:val="0"/>
                      <w:kern w:val="0"/>
                      <w:sz w:val="21"/>
                      <w:szCs w:val="21"/>
                      <w:u w:val="none"/>
                    </w:rPr>
                    <w:t>强化尾矿、煤矸石、工业副产石膏、粉煤灰、赤泥、砷渣、铬渣等工业废渣，以及脱硫、脱硝、除尘产生的危险废物堆存场所规范化管理。</w:t>
                  </w:r>
                </w:p>
              </w:tc>
              <w:tc>
                <w:tcPr>
                  <w:tcW w:w="1599" w:type="pct"/>
                  <w:vAlign w:val="center"/>
                </w:tcPr>
                <w:p w14:paraId="2ADD2ECA">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rPr>
                    <w:t>符合，本次评价已要求建设单位对危险废物堆存场所规范化管理。</w:t>
                  </w:r>
                </w:p>
              </w:tc>
            </w:tr>
            <w:tr w14:paraId="4641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10273FE1">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46B605C0">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rPr>
                  </w:pPr>
                  <w:r>
                    <w:rPr>
                      <w:rFonts w:hint="eastAsia" w:ascii="Times New Roman" w:hAnsi="Times New Roman" w:eastAsia="宋体" w:cs="Times New Roman"/>
                      <w:color w:val="auto"/>
                      <w:spacing w:val="0"/>
                      <w:kern w:val="0"/>
                      <w:sz w:val="21"/>
                      <w:szCs w:val="21"/>
                      <w:u w:val="none"/>
                      <w:lang w:val="en-US" w:eastAsia="zh-CN"/>
                    </w:rPr>
                    <w:t>6.</w:t>
                  </w:r>
                  <w:r>
                    <w:rPr>
                      <w:rFonts w:ascii="Times New Roman" w:hAnsi="Times New Roman" w:eastAsia="宋体" w:cs="Times New Roman"/>
                      <w:color w:val="auto"/>
                      <w:spacing w:val="0"/>
                      <w:kern w:val="0"/>
                      <w:sz w:val="21"/>
                      <w:szCs w:val="21"/>
                      <w:u w:val="none"/>
                    </w:rPr>
                    <w:t>加强海陆联动，严</w:t>
                  </w:r>
                  <w:r>
                    <w:rPr>
                      <w:rFonts w:hint="eastAsia" w:ascii="Times New Roman" w:hAnsi="Times New Roman" w:eastAsia="宋体" w:cs="Times New Roman"/>
                      <w:color w:val="auto"/>
                      <w:spacing w:val="0"/>
                      <w:kern w:val="0"/>
                      <w:sz w:val="21"/>
                      <w:szCs w:val="21"/>
                      <w:u w:val="none"/>
                    </w:rPr>
                    <w:t>格控</w:t>
                  </w:r>
                  <w:r>
                    <w:rPr>
                      <w:rFonts w:ascii="Times New Roman" w:hAnsi="Times New Roman" w:eastAsia="宋体" w:cs="Times New Roman"/>
                      <w:color w:val="auto"/>
                      <w:spacing w:val="0"/>
                      <w:kern w:val="0"/>
                      <w:sz w:val="21"/>
                      <w:szCs w:val="21"/>
                      <w:u w:val="none"/>
                    </w:rPr>
                    <w:cr/>
                  </w:r>
                  <w:r>
                    <w:rPr>
                      <w:rFonts w:ascii="Times New Roman" w:hAnsi="Times New Roman" w:eastAsia="宋体" w:cs="Times New Roman"/>
                      <w:color w:val="auto"/>
                      <w:spacing w:val="0"/>
                      <w:kern w:val="0"/>
                      <w:sz w:val="21"/>
                      <w:szCs w:val="21"/>
                      <w:u w:val="none"/>
                    </w:rPr>
                    <w:t>制陆源污染物排放。规范入海排污口设置，全面清理非法或设置不合理的入海排污口。入海污染物排放要在批准的排污区（口）内进行，并符合排污许可的排放量要求。</w:t>
                  </w:r>
                </w:p>
              </w:tc>
              <w:tc>
                <w:tcPr>
                  <w:tcW w:w="1599" w:type="pct"/>
                  <w:vAlign w:val="center"/>
                </w:tcPr>
                <w:p w14:paraId="6676AC49">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w:t>
                  </w:r>
                  <w:r>
                    <w:rPr>
                      <w:rFonts w:hint="eastAsia" w:ascii="Times New Roman" w:hAnsi="Times New Roman" w:eastAsia="宋体" w:cs="Times New Roman"/>
                      <w:color w:val="000000"/>
                      <w:spacing w:val="0"/>
                      <w:kern w:val="0"/>
                      <w:sz w:val="21"/>
                      <w:szCs w:val="21"/>
                      <w:u w:val="none"/>
                    </w:rPr>
                    <w:t>本项目所产生的废水均经管道收集进入盛隆公司污水处理系统处理后全部循环利用，不外排。</w:t>
                  </w:r>
                </w:p>
              </w:tc>
            </w:tr>
            <w:tr w14:paraId="7769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0BCEF84A">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135F22A1">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rPr>
                  </w:pPr>
                  <w:r>
                    <w:rPr>
                      <w:rFonts w:hint="eastAsia" w:ascii="Times New Roman" w:hAnsi="Times New Roman" w:eastAsia="宋体" w:cs="Times New Roman"/>
                      <w:color w:val="auto"/>
                      <w:spacing w:val="0"/>
                      <w:kern w:val="0"/>
                      <w:sz w:val="21"/>
                      <w:szCs w:val="21"/>
                      <w:u w:val="none"/>
                      <w:lang w:val="en-US" w:eastAsia="zh-CN"/>
                    </w:rPr>
                    <w:t>7.</w:t>
                  </w:r>
                  <w:r>
                    <w:rPr>
                      <w:rFonts w:ascii="Times New Roman" w:hAnsi="Times New Roman" w:eastAsia="宋体" w:cs="Times New Roman"/>
                      <w:color w:val="auto"/>
                      <w:spacing w:val="0"/>
                      <w:kern w:val="0"/>
                      <w:sz w:val="21"/>
                      <w:szCs w:val="21"/>
                      <w:u w:val="none"/>
                    </w:rPr>
                    <w:t>污水离岸排放不得超过国家或者地方规定的排放标准。禁止向海域排放油类、酸液、碱液、剧毒废液和高、中水平放射性废水，严格控制向海域排放含有不易降解的有机物和重金属的废水，排放低水平放射性废水应当符合国家放射性污染防治标准，其他污染物的排放应当符合国家或者地方标准。含病原体的医疗污水、生活污水和工业废水必须经过处理，符合国家有关排放标准后，方能排入海域。含有机物和营养物质的工业废水，应当严格控制向海湾、半封闭海及其他自净能力较差的海域排放。向海域排放含热废水，必须采取有效措施，保证邻近渔业水域的水温符合国家海洋环境质量标准，避免热污染对水产资源的危害。</w:t>
                  </w:r>
                </w:p>
              </w:tc>
              <w:tc>
                <w:tcPr>
                  <w:tcW w:w="1599" w:type="pct"/>
                  <w:vAlign w:val="center"/>
                </w:tcPr>
                <w:p w14:paraId="3357122B">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w:t>
                  </w:r>
                  <w:r>
                    <w:rPr>
                      <w:rFonts w:hint="eastAsia" w:ascii="Times New Roman" w:hAnsi="Times New Roman" w:cs="Times New Roman"/>
                      <w:color w:val="auto"/>
                      <w:sz w:val="21"/>
                      <w:szCs w:val="21"/>
                    </w:rPr>
                    <w:t>本项目所产生的废水均经管道收集进入盛隆公司污水处理系统处理后全部循环利用，不外排</w:t>
                  </w:r>
                  <w:r>
                    <w:rPr>
                      <w:rFonts w:hint="eastAsia" w:ascii="Times New Roman" w:hAnsi="Times New Roman" w:eastAsia="宋体" w:cs="Times New Roman"/>
                      <w:color w:val="000000"/>
                      <w:spacing w:val="0"/>
                      <w:kern w:val="0"/>
                      <w:sz w:val="21"/>
                      <w:szCs w:val="21"/>
                      <w:u w:val="none"/>
                    </w:rPr>
                    <w:t>。</w:t>
                  </w:r>
                </w:p>
              </w:tc>
            </w:tr>
            <w:tr w14:paraId="581E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776D7315">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6A3346A3">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rPr>
                  </w:pPr>
                  <w:r>
                    <w:rPr>
                      <w:rFonts w:hint="eastAsia" w:ascii="Times New Roman" w:hAnsi="Times New Roman" w:eastAsia="宋体" w:cs="Times New Roman"/>
                      <w:color w:val="auto"/>
                      <w:spacing w:val="0"/>
                      <w:kern w:val="0"/>
                      <w:sz w:val="21"/>
                      <w:szCs w:val="21"/>
                      <w:u w:val="none"/>
                      <w:lang w:val="en-US" w:eastAsia="zh-CN"/>
                    </w:rPr>
                    <w:t>8.</w:t>
                  </w:r>
                  <w:r>
                    <w:rPr>
                      <w:rFonts w:ascii="Times New Roman" w:hAnsi="Times New Roman" w:eastAsia="宋体" w:cs="Times New Roman"/>
                      <w:color w:val="auto"/>
                      <w:spacing w:val="0"/>
                      <w:kern w:val="0"/>
                      <w:sz w:val="21"/>
                      <w:szCs w:val="21"/>
                      <w:u w:val="none"/>
                    </w:rPr>
                    <w:t>港区实行雨污分流和污水分质处理，完善污水集中处理设施和配套管网建设，实现污水集中处理、回用或达标排放。</w:t>
                  </w:r>
                </w:p>
              </w:tc>
              <w:tc>
                <w:tcPr>
                  <w:tcW w:w="1599" w:type="pct"/>
                  <w:vAlign w:val="center"/>
                </w:tcPr>
                <w:p w14:paraId="644B2A0C">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w:t>
                  </w:r>
                  <w:r>
                    <w:rPr>
                      <w:rFonts w:hint="eastAsia" w:ascii="Times New Roman" w:hAnsi="Times New Roman" w:cs="Times New Roman"/>
                      <w:color w:val="auto"/>
                      <w:sz w:val="21"/>
                      <w:szCs w:val="21"/>
                    </w:rPr>
                    <w:t>本项目所产生的废水均经管道收集进入盛隆公司污水处理系统处理后全部循环利用，不外排</w:t>
                  </w:r>
                  <w:r>
                    <w:rPr>
                      <w:rFonts w:hint="eastAsia" w:ascii="Times New Roman" w:hAnsi="Times New Roman" w:eastAsia="宋体" w:cs="Times New Roman"/>
                      <w:color w:val="000000"/>
                      <w:spacing w:val="0"/>
                      <w:kern w:val="0"/>
                      <w:sz w:val="21"/>
                      <w:szCs w:val="21"/>
                      <w:u w:val="none"/>
                    </w:rPr>
                    <w:t>。</w:t>
                  </w:r>
                </w:p>
              </w:tc>
            </w:tr>
            <w:tr w14:paraId="0816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restart"/>
                  <w:vAlign w:val="center"/>
                </w:tcPr>
                <w:p w14:paraId="666709CB">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环境风险防控</w:t>
                  </w:r>
                </w:p>
              </w:tc>
              <w:tc>
                <w:tcPr>
                  <w:tcW w:w="2704" w:type="pct"/>
                  <w:vAlign w:val="center"/>
                </w:tcPr>
                <w:p w14:paraId="350E3AB0">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lang w:bidi="ar"/>
                    </w:rPr>
                  </w:pPr>
                  <w:r>
                    <w:rPr>
                      <w:rFonts w:ascii="Times New Roman" w:hAnsi="Times New Roman" w:eastAsia="宋体" w:cs="Times New Roman"/>
                      <w:color w:val="auto"/>
                      <w:spacing w:val="0"/>
                      <w:kern w:val="0"/>
                      <w:sz w:val="21"/>
                      <w:szCs w:val="21"/>
                      <w:u w:val="none"/>
                      <w:lang w:bidi="ar"/>
                    </w:rPr>
                    <w:t>1.强化环境风险源精准化管理，健全企业突发环境事件风险</w:t>
                  </w:r>
                  <w:r>
                    <w:rPr>
                      <w:rFonts w:hint="eastAsia" w:ascii="Times New Roman" w:hAnsi="Times New Roman" w:eastAsia="宋体" w:cs="Times New Roman"/>
                      <w:color w:val="auto"/>
                      <w:spacing w:val="0"/>
                      <w:kern w:val="0"/>
                      <w:sz w:val="21"/>
                      <w:szCs w:val="21"/>
                      <w:u w:val="none"/>
                      <w:lang w:bidi="ar"/>
                    </w:rPr>
                    <w:t>评</w:t>
                  </w:r>
                  <w:r>
                    <w:rPr>
                      <w:rFonts w:ascii="Times New Roman" w:hAnsi="Times New Roman" w:eastAsia="宋体" w:cs="Times New Roman"/>
                      <w:color w:val="auto"/>
                      <w:spacing w:val="0"/>
                      <w:kern w:val="0"/>
                      <w:sz w:val="21"/>
                      <w:szCs w:val="21"/>
                      <w:u w:val="none"/>
                      <w:lang w:bidi="ar"/>
                    </w:rPr>
                    <w:cr/>
                  </w:r>
                  <w:r>
                    <w:rPr>
                      <w:rFonts w:ascii="Times New Roman" w:hAnsi="Times New Roman" w:eastAsia="宋体" w:cs="Times New Roman"/>
                      <w:color w:val="auto"/>
                      <w:spacing w:val="0"/>
                      <w:kern w:val="0"/>
                      <w:sz w:val="21"/>
                      <w:szCs w:val="21"/>
                      <w:u w:val="none"/>
                      <w:lang w:bidi="ar"/>
                    </w:rPr>
                    <w:t>估制度，动态更新重点环境风险源管理目录清单，建立信息齐全、数据准确的风险源及敏感保护目标的数据库，准确掌握重点环境风险源分布情况，重点加强较大及以上风险等级风险源的环境风险防范和应急预警管理。</w:t>
                  </w:r>
                </w:p>
              </w:tc>
              <w:tc>
                <w:tcPr>
                  <w:tcW w:w="1599" w:type="pct"/>
                  <w:vAlign w:val="center"/>
                </w:tcPr>
                <w:p w14:paraId="1B190E21">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符合，</w:t>
                  </w:r>
                  <w:r>
                    <w:rPr>
                      <w:rFonts w:hint="eastAsia" w:ascii="Times New Roman" w:hAnsi="Times New Roman" w:eastAsia="宋体" w:cs="Times New Roman"/>
                      <w:color w:val="000000"/>
                      <w:spacing w:val="0"/>
                      <w:kern w:val="0"/>
                      <w:sz w:val="21"/>
                      <w:szCs w:val="21"/>
                      <w:u w:val="none"/>
                    </w:rPr>
                    <w:t>项目</w:t>
                  </w:r>
                  <w:r>
                    <w:rPr>
                      <w:rFonts w:hint="eastAsia" w:ascii="Times New Roman" w:hAnsi="Times New Roman" w:eastAsia="宋体" w:cs="Times New Roman"/>
                      <w:color w:val="000000"/>
                      <w:spacing w:val="0"/>
                      <w:kern w:val="0"/>
                      <w:sz w:val="21"/>
                      <w:szCs w:val="21"/>
                      <w:u w:val="none"/>
                      <w:lang w:val="en-US" w:eastAsia="zh-CN"/>
                    </w:rPr>
                    <w:t>已设置</w:t>
                  </w:r>
                  <w:r>
                    <w:rPr>
                      <w:rFonts w:hint="eastAsia" w:ascii="Times New Roman" w:hAnsi="Times New Roman" w:eastAsia="宋体" w:cs="Times New Roman"/>
                      <w:color w:val="000000"/>
                      <w:spacing w:val="0"/>
                      <w:kern w:val="0"/>
                      <w:sz w:val="21"/>
                      <w:szCs w:val="21"/>
                      <w:u w:val="none"/>
                    </w:rPr>
                    <w:t>环境风险防范措施，加强应急预警管理</w:t>
                  </w:r>
                  <w:r>
                    <w:rPr>
                      <w:rFonts w:hint="eastAsia" w:cs="Times New Roman"/>
                      <w:color w:val="000000"/>
                      <w:spacing w:val="0"/>
                      <w:kern w:val="0"/>
                      <w:sz w:val="21"/>
                      <w:szCs w:val="21"/>
                      <w:u w:val="none"/>
                      <w:lang w:eastAsia="zh-CN"/>
                    </w:rPr>
                    <w:t>，</w:t>
                  </w:r>
                  <w:r>
                    <w:rPr>
                      <w:rFonts w:hint="eastAsia" w:cs="Times New Roman"/>
                      <w:color w:val="000000"/>
                      <w:spacing w:val="0"/>
                      <w:kern w:val="0"/>
                      <w:sz w:val="21"/>
                      <w:szCs w:val="21"/>
                      <w:u w:val="none"/>
                      <w:lang w:val="en-US" w:eastAsia="zh-CN"/>
                    </w:rPr>
                    <w:t>且</w:t>
                  </w:r>
                  <w:r>
                    <w:rPr>
                      <w:rFonts w:hint="eastAsia" w:cs="Times New Roman"/>
                      <w:color w:val="000000"/>
                      <w:spacing w:val="0"/>
                      <w:kern w:val="0"/>
                      <w:sz w:val="21"/>
                      <w:szCs w:val="21"/>
                      <w:u w:val="none"/>
                      <w:lang w:eastAsia="zh-CN"/>
                    </w:rPr>
                    <w:t>盛隆已编制环境风险应急预案，</w:t>
                  </w:r>
                  <w:r>
                    <w:rPr>
                      <w:rFonts w:hint="eastAsia" w:cs="Times New Roman"/>
                      <w:color w:val="000000"/>
                      <w:spacing w:val="0"/>
                      <w:kern w:val="0"/>
                      <w:sz w:val="21"/>
                      <w:szCs w:val="21"/>
                      <w:u w:val="none"/>
                      <w:lang w:val="en-US" w:eastAsia="zh-CN"/>
                    </w:rPr>
                    <w:t>备案详见附件5</w:t>
                  </w:r>
                  <w:r>
                    <w:rPr>
                      <w:rFonts w:ascii="Times New Roman" w:hAnsi="Times New Roman" w:eastAsia="宋体" w:cs="Times New Roman"/>
                      <w:color w:val="000000"/>
                      <w:spacing w:val="0"/>
                      <w:kern w:val="0"/>
                      <w:sz w:val="21"/>
                      <w:szCs w:val="21"/>
                      <w:u w:val="none"/>
                    </w:rPr>
                    <w:t>。</w:t>
                  </w:r>
                </w:p>
              </w:tc>
            </w:tr>
            <w:tr w14:paraId="23D3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588B3B96">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2D96A445">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lang w:bidi="ar"/>
                    </w:rPr>
                  </w:pPr>
                  <w:r>
                    <w:rPr>
                      <w:rFonts w:hint="eastAsia" w:ascii="Times New Roman" w:hAnsi="Times New Roman" w:eastAsia="宋体" w:cs="Times New Roman"/>
                      <w:color w:val="auto"/>
                      <w:spacing w:val="0"/>
                      <w:kern w:val="0"/>
                      <w:sz w:val="21"/>
                      <w:szCs w:val="21"/>
                      <w:u w:val="none"/>
                      <w:lang w:val="en-US" w:eastAsia="zh-CN" w:bidi="ar"/>
                    </w:rPr>
                    <w:t>2</w:t>
                  </w:r>
                  <w:r>
                    <w:rPr>
                      <w:rFonts w:ascii="Times New Roman" w:hAnsi="Times New Roman" w:eastAsia="宋体" w:cs="Times New Roman"/>
                      <w:color w:val="auto"/>
                      <w:spacing w:val="0"/>
                      <w:kern w:val="0"/>
                      <w:sz w:val="21"/>
                      <w:szCs w:val="21"/>
                      <w:u w:val="none"/>
                      <w:lang w:bidi="ar"/>
                    </w:rPr>
                    <w:t>.强化沿海工业园区和沿海石油、石化、化工、冶炼及危化品储运等企业的环境风险防控。</w:t>
                  </w:r>
                </w:p>
              </w:tc>
              <w:tc>
                <w:tcPr>
                  <w:tcW w:w="1599" w:type="pct"/>
                  <w:vAlign w:val="center"/>
                </w:tcPr>
                <w:p w14:paraId="1187DF0A">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rPr>
                    <w:t>符合，项目</w:t>
                  </w:r>
                  <w:r>
                    <w:rPr>
                      <w:rFonts w:hint="eastAsia" w:ascii="Times New Roman" w:hAnsi="Times New Roman" w:eastAsia="宋体" w:cs="Times New Roman"/>
                      <w:color w:val="000000"/>
                      <w:spacing w:val="0"/>
                      <w:kern w:val="0"/>
                      <w:sz w:val="21"/>
                      <w:szCs w:val="21"/>
                      <w:u w:val="none"/>
                      <w:lang w:val="en-US" w:eastAsia="zh-CN"/>
                    </w:rPr>
                    <w:t>已设置</w:t>
                  </w:r>
                  <w:r>
                    <w:rPr>
                      <w:rFonts w:hint="eastAsia" w:ascii="Times New Roman" w:hAnsi="Times New Roman" w:eastAsia="宋体" w:cs="Times New Roman"/>
                      <w:color w:val="000000"/>
                      <w:spacing w:val="0"/>
                      <w:kern w:val="0"/>
                      <w:sz w:val="21"/>
                      <w:szCs w:val="21"/>
                      <w:u w:val="none"/>
                    </w:rPr>
                    <w:t>环境风险防范措施，加强应急预警管理</w:t>
                  </w:r>
                  <w:r>
                    <w:rPr>
                      <w:rFonts w:hint="eastAsia" w:cs="Times New Roman"/>
                      <w:color w:val="000000"/>
                      <w:spacing w:val="0"/>
                      <w:kern w:val="0"/>
                      <w:sz w:val="21"/>
                      <w:szCs w:val="21"/>
                      <w:u w:val="none"/>
                      <w:lang w:eastAsia="zh-CN"/>
                    </w:rPr>
                    <w:t>，</w:t>
                  </w:r>
                  <w:r>
                    <w:rPr>
                      <w:rFonts w:hint="eastAsia" w:cs="Times New Roman"/>
                      <w:color w:val="000000"/>
                      <w:spacing w:val="0"/>
                      <w:kern w:val="0"/>
                      <w:sz w:val="21"/>
                      <w:szCs w:val="21"/>
                      <w:u w:val="none"/>
                      <w:lang w:val="en-US" w:eastAsia="zh-CN"/>
                    </w:rPr>
                    <w:t>且</w:t>
                  </w:r>
                  <w:r>
                    <w:rPr>
                      <w:rFonts w:hint="eastAsia" w:cs="Times New Roman"/>
                      <w:color w:val="000000"/>
                      <w:spacing w:val="0"/>
                      <w:kern w:val="0"/>
                      <w:sz w:val="21"/>
                      <w:szCs w:val="21"/>
                      <w:u w:val="none"/>
                      <w:lang w:eastAsia="zh-CN"/>
                    </w:rPr>
                    <w:t>盛隆已编制环境风险应急预案，</w:t>
                  </w:r>
                  <w:r>
                    <w:rPr>
                      <w:rFonts w:hint="eastAsia" w:cs="Times New Roman"/>
                      <w:color w:val="000000"/>
                      <w:spacing w:val="0"/>
                      <w:kern w:val="0"/>
                      <w:sz w:val="21"/>
                      <w:szCs w:val="21"/>
                      <w:u w:val="none"/>
                      <w:lang w:val="en-US" w:eastAsia="zh-CN"/>
                    </w:rPr>
                    <w:t>备案详见附件5</w:t>
                  </w:r>
                  <w:r>
                    <w:rPr>
                      <w:rFonts w:hint="eastAsia" w:ascii="Times New Roman" w:hAnsi="Times New Roman" w:eastAsia="宋体" w:cs="Times New Roman"/>
                      <w:color w:val="000000"/>
                      <w:spacing w:val="0"/>
                      <w:kern w:val="0"/>
                      <w:sz w:val="21"/>
                      <w:szCs w:val="21"/>
                      <w:u w:val="none"/>
                    </w:rPr>
                    <w:t>。</w:t>
                  </w:r>
                </w:p>
              </w:tc>
            </w:tr>
            <w:tr w14:paraId="133C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restart"/>
                  <w:vAlign w:val="center"/>
                </w:tcPr>
                <w:p w14:paraId="32CE388C">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ascii="Times New Roman" w:hAnsi="Times New Roman" w:eastAsia="宋体" w:cs="Times New Roman"/>
                      <w:color w:val="000000"/>
                      <w:spacing w:val="0"/>
                      <w:kern w:val="0"/>
                      <w:sz w:val="21"/>
                      <w:szCs w:val="21"/>
                      <w:u w:val="none"/>
                    </w:rPr>
                    <w:t>资源开发利用效率要求</w:t>
                  </w:r>
                </w:p>
              </w:tc>
              <w:tc>
                <w:tcPr>
                  <w:tcW w:w="2704" w:type="pct"/>
                  <w:vAlign w:val="center"/>
                </w:tcPr>
                <w:p w14:paraId="2B02ABA7">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lang w:bidi="ar"/>
                    </w:rPr>
                  </w:pPr>
                  <w:r>
                    <w:rPr>
                      <w:rFonts w:ascii="Times New Roman" w:hAnsi="Times New Roman" w:eastAsia="宋体" w:cs="Times New Roman"/>
                      <w:color w:val="auto"/>
                      <w:spacing w:val="0"/>
                      <w:kern w:val="0"/>
                      <w:sz w:val="21"/>
                      <w:szCs w:val="21"/>
                      <w:u w:val="none"/>
                      <w:lang w:bidi="ar"/>
                    </w:rPr>
                    <w:t>1.能源资源：推进能源消费总量和强度“双控”。严控煤炭消费总量，鼓励供热改造和余热利用，提升天然气利用率；推进重点行业和重要领域绿</w:t>
                  </w:r>
                  <w:r>
                    <w:rPr>
                      <w:rFonts w:ascii="Times New Roman" w:hAnsi="Times New Roman" w:eastAsia="宋体" w:cs="Times New Roman"/>
                      <w:color w:val="auto"/>
                      <w:spacing w:val="0"/>
                      <w:kern w:val="0"/>
                      <w:sz w:val="21"/>
                      <w:szCs w:val="21"/>
                      <w:u w:val="none"/>
                      <w:lang w:bidi="ar"/>
                    </w:rPr>
                    <w:cr/>
                  </w:r>
                  <w:r>
                    <w:rPr>
                      <w:rFonts w:ascii="Times New Roman" w:hAnsi="Times New Roman" w:eastAsia="宋体" w:cs="Times New Roman"/>
                      <w:color w:val="auto"/>
                      <w:spacing w:val="0"/>
                      <w:kern w:val="0"/>
                      <w:sz w:val="21"/>
                      <w:szCs w:val="21"/>
                      <w:u w:val="none"/>
                      <w:lang w:bidi="ar"/>
                    </w:rPr>
                    <w:t>化改造，打造绿色园区和绿色企业，促进工业园区、产业集聚区低碳循环化发展。鼓励新能源开发，海上风电、陆上风电、水电开发利用要符合相应能源规划和国土空间规划的要求；规模化、集约化发展海上风电。推动能源清洁低碳安全高效利用，合理控制煤炭消费。落实国家碳排放达峰行动方案，降低碳排放强度。海洋石油勘探开发严格执行《中华人民共和国海洋石油勘探开发环境保护管理条例》要求。</w:t>
                  </w:r>
                </w:p>
              </w:tc>
              <w:tc>
                <w:tcPr>
                  <w:tcW w:w="1599" w:type="pct"/>
                  <w:vAlign w:val="center"/>
                </w:tcPr>
                <w:p w14:paraId="3C2F93E6">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highlight w:val="yellow"/>
                      <w:u w:val="none"/>
                    </w:rPr>
                  </w:pPr>
                  <w:r>
                    <w:rPr>
                      <w:rFonts w:ascii="Times New Roman" w:hAnsi="Times New Roman" w:eastAsia="宋体" w:cs="Times New Roman"/>
                      <w:color w:val="000000"/>
                      <w:spacing w:val="0"/>
                      <w:kern w:val="0"/>
                      <w:sz w:val="21"/>
                      <w:szCs w:val="21"/>
                      <w:u w:val="none"/>
                    </w:rPr>
                    <w:t>符合</w:t>
                  </w:r>
                  <w:r>
                    <w:rPr>
                      <w:rFonts w:hint="eastAsia" w:ascii="Times New Roman" w:hAnsi="Times New Roman" w:eastAsia="宋体" w:cs="Times New Roman"/>
                      <w:color w:val="000000"/>
                      <w:spacing w:val="0"/>
                      <w:kern w:val="0"/>
                      <w:sz w:val="21"/>
                      <w:szCs w:val="21"/>
                      <w:u w:val="none"/>
                    </w:rPr>
                    <w:t>，本项目</w:t>
                  </w:r>
                  <w:r>
                    <w:rPr>
                      <w:rFonts w:hint="eastAsia" w:ascii="Times New Roman" w:hAnsi="Times New Roman" w:eastAsia="宋体" w:cs="Times New Roman"/>
                      <w:color w:val="000000"/>
                      <w:spacing w:val="0"/>
                      <w:kern w:val="0"/>
                      <w:sz w:val="21"/>
                      <w:szCs w:val="21"/>
                      <w:u w:val="none"/>
                      <w:lang w:val="en-US" w:eastAsia="zh-CN"/>
                    </w:rPr>
                    <w:t>不涉及</w:t>
                  </w:r>
                  <w:r>
                    <w:rPr>
                      <w:rFonts w:hint="eastAsia" w:ascii="Times New Roman" w:hAnsi="Times New Roman" w:eastAsia="宋体" w:cs="Times New Roman"/>
                      <w:color w:val="000000"/>
                      <w:spacing w:val="0"/>
                      <w:kern w:val="0"/>
                      <w:sz w:val="21"/>
                      <w:szCs w:val="21"/>
                      <w:u w:val="none"/>
                    </w:rPr>
                    <w:t>煤炭</w:t>
                  </w:r>
                  <w:r>
                    <w:rPr>
                      <w:rFonts w:hint="eastAsia" w:ascii="Times New Roman" w:hAnsi="Times New Roman" w:eastAsia="宋体" w:cs="Times New Roman"/>
                      <w:color w:val="000000"/>
                      <w:spacing w:val="0"/>
                      <w:kern w:val="0"/>
                      <w:sz w:val="21"/>
                      <w:szCs w:val="21"/>
                      <w:u w:val="none"/>
                      <w:lang w:val="en-US" w:eastAsia="zh-CN"/>
                    </w:rPr>
                    <w:t>使用</w:t>
                  </w:r>
                  <w:r>
                    <w:rPr>
                      <w:rFonts w:hint="eastAsia" w:ascii="Times New Roman" w:hAnsi="Times New Roman" w:eastAsia="宋体" w:cs="Times New Roman"/>
                      <w:color w:val="000000"/>
                      <w:spacing w:val="0"/>
                      <w:kern w:val="0"/>
                      <w:sz w:val="21"/>
                      <w:szCs w:val="21"/>
                      <w:u w:val="none"/>
                    </w:rPr>
                    <w:t>。</w:t>
                  </w:r>
                </w:p>
              </w:tc>
            </w:tr>
            <w:tr w14:paraId="6AE3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 w:type="pct"/>
                  <w:vMerge w:val="continue"/>
                  <w:vAlign w:val="center"/>
                </w:tcPr>
                <w:p w14:paraId="41E0183B">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p>
              </w:tc>
              <w:tc>
                <w:tcPr>
                  <w:tcW w:w="2704" w:type="pct"/>
                  <w:vAlign w:val="center"/>
                </w:tcPr>
                <w:p w14:paraId="21228E9B">
                  <w:pPr>
                    <w:widowControl/>
                    <w:adjustRightInd w:val="0"/>
                    <w:snapToGrid w:val="0"/>
                    <w:spacing w:line="320" w:lineRule="exact"/>
                    <w:jc w:val="center"/>
                    <w:textAlignment w:val="center"/>
                    <w:rPr>
                      <w:rFonts w:ascii="Times New Roman" w:hAnsi="Times New Roman" w:eastAsia="宋体" w:cs="Times New Roman"/>
                      <w:color w:val="auto"/>
                      <w:spacing w:val="0"/>
                      <w:kern w:val="0"/>
                      <w:sz w:val="21"/>
                      <w:szCs w:val="21"/>
                      <w:u w:val="none"/>
                      <w:lang w:bidi="ar"/>
                    </w:rPr>
                  </w:pPr>
                  <w:r>
                    <w:rPr>
                      <w:rFonts w:hint="eastAsia" w:ascii="Times New Roman" w:hAnsi="Times New Roman" w:eastAsia="宋体" w:cs="Times New Roman"/>
                      <w:color w:val="auto"/>
                      <w:spacing w:val="0"/>
                      <w:kern w:val="0"/>
                      <w:sz w:val="21"/>
                      <w:szCs w:val="21"/>
                      <w:u w:val="none"/>
                      <w:lang w:val="en-US" w:eastAsia="zh-CN" w:bidi="ar"/>
                    </w:rPr>
                    <w:t>2</w:t>
                  </w:r>
                  <w:r>
                    <w:rPr>
                      <w:rFonts w:ascii="Times New Roman" w:hAnsi="Times New Roman" w:eastAsia="宋体" w:cs="Times New Roman"/>
                      <w:color w:val="auto"/>
                      <w:spacing w:val="0"/>
                      <w:kern w:val="0"/>
                      <w:sz w:val="21"/>
                      <w:szCs w:val="21"/>
                      <w:u w:val="none"/>
                      <w:lang w:bidi="ar"/>
                    </w:rPr>
                    <w:t>.水资源：实行水资源消耗总量和强度双控。严格用水总量指标管理，健全市、</w:t>
                  </w:r>
                  <w:r>
                    <w:rPr>
                      <w:rFonts w:hint="eastAsia" w:ascii="Times New Roman" w:hAnsi="Times New Roman" w:eastAsia="宋体" w:cs="Times New Roman"/>
                      <w:color w:val="auto"/>
                      <w:spacing w:val="0"/>
                      <w:kern w:val="0"/>
                      <w:sz w:val="21"/>
                      <w:szCs w:val="21"/>
                      <w:u w:val="none"/>
                      <w:lang w:eastAsia="zh-CN" w:bidi="ar"/>
                    </w:rPr>
                    <w:t>县（市、区）</w:t>
                  </w:r>
                  <w:r>
                    <w:rPr>
                      <w:rFonts w:ascii="Times New Roman" w:hAnsi="Times New Roman" w:eastAsia="宋体" w:cs="Times New Roman"/>
                      <w:color w:val="auto"/>
                      <w:spacing w:val="0"/>
                      <w:kern w:val="0"/>
                      <w:sz w:val="21"/>
                      <w:szCs w:val="21"/>
                      <w:u w:val="none"/>
                      <w:lang w:bidi="ar"/>
                    </w:rPr>
                    <w:t>行政区域的用水总量控制指标体系，统筹生活、生产、生态用水，大力推进农业、工业、城镇等领域节水。严格按照地下水开发利用控制目标控制地下水资源开采。</w:t>
                  </w:r>
                </w:p>
              </w:tc>
              <w:tc>
                <w:tcPr>
                  <w:tcW w:w="1599" w:type="pct"/>
                  <w:vAlign w:val="center"/>
                </w:tcPr>
                <w:p w14:paraId="4AC735E8">
                  <w:pPr>
                    <w:autoSpaceDE w:val="0"/>
                    <w:autoSpaceDN w:val="0"/>
                    <w:adjustRightInd w:val="0"/>
                    <w:snapToGrid w:val="0"/>
                    <w:spacing w:line="320" w:lineRule="exact"/>
                    <w:jc w:val="center"/>
                    <w:rPr>
                      <w:rFonts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rPr>
                    <w:t>符合，本项目不开采地下水。</w:t>
                  </w:r>
                </w:p>
              </w:tc>
            </w:tr>
          </w:tbl>
          <w:p w14:paraId="42025FDF">
            <w:pPr>
              <w:spacing w:line="500" w:lineRule="atLeast"/>
              <w:ind w:firstLine="420" w:firstLineChars="200"/>
              <w:rPr>
                <w:szCs w:val="21"/>
              </w:rPr>
            </w:pPr>
            <w:r>
              <w:rPr>
                <w:rFonts w:hint="eastAsia"/>
                <w:szCs w:val="21"/>
              </w:rPr>
              <w:t>（2）与防城港经济技术开发区生态环境准入及管控要求相符性分析</w:t>
            </w:r>
          </w:p>
          <w:p w14:paraId="5E473F83">
            <w:pPr>
              <w:spacing w:line="500" w:lineRule="atLeast"/>
              <w:ind w:firstLine="420" w:firstLineChars="200"/>
              <w:rPr>
                <w:szCs w:val="21"/>
              </w:rPr>
            </w:pPr>
            <w:r>
              <w:rPr>
                <w:rFonts w:hint="eastAsia"/>
                <w:szCs w:val="21"/>
              </w:rPr>
              <w:t>项目防城港经济技术开发区生态环境准入及管控要求相符性分析详见下表。</w:t>
            </w:r>
          </w:p>
          <w:p w14:paraId="0BBE0402">
            <w:pPr>
              <w:spacing w:line="500" w:lineRule="atLeast"/>
              <w:jc w:val="center"/>
              <w:rPr>
                <w:b/>
                <w:szCs w:val="21"/>
              </w:rPr>
            </w:pPr>
            <w:r>
              <w:rPr>
                <w:rFonts w:hint="eastAsia"/>
                <w:b/>
                <w:szCs w:val="21"/>
              </w:rPr>
              <w:t>表1-</w:t>
            </w:r>
            <w:r>
              <w:rPr>
                <w:rFonts w:hint="eastAsia"/>
                <w:b/>
                <w:szCs w:val="21"/>
                <w:lang w:val="en-US" w:eastAsia="zh-CN"/>
              </w:rPr>
              <w:t>3</w:t>
            </w:r>
            <w:r>
              <w:rPr>
                <w:rFonts w:hint="eastAsia"/>
                <w:b/>
                <w:szCs w:val="21"/>
              </w:rPr>
              <w:t>与防城港经济技术开发区生态环境准入及管控要求相符性分析</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478"/>
              <w:gridCol w:w="2120"/>
            </w:tblGrid>
            <w:tr w14:paraId="5B02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Align w:val="center"/>
                </w:tcPr>
                <w:p w14:paraId="12808302">
                  <w:pPr>
                    <w:autoSpaceDE w:val="0"/>
                    <w:autoSpaceDN w:val="0"/>
                    <w:adjustRightInd w:val="0"/>
                    <w:snapToGrid w:val="0"/>
                    <w:spacing w:line="320" w:lineRule="exact"/>
                    <w:jc w:val="center"/>
                    <w:rPr>
                      <w:color w:val="000000"/>
                      <w:kern w:val="0"/>
                      <w:szCs w:val="21"/>
                    </w:rPr>
                  </w:pPr>
                  <w:r>
                    <w:rPr>
                      <w:color w:val="000000"/>
                      <w:kern w:val="0"/>
                      <w:szCs w:val="21"/>
                    </w:rPr>
                    <w:t>管控类别</w:t>
                  </w:r>
                </w:p>
              </w:tc>
              <w:tc>
                <w:tcPr>
                  <w:tcW w:w="2673" w:type="pct"/>
                  <w:vAlign w:val="center"/>
                </w:tcPr>
                <w:p w14:paraId="66B207BA">
                  <w:pPr>
                    <w:autoSpaceDE w:val="0"/>
                    <w:autoSpaceDN w:val="0"/>
                    <w:adjustRightInd w:val="0"/>
                    <w:snapToGrid w:val="0"/>
                    <w:spacing w:line="320" w:lineRule="exact"/>
                    <w:jc w:val="center"/>
                    <w:rPr>
                      <w:color w:val="000000"/>
                      <w:kern w:val="0"/>
                      <w:szCs w:val="21"/>
                    </w:rPr>
                  </w:pPr>
                  <w:r>
                    <w:rPr>
                      <w:color w:val="000000"/>
                      <w:kern w:val="0"/>
                      <w:szCs w:val="21"/>
                    </w:rPr>
                    <w:t>生态环境准入及管控要求</w:t>
                  </w:r>
                </w:p>
              </w:tc>
              <w:tc>
                <w:tcPr>
                  <w:tcW w:w="1629" w:type="pct"/>
                  <w:vAlign w:val="center"/>
                </w:tcPr>
                <w:p w14:paraId="66C73685">
                  <w:pPr>
                    <w:autoSpaceDE w:val="0"/>
                    <w:autoSpaceDN w:val="0"/>
                    <w:adjustRightInd w:val="0"/>
                    <w:snapToGrid w:val="0"/>
                    <w:spacing w:line="320" w:lineRule="exact"/>
                    <w:jc w:val="center"/>
                    <w:rPr>
                      <w:color w:val="000000"/>
                      <w:kern w:val="0"/>
                      <w:szCs w:val="21"/>
                    </w:rPr>
                  </w:pPr>
                  <w:r>
                    <w:rPr>
                      <w:color w:val="000000"/>
                      <w:kern w:val="0"/>
                      <w:szCs w:val="21"/>
                    </w:rPr>
                    <w:t>符合性分析</w:t>
                  </w:r>
                </w:p>
              </w:tc>
            </w:tr>
            <w:tr w14:paraId="652A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restart"/>
                  <w:vAlign w:val="center"/>
                </w:tcPr>
                <w:p w14:paraId="7FD60898">
                  <w:pPr>
                    <w:autoSpaceDE w:val="0"/>
                    <w:autoSpaceDN w:val="0"/>
                    <w:adjustRightInd w:val="0"/>
                    <w:snapToGrid w:val="0"/>
                    <w:spacing w:line="320" w:lineRule="exact"/>
                    <w:jc w:val="center"/>
                    <w:rPr>
                      <w:color w:val="000000"/>
                      <w:kern w:val="0"/>
                      <w:szCs w:val="21"/>
                    </w:rPr>
                  </w:pPr>
                  <w:r>
                    <w:rPr>
                      <w:color w:val="000000"/>
                      <w:kern w:val="0"/>
                      <w:szCs w:val="21"/>
                    </w:rPr>
                    <w:t>空间布局约束</w:t>
                  </w:r>
                </w:p>
              </w:tc>
              <w:tc>
                <w:tcPr>
                  <w:tcW w:w="2673" w:type="pct"/>
                  <w:vAlign w:val="center"/>
                </w:tcPr>
                <w:p w14:paraId="46DC2E58">
                  <w:pPr>
                    <w:widowControl/>
                    <w:adjustRightInd w:val="0"/>
                    <w:snapToGrid w:val="0"/>
                    <w:spacing w:line="320" w:lineRule="exact"/>
                    <w:jc w:val="center"/>
                    <w:textAlignment w:val="center"/>
                    <w:rPr>
                      <w:kern w:val="0"/>
                      <w:szCs w:val="21"/>
                      <w:lang w:bidi="ar"/>
                    </w:rPr>
                  </w:pPr>
                  <w:r>
                    <w:rPr>
                      <w:kern w:val="0"/>
                      <w:szCs w:val="21"/>
                      <w:lang w:bidi="ar"/>
                    </w:rPr>
                    <w:t>1.引进的项目必须符合国家、自治区</w:t>
                  </w:r>
                  <w:r>
                    <w:rPr>
                      <w:rFonts w:hint="eastAsia"/>
                      <w:kern w:val="0"/>
                      <w:szCs w:val="21"/>
                      <w:lang w:bidi="ar"/>
                    </w:rPr>
                    <w:t>企</w:t>
                  </w:r>
                  <w:r>
                    <w:rPr>
                      <w:kern w:val="0"/>
                      <w:szCs w:val="21"/>
                      <w:lang w:bidi="ar"/>
                    </w:rPr>
                    <w:cr/>
                  </w:r>
                  <w:r>
                    <w:rPr>
                      <w:kern w:val="0"/>
                      <w:szCs w:val="21"/>
                      <w:lang w:bidi="ar"/>
                    </w:rPr>
                    <w:t>业政策、供地政策及园区产业定位。</w:t>
                  </w:r>
                </w:p>
              </w:tc>
              <w:tc>
                <w:tcPr>
                  <w:tcW w:w="1629" w:type="pct"/>
                  <w:vAlign w:val="center"/>
                </w:tcPr>
                <w:p w14:paraId="49A2CFB1">
                  <w:pPr>
                    <w:autoSpaceDE w:val="0"/>
                    <w:autoSpaceDN w:val="0"/>
                    <w:adjustRightInd w:val="0"/>
                    <w:snapToGrid w:val="0"/>
                    <w:spacing w:line="320" w:lineRule="exact"/>
                    <w:jc w:val="center"/>
                    <w:rPr>
                      <w:color w:val="000000"/>
                      <w:kern w:val="0"/>
                      <w:szCs w:val="21"/>
                    </w:rPr>
                  </w:pPr>
                  <w:r>
                    <w:rPr>
                      <w:color w:val="000000"/>
                      <w:kern w:val="0"/>
                      <w:szCs w:val="21"/>
                    </w:rPr>
                    <w:t>符合， 根据产业政策相符性分析，项目的</w:t>
                  </w:r>
                  <w:r>
                    <w:rPr>
                      <w:rFonts w:hint="eastAsia"/>
                      <w:color w:val="000000"/>
                      <w:kern w:val="0"/>
                      <w:szCs w:val="21"/>
                      <w:lang w:val="en-US" w:eastAsia="zh-CN"/>
                    </w:rPr>
                    <w:t>建</w:t>
                  </w:r>
                  <w:r>
                    <w:rPr>
                      <w:rFonts w:hint="eastAsia"/>
                      <w:color w:val="000000"/>
                      <w:kern w:val="0"/>
                      <w:szCs w:val="21"/>
                    </w:rPr>
                    <w:t>设</w:t>
                  </w:r>
                  <w:r>
                    <w:rPr>
                      <w:rFonts w:hint="eastAsia"/>
                      <w:color w:val="000000"/>
                      <w:kern w:val="0"/>
                      <w:szCs w:val="21"/>
                      <w:lang w:eastAsia="zh-CN"/>
                    </w:rPr>
                    <w:t>符</w:t>
                  </w:r>
                  <w:r>
                    <w:rPr>
                      <w:color w:val="000000"/>
                      <w:kern w:val="0"/>
                      <w:szCs w:val="21"/>
                    </w:rPr>
                    <w:t>合国家及地方产业政策</w:t>
                  </w:r>
                  <w:r>
                    <w:rPr>
                      <w:rFonts w:hint="eastAsia"/>
                      <w:color w:val="000000"/>
                      <w:kern w:val="0"/>
                      <w:szCs w:val="21"/>
                    </w:rPr>
                    <w:t>。</w:t>
                  </w:r>
                </w:p>
              </w:tc>
            </w:tr>
            <w:tr w14:paraId="714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7C3F1591">
                  <w:pPr>
                    <w:autoSpaceDE w:val="0"/>
                    <w:autoSpaceDN w:val="0"/>
                    <w:adjustRightInd w:val="0"/>
                    <w:snapToGrid w:val="0"/>
                    <w:spacing w:line="320" w:lineRule="exact"/>
                    <w:jc w:val="center"/>
                    <w:rPr>
                      <w:color w:val="000000"/>
                      <w:kern w:val="0"/>
                      <w:szCs w:val="21"/>
                    </w:rPr>
                  </w:pPr>
                </w:p>
              </w:tc>
              <w:tc>
                <w:tcPr>
                  <w:tcW w:w="2673" w:type="pct"/>
                  <w:vAlign w:val="center"/>
                </w:tcPr>
                <w:p w14:paraId="5AEA55C9">
                  <w:pPr>
                    <w:widowControl/>
                    <w:spacing w:line="320" w:lineRule="exact"/>
                    <w:jc w:val="center"/>
                    <w:rPr>
                      <w:color w:val="000000"/>
                      <w:szCs w:val="21"/>
                      <w:lang w:bidi="ar"/>
                    </w:rPr>
                  </w:pPr>
                  <w:r>
                    <w:rPr>
                      <w:color w:val="000000"/>
                      <w:szCs w:val="21"/>
                      <w:lang w:bidi="ar"/>
                    </w:rPr>
                    <w:t>2.严格控制东湾海域新增设入海排污口。</w:t>
                  </w:r>
                </w:p>
              </w:tc>
              <w:tc>
                <w:tcPr>
                  <w:tcW w:w="1629" w:type="pct"/>
                  <w:vAlign w:val="center"/>
                </w:tcPr>
                <w:p w14:paraId="1AD3AC23">
                  <w:pPr>
                    <w:autoSpaceDE w:val="0"/>
                    <w:autoSpaceDN w:val="0"/>
                    <w:adjustRightInd w:val="0"/>
                    <w:snapToGrid w:val="0"/>
                    <w:spacing w:line="320" w:lineRule="exact"/>
                    <w:jc w:val="center"/>
                    <w:rPr>
                      <w:color w:val="000000"/>
                      <w:kern w:val="0"/>
                      <w:szCs w:val="21"/>
                    </w:rPr>
                  </w:pPr>
                  <w:r>
                    <w:rPr>
                      <w:rFonts w:hint="eastAsia"/>
                      <w:color w:val="000000"/>
                      <w:kern w:val="0"/>
                      <w:szCs w:val="21"/>
                    </w:rPr>
                    <w:t>符合，项目废水经预处理后回用于生产，不外排。</w:t>
                  </w:r>
                </w:p>
              </w:tc>
            </w:tr>
            <w:tr w14:paraId="5427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6E65A86E">
                  <w:pPr>
                    <w:autoSpaceDE w:val="0"/>
                    <w:autoSpaceDN w:val="0"/>
                    <w:adjustRightInd w:val="0"/>
                    <w:snapToGrid w:val="0"/>
                    <w:spacing w:line="320" w:lineRule="exact"/>
                    <w:jc w:val="center"/>
                    <w:rPr>
                      <w:color w:val="000000"/>
                      <w:kern w:val="0"/>
                      <w:szCs w:val="21"/>
                    </w:rPr>
                  </w:pPr>
                </w:p>
              </w:tc>
              <w:tc>
                <w:tcPr>
                  <w:tcW w:w="2673" w:type="pct"/>
                  <w:vAlign w:val="center"/>
                </w:tcPr>
                <w:p w14:paraId="050C4CAC">
                  <w:pPr>
                    <w:widowControl/>
                    <w:spacing w:line="320" w:lineRule="exact"/>
                    <w:jc w:val="center"/>
                    <w:rPr>
                      <w:color w:val="000000"/>
                      <w:szCs w:val="21"/>
                      <w:lang w:bidi="ar"/>
                    </w:rPr>
                  </w:pPr>
                  <w:r>
                    <w:rPr>
                      <w:rFonts w:hint="eastAsia"/>
                      <w:color w:val="000000"/>
                      <w:szCs w:val="21"/>
                      <w:lang w:val="en-US" w:eastAsia="zh-CN" w:bidi="ar"/>
                    </w:rPr>
                    <w:t>3.</w:t>
                  </w:r>
                  <w:r>
                    <w:rPr>
                      <w:rFonts w:hint="eastAsia"/>
                      <w:color w:val="000000"/>
                      <w:szCs w:val="21"/>
                      <w:lang w:bidi="ar"/>
                    </w:rPr>
                    <w:t>防城港东湾红树林红线区1公里范围内，严格控制新增油类等液体危化品码头项目布局，避免影响红树林生境。</w:t>
                  </w:r>
                </w:p>
              </w:tc>
              <w:tc>
                <w:tcPr>
                  <w:tcW w:w="1629" w:type="pct"/>
                  <w:vAlign w:val="center"/>
                </w:tcPr>
                <w:p w14:paraId="11164063">
                  <w:pPr>
                    <w:autoSpaceDE w:val="0"/>
                    <w:autoSpaceDN w:val="0"/>
                    <w:adjustRightInd w:val="0"/>
                    <w:snapToGrid w:val="0"/>
                    <w:spacing w:line="320" w:lineRule="exact"/>
                    <w:jc w:val="center"/>
                    <w:rPr>
                      <w:rFonts w:hint="default" w:eastAsia="宋体"/>
                      <w:color w:val="000000"/>
                      <w:kern w:val="0"/>
                      <w:szCs w:val="21"/>
                      <w:lang w:val="en-US" w:eastAsia="zh-CN"/>
                    </w:rPr>
                  </w:pPr>
                  <w:r>
                    <w:rPr>
                      <w:rFonts w:hint="eastAsia"/>
                      <w:color w:val="000000"/>
                      <w:kern w:val="0"/>
                      <w:szCs w:val="21"/>
                      <w:lang w:val="en-US" w:eastAsia="zh-CN"/>
                    </w:rPr>
                    <w:t>项目不涉及。</w:t>
                  </w:r>
                </w:p>
              </w:tc>
            </w:tr>
            <w:tr w14:paraId="0737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6654F051">
                  <w:pPr>
                    <w:autoSpaceDE w:val="0"/>
                    <w:autoSpaceDN w:val="0"/>
                    <w:adjustRightInd w:val="0"/>
                    <w:snapToGrid w:val="0"/>
                    <w:spacing w:line="320" w:lineRule="exact"/>
                    <w:jc w:val="center"/>
                    <w:rPr>
                      <w:color w:val="000000"/>
                      <w:kern w:val="0"/>
                      <w:szCs w:val="21"/>
                    </w:rPr>
                  </w:pPr>
                </w:p>
              </w:tc>
              <w:tc>
                <w:tcPr>
                  <w:tcW w:w="2673" w:type="pct"/>
                  <w:vAlign w:val="center"/>
                </w:tcPr>
                <w:p w14:paraId="7F7AD26B">
                  <w:pPr>
                    <w:widowControl/>
                    <w:spacing w:line="320" w:lineRule="exact"/>
                    <w:jc w:val="center"/>
                    <w:rPr>
                      <w:rFonts w:hint="eastAsia"/>
                      <w:color w:val="000000"/>
                      <w:szCs w:val="21"/>
                      <w:lang w:val="en-US" w:eastAsia="zh-CN" w:bidi="ar"/>
                    </w:rPr>
                  </w:pPr>
                  <w:r>
                    <w:rPr>
                      <w:rFonts w:hint="eastAsia"/>
                      <w:color w:val="000000"/>
                      <w:szCs w:val="21"/>
                      <w:lang w:val="en-US" w:eastAsia="zh-CN" w:bidi="ar"/>
                    </w:rPr>
                    <w:t>4.禁止截断蝴蝶岛公园绿地周围水域与海洋的连通性，禁止侵占蝴蝶岛用地。</w:t>
                  </w:r>
                </w:p>
              </w:tc>
              <w:tc>
                <w:tcPr>
                  <w:tcW w:w="1629" w:type="pct"/>
                  <w:vAlign w:val="center"/>
                </w:tcPr>
                <w:p w14:paraId="1EA0D220">
                  <w:pPr>
                    <w:autoSpaceDE w:val="0"/>
                    <w:autoSpaceDN w:val="0"/>
                    <w:adjustRightInd w:val="0"/>
                    <w:snapToGrid w:val="0"/>
                    <w:spacing w:line="320" w:lineRule="exact"/>
                    <w:jc w:val="center"/>
                    <w:rPr>
                      <w:rFonts w:hint="default"/>
                      <w:color w:val="000000"/>
                      <w:kern w:val="0"/>
                      <w:szCs w:val="21"/>
                      <w:lang w:val="en-US" w:eastAsia="zh-CN"/>
                    </w:rPr>
                  </w:pPr>
                  <w:r>
                    <w:rPr>
                      <w:rFonts w:hint="eastAsia"/>
                      <w:color w:val="000000"/>
                      <w:kern w:val="0"/>
                      <w:szCs w:val="21"/>
                      <w:lang w:val="en-US" w:eastAsia="zh-CN"/>
                    </w:rPr>
                    <w:t>项目不涉及。</w:t>
                  </w:r>
                </w:p>
              </w:tc>
            </w:tr>
            <w:tr w14:paraId="0FD8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553A6154">
                  <w:pPr>
                    <w:autoSpaceDE w:val="0"/>
                    <w:autoSpaceDN w:val="0"/>
                    <w:adjustRightInd w:val="0"/>
                    <w:snapToGrid w:val="0"/>
                    <w:spacing w:line="320" w:lineRule="exact"/>
                    <w:jc w:val="center"/>
                    <w:rPr>
                      <w:color w:val="000000"/>
                      <w:kern w:val="0"/>
                      <w:szCs w:val="21"/>
                    </w:rPr>
                  </w:pPr>
                </w:p>
              </w:tc>
              <w:tc>
                <w:tcPr>
                  <w:tcW w:w="2673" w:type="pct"/>
                  <w:vAlign w:val="center"/>
                </w:tcPr>
                <w:p w14:paraId="2A52617B">
                  <w:pPr>
                    <w:widowControl/>
                    <w:spacing w:line="320" w:lineRule="exact"/>
                    <w:jc w:val="center"/>
                    <w:rPr>
                      <w:color w:val="000000"/>
                      <w:szCs w:val="21"/>
                      <w:lang w:bidi="ar"/>
                    </w:rPr>
                  </w:pPr>
                  <w:r>
                    <w:rPr>
                      <w:rFonts w:hint="eastAsia"/>
                      <w:color w:val="000000"/>
                      <w:szCs w:val="21"/>
                      <w:lang w:val="en-US" w:eastAsia="zh-CN" w:bidi="ar"/>
                    </w:rPr>
                    <w:t>5</w:t>
                  </w:r>
                  <w:r>
                    <w:rPr>
                      <w:color w:val="000000"/>
                      <w:szCs w:val="21"/>
                      <w:lang w:bidi="ar"/>
                    </w:rPr>
                    <w:t>.新增产能的钢铁、电解铝、水泥、平板玻璃项目应当符合产业政策文件要求。对钢铁、石油、化工、电力、有色金属、水泥、平板玻璃、建筑陶瓷、砖瓦等重点行业依法实施清洁生产审核，采用先进清洁生产技术、工艺和装备。</w:t>
                  </w:r>
                </w:p>
              </w:tc>
              <w:tc>
                <w:tcPr>
                  <w:tcW w:w="1629" w:type="pct"/>
                  <w:vAlign w:val="center"/>
                </w:tcPr>
                <w:p w14:paraId="2A1DA7A0">
                  <w:pPr>
                    <w:autoSpaceDE w:val="0"/>
                    <w:autoSpaceDN w:val="0"/>
                    <w:adjustRightInd w:val="0"/>
                    <w:snapToGrid w:val="0"/>
                    <w:spacing w:line="320" w:lineRule="exact"/>
                    <w:jc w:val="center"/>
                    <w:rPr>
                      <w:color w:val="000000"/>
                      <w:kern w:val="0"/>
                      <w:szCs w:val="21"/>
                    </w:rPr>
                  </w:pPr>
                  <w:r>
                    <w:rPr>
                      <w:color w:val="000000"/>
                      <w:kern w:val="0"/>
                      <w:szCs w:val="21"/>
                    </w:rPr>
                    <w:t>符合，项目</w:t>
                  </w:r>
                  <w:r>
                    <w:rPr>
                      <w:rFonts w:hint="eastAsia"/>
                      <w:color w:val="000000"/>
                      <w:kern w:val="0"/>
                      <w:szCs w:val="21"/>
                    </w:rPr>
                    <w:t>不属于</w:t>
                  </w:r>
                  <w:r>
                    <w:rPr>
                      <w:rFonts w:hint="eastAsia"/>
                      <w:color w:val="000000"/>
                      <w:kern w:val="0"/>
                      <w:szCs w:val="21"/>
                      <w:lang w:val="en-US" w:eastAsia="zh-CN"/>
                    </w:rPr>
                    <w:t>新增产能的</w:t>
                  </w:r>
                  <w:r>
                    <w:rPr>
                      <w:rFonts w:hint="eastAsia"/>
                      <w:color w:val="000000"/>
                      <w:kern w:val="0"/>
                      <w:szCs w:val="21"/>
                    </w:rPr>
                    <w:t>钢铁、石油、化工、电力、有色金属、水泥、平板玻璃、建筑陶瓷、砖瓦等重点行业。</w:t>
                  </w:r>
                </w:p>
              </w:tc>
            </w:tr>
            <w:tr w14:paraId="15AD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74806EA3">
                  <w:pPr>
                    <w:autoSpaceDE w:val="0"/>
                    <w:autoSpaceDN w:val="0"/>
                    <w:adjustRightInd w:val="0"/>
                    <w:snapToGrid w:val="0"/>
                    <w:spacing w:line="320" w:lineRule="exact"/>
                    <w:jc w:val="center"/>
                    <w:rPr>
                      <w:color w:val="000000"/>
                      <w:kern w:val="0"/>
                      <w:szCs w:val="21"/>
                    </w:rPr>
                  </w:pPr>
                </w:p>
              </w:tc>
              <w:tc>
                <w:tcPr>
                  <w:tcW w:w="2673" w:type="pct"/>
                  <w:vAlign w:val="center"/>
                </w:tcPr>
                <w:p w14:paraId="07C5BDF0">
                  <w:pPr>
                    <w:widowControl/>
                    <w:spacing w:line="320" w:lineRule="exact"/>
                    <w:jc w:val="center"/>
                    <w:rPr>
                      <w:rFonts w:hint="eastAsia"/>
                      <w:color w:val="000000"/>
                      <w:szCs w:val="21"/>
                      <w:lang w:val="en-US" w:eastAsia="zh-CN" w:bidi="ar"/>
                    </w:rPr>
                  </w:pPr>
                  <w:r>
                    <w:rPr>
                      <w:rFonts w:hint="eastAsia"/>
                      <w:color w:val="000000"/>
                      <w:szCs w:val="21"/>
                      <w:lang w:val="en-US" w:eastAsia="zh-CN" w:bidi="ar"/>
                    </w:rPr>
                    <w:t>6.园区周边1公里范围内涉及生态保护红线(广西防城港东湾自治区级湿地公园)生态环境敏感区域，应优化产业布局，控制开发强度，优先引进无污染或轻污染的产业和项目，防止侵占生态空间。</w:t>
                  </w:r>
                </w:p>
              </w:tc>
              <w:tc>
                <w:tcPr>
                  <w:tcW w:w="1629" w:type="pct"/>
                  <w:vAlign w:val="center"/>
                </w:tcPr>
                <w:p w14:paraId="64785166">
                  <w:pPr>
                    <w:autoSpaceDE w:val="0"/>
                    <w:autoSpaceDN w:val="0"/>
                    <w:adjustRightInd w:val="0"/>
                    <w:snapToGrid w:val="0"/>
                    <w:spacing w:line="320" w:lineRule="exact"/>
                    <w:jc w:val="center"/>
                    <w:rPr>
                      <w:color w:val="000000"/>
                      <w:kern w:val="0"/>
                      <w:szCs w:val="21"/>
                    </w:rPr>
                  </w:pPr>
                  <w:r>
                    <w:rPr>
                      <w:rFonts w:hint="eastAsia"/>
                      <w:color w:val="000000"/>
                      <w:kern w:val="0"/>
                      <w:szCs w:val="21"/>
                      <w:lang w:val="en-US" w:eastAsia="zh-CN"/>
                    </w:rPr>
                    <w:t>项目不涉及。</w:t>
                  </w:r>
                </w:p>
              </w:tc>
            </w:tr>
            <w:tr w14:paraId="283D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2889BF0A">
                  <w:pPr>
                    <w:autoSpaceDE w:val="0"/>
                    <w:autoSpaceDN w:val="0"/>
                    <w:adjustRightInd w:val="0"/>
                    <w:snapToGrid w:val="0"/>
                    <w:spacing w:line="320" w:lineRule="exact"/>
                    <w:jc w:val="center"/>
                    <w:rPr>
                      <w:color w:val="000000"/>
                      <w:kern w:val="0"/>
                      <w:szCs w:val="21"/>
                    </w:rPr>
                  </w:pPr>
                </w:p>
              </w:tc>
              <w:tc>
                <w:tcPr>
                  <w:tcW w:w="2673" w:type="pct"/>
                  <w:vAlign w:val="center"/>
                </w:tcPr>
                <w:p w14:paraId="63D75669">
                  <w:pPr>
                    <w:widowControl/>
                    <w:spacing w:line="320" w:lineRule="exact"/>
                    <w:jc w:val="center"/>
                    <w:rPr>
                      <w:rFonts w:hint="eastAsia"/>
                      <w:color w:val="000000"/>
                      <w:szCs w:val="21"/>
                      <w:lang w:val="en-US" w:eastAsia="zh-CN" w:bidi="ar"/>
                    </w:rPr>
                  </w:pPr>
                  <w:r>
                    <w:rPr>
                      <w:rFonts w:hint="eastAsia"/>
                      <w:color w:val="000000"/>
                      <w:szCs w:val="21"/>
                      <w:lang w:val="en-US" w:eastAsia="zh-CN" w:bidi="ar"/>
                    </w:rPr>
                    <w:t>7.强化源头管控，新上项目能效需达到国家、自治区相关标准要求。</w:t>
                  </w:r>
                </w:p>
              </w:tc>
              <w:tc>
                <w:tcPr>
                  <w:tcW w:w="1629" w:type="pct"/>
                  <w:vAlign w:val="center"/>
                </w:tcPr>
                <w:p w14:paraId="0D0A66A6">
                  <w:pPr>
                    <w:autoSpaceDE w:val="0"/>
                    <w:autoSpaceDN w:val="0"/>
                    <w:adjustRightInd w:val="0"/>
                    <w:snapToGrid w:val="0"/>
                    <w:spacing w:line="320" w:lineRule="exact"/>
                    <w:jc w:val="center"/>
                    <w:rPr>
                      <w:rFonts w:hint="default" w:eastAsia="宋体"/>
                      <w:color w:val="000000"/>
                      <w:kern w:val="0"/>
                      <w:szCs w:val="21"/>
                      <w:lang w:val="en-US" w:eastAsia="zh-CN"/>
                    </w:rPr>
                  </w:pPr>
                  <w:r>
                    <w:rPr>
                      <w:rFonts w:hint="eastAsia"/>
                      <w:color w:val="000000"/>
                      <w:kern w:val="0"/>
                      <w:szCs w:val="21"/>
                      <w:lang w:val="en-US" w:eastAsia="zh-CN"/>
                    </w:rPr>
                    <w:t>符合，本项目能耗较低，符合相关要求。</w:t>
                  </w:r>
                </w:p>
              </w:tc>
            </w:tr>
            <w:tr w14:paraId="1A1D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09F1C92E">
                  <w:pPr>
                    <w:autoSpaceDE w:val="0"/>
                    <w:autoSpaceDN w:val="0"/>
                    <w:adjustRightInd w:val="0"/>
                    <w:snapToGrid w:val="0"/>
                    <w:spacing w:line="320" w:lineRule="exact"/>
                    <w:jc w:val="center"/>
                    <w:rPr>
                      <w:color w:val="000000"/>
                      <w:kern w:val="0"/>
                      <w:szCs w:val="21"/>
                    </w:rPr>
                  </w:pPr>
                </w:p>
              </w:tc>
              <w:tc>
                <w:tcPr>
                  <w:tcW w:w="2673" w:type="pct"/>
                  <w:vAlign w:val="center"/>
                </w:tcPr>
                <w:p w14:paraId="75633098">
                  <w:pPr>
                    <w:widowControl/>
                    <w:spacing w:line="320" w:lineRule="exact"/>
                    <w:jc w:val="center"/>
                    <w:rPr>
                      <w:rFonts w:hint="eastAsia"/>
                      <w:color w:val="000000"/>
                      <w:szCs w:val="21"/>
                      <w:lang w:val="en-US" w:eastAsia="zh-CN" w:bidi="ar"/>
                    </w:rPr>
                  </w:pPr>
                  <w:r>
                    <w:rPr>
                      <w:rFonts w:hint="eastAsia"/>
                      <w:color w:val="000000"/>
                      <w:szCs w:val="21"/>
                      <w:lang w:val="en-US" w:eastAsia="zh-CN" w:bidi="ar"/>
                    </w:rPr>
                    <w:t>8.新建石化和化工项目应符合自治区石化和化工产业发展相关规划、国土空间规划的要求。</w:t>
                  </w:r>
                </w:p>
              </w:tc>
              <w:tc>
                <w:tcPr>
                  <w:tcW w:w="1629" w:type="pct"/>
                  <w:vAlign w:val="center"/>
                </w:tcPr>
                <w:p w14:paraId="558A0B44">
                  <w:pPr>
                    <w:autoSpaceDE w:val="0"/>
                    <w:autoSpaceDN w:val="0"/>
                    <w:adjustRightInd w:val="0"/>
                    <w:snapToGrid w:val="0"/>
                    <w:spacing w:line="320" w:lineRule="exact"/>
                    <w:jc w:val="center"/>
                    <w:rPr>
                      <w:rFonts w:hint="default" w:eastAsia="宋体"/>
                      <w:color w:val="000000"/>
                      <w:kern w:val="0"/>
                      <w:szCs w:val="21"/>
                      <w:lang w:val="en-US" w:eastAsia="zh-CN"/>
                    </w:rPr>
                  </w:pPr>
                  <w:r>
                    <w:rPr>
                      <w:rFonts w:hint="eastAsia"/>
                      <w:color w:val="000000"/>
                      <w:kern w:val="0"/>
                      <w:szCs w:val="21"/>
                      <w:lang w:val="en-US" w:eastAsia="zh-CN"/>
                    </w:rPr>
                    <w:t>项目不属于石化和化工项目。</w:t>
                  </w:r>
                </w:p>
              </w:tc>
            </w:tr>
            <w:tr w14:paraId="3C91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084FC37C">
                  <w:pPr>
                    <w:autoSpaceDE w:val="0"/>
                    <w:autoSpaceDN w:val="0"/>
                    <w:adjustRightInd w:val="0"/>
                    <w:snapToGrid w:val="0"/>
                    <w:spacing w:line="320" w:lineRule="exact"/>
                    <w:jc w:val="center"/>
                    <w:rPr>
                      <w:color w:val="000000"/>
                      <w:kern w:val="0"/>
                      <w:szCs w:val="21"/>
                    </w:rPr>
                  </w:pPr>
                </w:p>
              </w:tc>
              <w:tc>
                <w:tcPr>
                  <w:tcW w:w="2673" w:type="pct"/>
                  <w:vAlign w:val="center"/>
                </w:tcPr>
                <w:p w14:paraId="3629DB03">
                  <w:pPr>
                    <w:widowControl/>
                    <w:spacing w:line="320" w:lineRule="exact"/>
                    <w:jc w:val="center"/>
                    <w:rPr>
                      <w:color w:val="000000"/>
                      <w:szCs w:val="21"/>
                      <w:lang w:bidi="ar"/>
                    </w:rPr>
                  </w:pPr>
                  <w:r>
                    <w:rPr>
                      <w:rFonts w:hint="eastAsia"/>
                      <w:color w:val="000000"/>
                      <w:szCs w:val="21"/>
                      <w:lang w:val="en-US" w:eastAsia="zh-CN" w:bidi="ar"/>
                    </w:rPr>
                    <w:t>9.园区应制定危险化学品“禁限控”目录及新建石化和化工项目准入条件，严禁限制类(按国家规定允许产能置换项目除外)和淘汰类项目入园。</w:t>
                  </w:r>
                </w:p>
              </w:tc>
              <w:tc>
                <w:tcPr>
                  <w:tcW w:w="1629" w:type="pct"/>
                  <w:vAlign w:val="center"/>
                </w:tcPr>
                <w:p w14:paraId="05F16A6B">
                  <w:pPr>
                    <w:autoSpaceDE w:val="0"/>
                    <w:autoSpaceDN w:val="0"/>
                    <w:adjustRightInd w:val="0"/>
                    <w:snapToGrid w:val="0"/>
                    <w:spacing w:line="320" w:lineRule="exact"/>
                    <w:jc w:val="center"/>
                    <w:rPr>
                      <w:color w:val="000000"/>
                      <w:kern w:val="0"/>
                      <w:szCs w:val="21"/>
                    </w:rPr>
                  </w:pPr>
                  <w:r>
                    <w:rPr>
                      <w:rFonts w:hint="eastAsia"/>
                      <w:color w:val="000000"/>
                      <w:kern w:val="0"/>
                      <w:szCs w:val="21"/>
                      <w:lang w:val="en-US" w:eastAsia="zh-CN"/>
                    </w:rPr>
                    <w:t>项目不属于石化和化工项目。</w:t>
                  </w:r>
                </w:p>
              </w:tc>
            </w:tr>
            <w:tr w14:paraId="18D2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restart"/>
                  <w:vAlign w:val="center"/>
                </w:tcPr>
                <w:p w14:paraId="1BC9436B">
                  <w:pPr>
                    <w:autoSpaceDE w:val="0"/>
                    <w:autoSpaceDN w:val="0"/>
                    <w:adjustRightInd w:val="0"/>
                    <w:snapToGrid w:val="0"/>
                    <w:spacing w:line="320" w:lineRule="exact"/>
                    <w:jc w:val="center"/>
                    <w:rPr>
                      <w:color w:val="000000"/>
                      <w:kern w:val="0"/>
                      <w:szCs w:val="21"/>
                    </w:rPr>
                  </w:pPr>
                  <w:r>
                    <w:rPr>
                      <w:color w:val="000000"/>
                      <w:kern w:val="0"/>
                      <w:szCs w:val="21"/>
                    </w:rPr>
                    <w:t>污染物排放管控</w:t>
                  </w:r>
                </w:p>
              </w:tc>
              <w:tc>
                <w:tcPr>
                  <w:tcW w:w="2673" w:type="pct"/>
                  <w:vAlign w:val="center"/>
                </w:tcPr>
                <w:p w14:paraId="049A60B5">
                  <w:pPr>
                    <w:widowControl/>
                    <w:adjustRightInd w:val="0"/>
                    <w:snapToGrid w:val="0"/>
                    <w:spacing w:line="320" w:lineRule="exact"/>
                    <w:jc w:val="center"/>
                    <w:textAlignment w:val="center"/>
                    <w:rPr>
                      <w:kern w:val="0"/>
                      <w:szCs w:val="21"/>
                    </w:rPr>
                  </w:pPr>
                  <w:r>
                    <w:rPr>
                      <w:rFonts w:hint="eastAsia"/>
                      <w:kern w:val="0"/>
                      <w:szCs w:val="21"/>
                      <w:lang w:val="en-US" w:eastAsia="zh-CN"/>
                    </w:rPr>
                    <w:t>1</w:t>
                  </w:r>
                  <w:r>
                    <w:rPr>
                      <w:kern w:val="0"/>
                      <w:szCs w:val="21"/>
                    </w:rPr>
                    <w:t>.新、改、扩建的重金属重点行业建设项目必须以改善环境质量为核心，确保区域环境质量符合功能区定位，遵循自治区重金属污染物排放管控相关要求，在项目审批前</w:t>
                  </w:r>
                  <w:r>
                    <w:rPr>
                      <w:rFonts w:hint="eastAsia"/>
                      <w:kern w:val="0"/>
                      <w:szCs w:val="21"/>
                      <w:lang w:eastAsia="zh-CN"/>
                    </w:rPr>
                    <w:t>明确</w:t>
                  </w:r>
                  <w:r>
                    <w:rPr>
                      <w:kern w:val="0"/>
                      <w:szCs w:val="21"/>
                    </w:rPr>
                    <w:t>具体的重金属污染物排放量来源，确保辖区完成重点行业重金属污染物排放总量控制目标。</w:t>
                  </w:r>
                </w:p>
              </w:tc>
              <w:tc>
                <w:tcPr>
                  <w:tcW w:w="1629" w:type="pct"/>
                  <w:vAlign w:val="center"/>
                </w:tcPr>
                <w:p w14:paraId="76E52F0E">
                  <w:pPr>
                    <w:autoSpaceDE w:val="0"/>
                    <w:autoSpaceDN w:val="0"/>
                    <w:adjustRightInd w:val="0"/>
                    <w:snapToGrid w:val="0"/>
                    <w:spacing w:line="320" w:lineRule="exact"/>
                    <w:jc w:val="center"/>
                    <w:rPr>
                      <w:color w:val="000000"/>
                      <w:kern w:val="0"/>
                      <w:szCs w:val="21"/>
                    </w:rPr>
                  </w:pPr>
                  <w:r>
                    <w:rPr>
                      <w:rFonts w:hint="eastAsia"/>
                      <w:color w:val="000000"/>
                      <w:kern w:val="0"/>
                      <w:szCs w:val="21"/>
                    </w:rPr>
                    <w:t>符合，项目不属于重金属重点企业。</w:t>
                  </w:r>
                </w:p>
              </w:tc>
            </w:tr>
            <w:tr w14:paraId="2695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46B819EF">
                  <w:pPr>
                    <w:autoSpaceDE w:val="0"/>
                    <w:autoSpaceDN w:val="0"/>
                    <w:adjustRightInd w:val="0"/>
                    <w:snapToGrid w:val="0"/>
                    <w:spacing w:line="320" w:lineRule="exact"/>
                    <w:jc w:val="center"/>
                    <w:rPr>
                      <w:color w:val="000000"/>
                      <w:kern w:val="0"/>
                      <w:szCs w:val="21"/>
                    </w:rPr>
                  </w:pPr>
                </w:p>
              </w:tc>
              <w:tc>
                <w:tcPr>
                  <w:tcW w:w="2673" w:type="pct"/>
                  <w:vAlign w:val="center"/>
                </w:tcPr>
                <w:p w14:paraId="48FCB177">
                  <w:pPr>
                    <w:widowControl/>
                    <w:adjustRightInd w:val="0"/>
                    <w:snapToGrid w:val="0"/>
                    <w:spacing w:line="320" w:lineRule="exact"/>
                    <w:jc w:val="center"/>
                    <w:textAlignment w:val="center"/>
                    <w:rPr>
                      <w:kern w:val="0"/>
                      <w:szCs w:val="21"/>
                    </w:rPr>
                  </w:pPr>
                  <w:r>
                    <w:rPr>
                      <w:rFonts w:hint="eastAsia"/>
                      <w:kern w:val="0"/>
                      <w:szCs w:val="21"/>
                      <w:lang w:val="en-US" w:eastAsia="zh-CN"/>
                    </w:rPr>
                    <w:t>2</w:t>
                  </w:r>
                  <w:r>
                    <w:rPr>
                      <w:kern w:val="0"/>
                      <w:szCs w:val="21"/>
                    </w:rPr>
                    <w:t>.</w:t>
                  </w:r>
                  <w:r>
                    <w:rPr>
                      <w:rFonts w:hint="eastAsia"/>
                      <w:kern w:val="0"/>
                      <w:szCs w:val="21"/>
                      <w:lang w:val="en-US" w:eastAsia="zh-CN"/>
                    </w:rPr>
                    <w:t>持续加强</w:t>
                  </w:r>
                  <w:r>
                    <w:rPr>
                      <w:kern w:val="0"/>
                      <w:szCs w:val="21"/>
                    </w:rPr>
                    <w:t>工业园区污水集中处理设施和配套管网建设。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tc>
              <w:tc>
                <w:tcPr>
                  <w:tcW w:w="1629" w:type="pct"/>
                  <w:vAlign w:val="center"/>
                </w:tcPr>
                <w:p w14:paraId="4C6CA10F">
                  <w:pPr>
                    <w:autoSpaceDE w:val="0"/>
                    <w:autoSpaceDN w:val="0"/>
                    <w:adjustRightInd w:val="0"/>
                    <w:snapToGrid w:val="0"/>
                    <w:spacing w:line="320" w:lineRule="exact"/>
                    <w:jc w:val="center"/>
                    <w:rPr>
                      <w:color w:val="000000"/>
                      <w:kern w:val="0"/>
                      <w:szCs w:val="21"/>
                    </w:rPr>
                  </w:pPr>
                  <w:r>
                    <w:rPr>
                      <w:rFonts w:hint="eastAsia"/>
                      <w:color w:val="000000"/>
                      <w:kern w:val="0"/>
                      <w:szCs w:val="21"/>
                    </w:rPr>
                    <w:t>符合，本项目所产生的废水均经管道收集进入盛隆公司污水处理系统处理后全部循环利用，不外排。</w:t>
                  </w:r>
                </w:p>
              </w:tc>
            </w:tr>
            <w:tr w14:paraId="4524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5688C382">
                  <w:pPr>
                    <w:autoSpaceDE w:val="0"/>
                    <w:autoSpaceDN w:val="0"/>
                    <w:adjustRightInd w:val="0"/>
                    <w:snapToGrid w:val="0"/>
                    <w:spacing w:line="320" w:lineRule="exact"/>
                    <w:jc w:val="center"/>
                    <w:rPr>
                      <w:color w:val="000000"/>
                      <w:kern w:val="0"/>
                      <w:szCs w:val="21"/>
                    </w:rPr>
                  </w:pPr>
                </w:p>
              </w:tc>
              <w:tc>
                <w:tcPr>
                  <w:tcW w:w="2673" w:type="pct"/>
                  <w:vAlign w:val="center"/>
                </w:tcPr>
                <w:p w14:paraId="02F9F71A">
                  <w:pPr>
                    <w:widowControl/>
                    <w:adjustRightInd w:val="0"/>
                    <w:snapToGrid w:val="0"/>
                    <w:spacing w:line="320" w:lineRule="exact"/>
                    <w:jc w:val="center"/>
                    <w:textAlignment w:val="center"/>
                    <w:rPr>
                      <w:rFonts w:hint="eastAsia"/>
                      <w:kern w:val="0"/>
                      <w:szCs w:val="21"/>
                      <w:lang w:val="en-US" w:eastAsia="zh-CN"/>
                    </w:rPr>
                  </w:pPr>
                  <w:r>
                    <w:rPr>
                      <w:rFonts w:hint="eastAsia"/>
                      <w:kern w:val="0"/>
                      <w:szCs w:val="21"/>
                      <w:lang w:val="en-US" w:eastAsia="zh-CN"/>
                    </w:rPr>
                    <w:t>3.园区及园区企业排放水污染物，要满足国家或者地方规定的水污染物排放标准和重点水污染物排放总量控制指标。</w:t>
                  </w:r>
                </w:p>
              </w:tc>
              <w:tc>
                <w:tcPr>
                  <w:tcW w:w="1629" w:type="pct"/>
                  <w:vAlign w:val="center"/>
                </w:tcPr>
                <w:p w14:paraId="7CDAC5A6">
                  <w:pPr>
                    <w:autoSpaceDE w:val="0"/>
                    <w:autoSpaceDN w:val="0"/>
                    <w:adjustRightInd w:val="0"/>
                    <w:snapToGrid w:val="0"/>
                    <w:spacing w:line="320" w:lineRule="exact"/>
                    <w:jc w:val="center"/>
                    <w:rPr>
                      <w:rFonts w:hint="eastAsia"/>
                      <w:color w:val="000000"/>
                      <w:kern w:val="0"/>
                      <w:szCs w:val="21"/>
                    </w:rPr>
                  </w:pPr>
                  <w:r>
                    <w:rPr>
                      <w:rFonts w:hint="eastAsia"/>
                      <w:color w:val="000000"/>
                      <w:kern w:val="0"/>
                      <w:szCs w:val="21"/>
                    </w:rPr>
                    <w:t>符合，本项目所产生的废水均经管道收集进入盛隆公司污水处理系统处理后全部循环利用，不外排</w:t>
                  </w:r>
                </w:p>
              </w:tc>
            </w:tr>
            <w:tr w14:paraId="0C42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35044B16">
                  <w:pPr>
                    <w:autoSpaceDE w:val="0"/>
                    <w:autoSpaceDN w:val="0"/>
                    <w:adjustRightInd w:val="0"/>
                    <w:snapToGrid w:val="0"/>
                    <w:spacing w:line="320" w:lineRule="exact"/>
                    <w:jc w:val="center"/>
                    <w:rPr>
                      <w:color w:val="000000"/>
                      <w:kern w:val="0"/>
                      <w:szCs w:val="21"/>
                    </w:rPr>
                  </w:pPr>
                </w:p>
              </w:tc>
              <w:tc>
                <w:tcPr>
                  <w:tcW w:w="2673" w:type="pct"/>
                  <w:vAlign w:val="center"/>
                </w:tcPr>
                <w:p w14:paraId="7853251D">
                  <w:pPr>
                    <w:widowControl/>
                    <w:adjustRightInd w:val="0"/>
                    <w:snapToGrid w:val="0"/>
                    <w:spacing w:line="320" w:lineRule="exact"/>
                    <w:jc w:val="center"/>
                    <w:textAlignment w:val="center"/>
                    <w:rPr>
                      <w:rFonts w:hint="eastAsia"/>
                      <w:kern w:val="0"/>
                      <w:szCs w:val="21"/>
                      <w:lang w:val="en-US" w:eastAsia="zh-CN"/>
                    </w:rPr>
                  </w:pPr>
                  <w:r>
                    <w:rPr>
                      <w:rFonts w:hint="eastAsia"/>
                      <w:kern w:val="0"/>
                      <w:szCs w:val="21"/>
                      <w:lang w:val="en-US" w:eastAsia="zh-CN"/>
                    </w:rPr>
                    <w:t>4.钢铁、水泥、焦化等重点产业全面推进行业达标排放改造，重点行业建设项目实行主要污染物排放等量或减量置换新(改、扩)建钢铁企业同步建设烟气超低排放治理设施，达到超低排放限值要求，</w:t>
                  </w:r>
                </w:p>
              </w:tc>
              <w:tc>
                <w:tcPr>
                  <w:tcW w:w="1629" w:type="pct"/>
                  <w:vAlign w:val="center"/>
                </w:tcPr>
                <w:p w14:paraId="4579178A">
                  <w:pPr>
                    <w:autoSpaceDE w:val="0"/>
                    <w:autoSpaceDN w:val="0"/>
                    <w:adjustRightInd w:val="0"/>
                    <w:snapToGrid w:val="0"/>
                    <w:spacing w:line="320" w:lineRule="exact"/>
                    <w:jc w:val="center"/>
                    <w:rPr>
                      <w:rFonts w:hint="eastAsia"/>
                      <w:color w:val="000000"/>
                      <w:kern w:val="0"/>
                      <w:szCs w:val="21"/>
                    </w:rPr>
                  </w:pPr>
                  <w:r>
                    <w:rPr>
                      <w:rFonts w:hint="eastAsia"/>
                      <w:color w:val="000000"/>
                      <w:kern w:val="0"/>
                      <w:szCs w:val="21"/>
                    </w:rPr>
                    <w:t>项目类型不</w:t>
                  </w:r>
                  <w:r>
                    <w:rPr>
                      <w:rFonts w:hint="eastAsia"/>
                      <w:color w:val="000000"/>
                      <w:kern w:val="0"/>
                      <w:szCs w:val="21"/>
                      <w:lang w:val="en-US" w:eastAsia="zh-CN"/>
                    </w:rPr>
                    <w:t>属于</w:t>
                  </w:r>
                  <w:r>
                    <w:rPr>
                      <w:rFonts w:hint="eastAsia"/>
                      <w:color w:val="000000"/>
                      <w:kern w:val="0"/>
                      <w:szCs w:val="21"/>
                    </w:rPr>
                    <w:t>钢铁、水泥、焦化等重点产业。</w:t>
                  </w:r>
                </w:p>
              </w:tc>
            </w:tr>
            <w:tr w14:paraId="56EF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5F022D60">
                  <w:pPr>
                    <w:autoSpaceDE w:val="0"/>
                    <w:autoSpaceDN w:val="0"/>
                    <w:adjustRightInd w:val="0"/>
                    <w:snapToGrid w:val="0"/>
                    <w:spacing w:line="320" w:lineRule="exact"/>
                    <w:jc w:val="center"/>
                    <w:rPr>
                      <w:color w:val="000000"/>
                      <w:kern w:val="0"/>
                      <w:szCs w:val="21"/>
                    </w:rPr>
                  </w:pPr>
                </w:p>
              </w:tc>
              <w:tc>
                <w:tcPr>
                  <w:tcW w:w="2673" w:type="pct"/>
                  <w:vAlign w:val="center"/>
                </w:tcPr>
                <w:p w14:paraId="4BAD18C1">
                  <w:pPr>
                    <w:widowControl/>
                    <w:adjustRightInd w:val="0"/>
                    <w:snapToGrid w:val="0"/>
                    <w:spacing w:line="320" w:lineRule="exact"/>
                    <w:jc w:val="center"/>
                    <w:textAlignment w:val="center"/>
                    <w:rPr>
                      <w:rFonts w:hint="eastAsia"/>
                      <w:kern w:val="0"/>
                      <w:szCs w:val="21"/>
                      <w:lang w:val="en-US" w:eastAsia="zh-CN"/>
                    </w:rPr>
                  </w:pPr>
                  <w:r>
                    <w:rPr>
                      <w:rFonts w:hint="eastAsia"/>
                      <w:kern w:val="0"/>
                      <w:szCs w:val="21"/>
                      <w:lang w:val="en-US" w:eastAsia="zh-CN"/>
                    </w:rPr>
                    <w:t>5.推动石化、化工、工业涂装、包装印刷、合成材料等重点行业挥发性有机物(V0Cs)污染防治。推动石化行业V0Cs泄漏检测与修复行动、V0Cs削减和有毒有害原料替代。加快实施低 VOCs 含量原辅材料替代。有条件的园区可建设集中喷涂工程中心，配备高效治污设施，替代企业独立喷涂工序。</w:t>
                  </w:r>
                </w:p>
              </w:tc>
              <w:tc>
                <w:tcPr>
                  <w:tcW w:w="1629" w:type="pct"/>
                  <w:vAlign w:val="center"/>
                </w:tcPr>
                <w:p w14:paraId="67C74A41">
                  <w:pPr>
                    <w:autoSpaceDE w:val="0"/>
                    <w:autoSpaceDN w:val="0"/>
                    <w:adjustRightInd w:val="0"/>
                    <w:snapToGrid w:val="0"/>
                    <w:spacing w:line="320" w:lineRule="exact"/>
                    <w:jc w:val="center"/>
                    <w:rPr>
                      <w:rFonts w:hint="default" w:eastAsia="宋体"/>
                      <w:color w:val="000000"/>
                      <w:kern w:val="0"/>
                      <w:szCs w:val="21"/>
                      <w:lang w:val="en-US" w:eastAsia="zh-CN"/>
                    </w:rPr>
                  </w:pPr>
                  <w:r>
                    <w:rPr>
                      <w:rFonts w:hint="eastAsia"/>
                      <w:color w:val="000000"/>
                      <w:kern w:val="0"/>
                      <w:szCs w:val="21"/>
                      <w:lang w:val="en-US" w:eastAsia="zh-CN"/>
                    </w:rPr>
                    <w:t>项目生产过程不产生VOCs。</w:t>
                  </w:r>
                </w:p>
              </w:tc>
            </w:tr>
            <w:tr w14:paraId="356B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77093C8C">
                  <w:pPr>
                    <w:autoSpaceDE w:val="0"/>
                    <w:autoSpaceDN w:val="0"/>
                    <w:adjustRightInd w:val="0"/>
                    <w:snapToGrid w:val="0"/>
                    <w:spacing w:line="320" w:lineRule="exact"/>
                    <w:jc w:val="center"/>
                    <w:rPr>
                      <w:color w:val="000000"/>
                      <w:kern w:val="0"/>
                      <w:szCs w:val="21"/>
                    </w:rPr>
                  </w:pPr>
                </w:p>
              </w:tc>
              <w:tc>
                <w:tcPr>
                  <w:tcW w:w="2673" w:type="pct"/>
                  <w:vAlign w:val="center"/>
                </w:tcPr>
                <w:p w14:paraId="78ACEF0E">
                  <w:pPr>
                    <w:widowControl/>
                    <w:adjustRightInd w:val="0"/>
                    <w:snapToGrid w:val="0"/>
                    <w:spacing w:line="320" w:lineRule="exact"/>
                    <w:jc w:val="center"/>
                    <w:textAlignment w:val="center"/>
                    <w:rPr>
                      <w:rFonts w:hint="eastAsia"/>
                      <w:kern w:val="0"/>
                      <w:szCs w:val="21"/>
                      <w:lang w:val="en-US" w:eastAsia="zh-CN"/>
                    </w:rPr>
                  </w:pPr>
                  <w:r>
                    <w:rPr>
                      <w:rFonts w:hint="eastAsia"/>
                      <w:kern w:val="0"/>
                      <w:szCs w:val="21"/>
                      <w:lang w:val="en-US" w:eastAsia="zh-CN"/>
                    </w:rPr>
                    <w:t>6.2025年底前，完成65蒸吨/小时以上的燃煤锅炉(含电力)超低排放改造。生物质锅炉氮氧化物排放浓度无法稳定达标的，加装高效脱硝设施。燃气锅炉实施低氮燃烧改造。</w:t>
                  </w:r>
                </w:p>
              </w:tc>
              <w:tc>
                <w:tcPr>
                  <w:tcW w:w="1629" w:type="pct"/>
                  <w:vAlign w:val="center"/>
                </w:tcPr>
                <w:p w14:paraId="2AC49D84">
                  <w:pPr>
                    <w:autoSpaceDE w:val="0"/>
                    <w:autoSpaceDN w:val="0"/>
                    <w:adjustRightInd w:val="0"/>
                    <w:snapToGrid w:val="0"/>
                    <w:spacing w:line="320" w:lineRule="exact"/>
                    <w:jc w:val="center"/>
                    <w:rPr>
                      <w:rFonts w:hint="default" w:eastAsia="宋体"/>
                      <w:color w:val="000000"/>
                      <w:kern w:val="0"/>
                      <w:szCs w:val="21"/>
                      <w:lang w:val="en-US" w:eastAsia="zh-CN"/>
                    </w:rPr>
                  </w:pPr>
                  <w:r>
                    <w:rPr>
                      <w:rFonts w:hint="eastAsia"/>
                      <w:color w:val="000000"/>
                      <w:kern w:val="0"/>
                      <w:szCs w:val="21"/>
                      <w:lang w:val="en-US" w:eastAsia="zh-CN"/>
                    </w:rPr>
                    <w:t>项目不涉及。</w:t>
                  </w:r>
                </w:p>
              </w:tc>
            </w:tr>
            <w:tr w14:paraId="3954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6AB1C7C4">
                  <w:pPr>
                    <w:autoSpaceDE w:val="0"/>
                    <w:autoSpaceDN w:val="0"/>
                    <w:adjustRightInd w:val="0"/>
                    <w:snapToGrid w:val="0"/>
                    <w:spacing w:line="320" w:lineRule="exact"/>
                    <w:jc w:val="center"/>
                    <w:rPr>
                      <w:color w:val="000000"/>
                      <w:kern w:val="0"/>
                      <w:szCs w:val="21"/>
                    </w:rPr>
                  </w:pPr>
                </w:p>
              </w:tc>
              <w:tc>
                <w:tcPr>
                  <w:tcW w:w="2673" w:type="pct"/>
                  <w:vAlign w:val="center"/>
                </w:tcPr>
                <w:p w14:paraId="7493AFBF">
                  <w:pPr>
                    <w:widowControl/>
                    <w:adjustRightInd w:val="0"/>
                    <w:snapToGrid w:val="0"/>
                    <w:spacing w:line="320" w:lineRule="exact"/>
                    <w:jc w:val="center"/>
                    <w:textAlignment w:val="center"/>
                    <w:rPr>
                      <w:rFonts w:hint="eastAsia"/>
                      <w:kern w:val="0"/>
                      <w:szCs w:val="21"/>
                      <w:lang w:val="en-US" w:eastAsia="zh-CN"/>
                    </w:rPr>
                  </w:pPr>
                  <w:r>
                    <w:rPr>
                      <w:rFonts w:hint="eastAsia"/>
                      <w:kern w:val="0"/>
                      <w:szCs w:val="21"/>
                      <w:lang w:val="en-US" w:eastAsia="zh-CN"/>
                    </w:rPr>
                    <w:t>7.推进园区重点行业节能降碳，重点开展钢铁、有色金属等行业节能降碳改造、工业革新和数字化转型。</w:t>
                  </w:r>
                </w:p>
              </w:tc>
              <w:tc>
                <w:tcPr>
                  <w:tcW w:w="1629" w:type="pct"/>
                  <w:vAlign w:val="center"/>
                </w:tcPr>
                <w:p w14:paraId="5F5A6F2F">
                  <w:pPr>
                    <w:autoSpaceDE w:val="0"/>
                    <w:autoSpaceDN w:val="0"/>
                    <w:adjustRightInd w:val="0"/>
                    <w:snapToGrid w:val="0"/>
                    <w:spacing w:line="320" w:lineRule="exact"/>
                    <w:jc w:val="center"/>
                    <w:rPr>
                      <w:rFonts w:hint="default" w:eastAsia="宋体"/>
                      <w:color w:val="000000"/>
                      <w:kern w:val="0"/>
                      <w:szCs w:val="21"/>
                      <w:lang w:val="en-US" w:eastAsia="zh-CN"/>
                    </w:rPr>
                  </w:pPr>
                  <w:r>
                    <w:rPr>
                      <w:rFonts w:hint="eastAsia"/>
                      <w:color w:val="000000"/>
                      <w:kern w:val="0"/>
                      <w:szCs w:val="21"/>
                      <w:lang w:val="en-US" w:eastAsia="zh-CN"/>
                    </w:rPr>
                    <w:t>项目类型不属于重点行业。</w:t>
                  </w:r>
                </w:p>
              </w:tc>
            </w:tr>
            <w:tr w14:paraId="68E6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6C272CBC">
                  <w:pPr>
                    <w:autoSpaceDE w:val="0"/>
                    <w:autoSpaceDN w:val="0"/>
                    <w:adjustRightInd w:val="0"/>
                    <w:snapToGrid w:val="0"/>
                    <w:spacing w:line="320" w:lineRule="exact"/>
                    <w:jc w:val="center"/>
                    <w:rPr>
                      <w:color w:val="000000"/>
                      <w:kern w:val="0"/>
                      <w:szCs w:val="21"/>
                    </w:rPr>
                  </w:pPr>
                </w:p>
              </w:tc>
              <w:tc>
                <w:tcPr>
                  <w:tcW w:w="2673" w:type="pct"/>
                  <w:vAlign w:val="center"/>
                </w:tcPr>
                <w:p w14:paraId="6931ABDD">
                  <w:pPr>
                    <w:widowControl/>
                    <w:adjustRightInd w:val="0"/>
                    <w:snapToGrid w:val="0"/>
                    <w:spacing w:line="320" w:lineRule="exact"/>
                    <w:jc w:val="center"/>
                    <w:textAlignment w:val="center"/>
                    <w:rPr>
                      <w:rFonts w:hint="eastAsia"/>
                      <w:kern w:val="0"/>
                      <w:szCs w:val="21"/>
                      <w:lang w:val="en-US" w:eastAsia="zh-CN"/>
                    </w:rPr>
                  </w:pPr>
                  <w:r>
                    <w:rPr>
                      <w:rFonts w:hint="eastAsia"/>
                      <w:kern w:val="0"/>
                      <w:szCs w:val="21"/>
                      <w:lang w:val="en-US" w:eastAsia="zh-CN"/>
                    </w:rPr>
                    <w:t>8.新建石化和化工生产项目污染物排放必须同时满足污染物排放标准和主要污染物总量控制要求</w:t>
                  </w:r>
                </w:p>
              </w:tc>
              <w:tc>
                <w:tcPr>
                  <w:tcW w:w="1629" w:type="pct"/>
                  <w:vAlign w:val="center"/>
                </w:tcPr>
                <w:p w14:paraId="1B3743F5">
                  <w:pPr>
                    <w:autoSpaceDE w:val="0"/>
                    <w:autoSpaceDN w:val="0"/>
                    <w:adjustRightInd w:val="0"/>
                    <w:snapToGrid w:val="0"/>
                    <w:spacing w:line="320" w:lineRule="exact"/>
                    <w:jc w:val="center"/>
                    <w:rPr>
                      <w:rFonts w:hint="eastAsia"/>
                      <w:color w:val="000000"/>
                      <w:kern w:val="0"/>
                      <w:szCs w:val="21"/>
                    </w:rPr>
                  </w:pPr>
                  <w:r>
                    <w:rPr>
                      <w:rFonts w:hint="eastAsia"/>
                      <w:color w:val="000000"/>
                      <w:kern w:val="0"/>
                      <w:szCs w:val="21"/>
                      <w:lang w:val="en-US" w:eastAsia="zh-CN"/>
                    </w:rPr>
                    <w:t>项目不属于石化和化工项目。</w:t>
                  </w:r>
                </w:p>
              </w:tc>
            </w:tr>
            <w:tr w14:paraId="146C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53C57895">
                  <w:pPr>
                    <w:autoSpaceDE w:val="0"/>
                    <w:autoSpaceDN w:val="0"/>
                    <w:adjustRightInd w:val="0"/>
                    <w:snapToGrid w:val="0"/>
                    <w:spacing w:line="320" w:lineRule="exact"/>
                    <w:jc w:val="center"/>
                    <w:rPr>
                      <w:color w:val="000000"/>
                      <w:kern w:val="0"/>
                      <w:szCs w:val="21"/>
                    </w:rPr>
                  </w:pPr>
                </w:p>
              </w:tc>
              <w:tc>
                <w:tcPr>
                  <w:tcW w:w="2673" w:type="pct"/>
                  <w:vAlign w:val="center"/>
                </w:tcPr>
                <w:p w14:paraId="508D37D8">
                  <w:pPr>
                    <w:widowControl/>
                    <w:adjustRightInd w:val="0"/>
                    <w:snapToGrid w:val="0"/>
                    <w:spacing w:line="320" w:lineRule="exact"/>
                    <w:jc w:val="center"/>
                    <w:textAlignment w:val="center"/>
                    <w:rPr>
                      <w:rFonts w:hint="eastAsia"/>
                      <w:kern w:val="0"/>
                      <w:szCs w:val="21"/>
                      <w:lang w:val="en-US" w:eastAsia="zh-CN"/>
                    </w:rPr>
                  </w:pPr>
                  <w:r>
                    <w:rPr>
                      <w:rFonts w:hint="eastAsia"/>
                      <w:kern w:val="0"/>
                      <w:szCs w:val="21"/>
                      <w:lang w:val="en-US" w:eastAsia="zh-CN"/>
                    </w:rPr>
                    <w:t>9.新建石化和化工生产项目应配套固废综合利用或无害化处理设施，危险废物应按照国家及自治区相关危险废物的管理规定进行贮存、转移、安全处置。涉及有毒、有害物质的重点场所或者重点设施设备，应进行防渗漏设计和建设，消除土壤和地下水污染隐患。</w:t>
                  </w:r>
                </w:p>
              </w:tc>
              <w:tc>
                <w:tcPr>
                  <w:tcW w:w="1629" w:type="pct"/>
                  <w:vAlign w:val="center"/>
                </w:tcPr>
                <w:p w14:paraId="7B6F6C87">
                  <w:pPr>
                    <w:autoSpaceDE w:val="0"/>
                    <w:autoSpaceDN w:val="0"/>
                    <w:adjustRightInd w:val="0"/>
                    <w:snapToGrid w:val="0"/>
                    <w:spacing w:line="320" w:lineRule="exact"/>
                    <w:jc w:val="center"/>
                    <w:rPr>
                      <w:rFonts w:hint="eastAsia"/>
                      <w:color w:val="000000"/>
                      <w:kern w:val="0"/>
                      <w:szCs w:val="21"/>
                    </w:rPr>
                  </w:pPr>
                  <w:r>
                    <w:rPr>
                      <w:rFonts w:hint="eastAsia"/>
                      <w:color w:val="000000"/>
                      <w:kern w:val="0"/>
                      <w:szCs w:val="21"/>
                      <w:lang w:val="en-US" w:eastAsia="zh-CN"/>
                    </w:rPr>
                    <w:t>项目不属于石化和化工项目。</w:t>
                  </w:r>
                </w:p>
              </w:tc>
            </w:tr>
            <w:tr w14:paraId="371D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restart"/>
                  <w:vAlign w:val="center"/>
                </w:tcPr>
                <w:p w14:paraId="7E03338E">
                  <w:pPr>
                    <w:autoSpaceDE w:val="0"/>
                    <w:autoSpaceDN w:val="0"/>
                    <w:adjustRightInd w:val="0"/>
                    <w:snapToGrid w:val="0"/>
                    <w:spacing w:line="320" w:lineRule="exact"/>
                    <w:jc w:val="center"/>
                    <w:rPr>
                      <w:color w:val="000000"/>
                      <w:kern w:val="0"/>
                      <w:szCs w:val="21"/>
                    </w:rPr>
                  </w:pPr>
                  <w:r>
                    <w:rPr>
                      <w:color w:val="000000"/>
                      <w:kern w:val="0"/>
                      <w:szCs w:val="21"/>
                    </w:rPr>
                    <w:t>环境风险防控</w:t>
                  </w:r>
                </w:p>
              </w:tc>
              <w:tc>
                <w:tcPr>
                  <w:tcW w:w="2673" w:type="pct"/>
                  <w:vAlign w:val="center"/>
                </w:tcPr>
                <w:p w14:paraId="1FE4C861">
                  <w:pPr>
                    <w:widowControl/>
                    <w:adjustRightInd w:val="0"/>
                    <w:snapToGrid w:val="0"/>
                    <w:spacing w:line="320" w:lineRule="exact"/>
                    <w:jc w:val="center"/>
                    <w:textAlignment w:val="center"/>
                    <w:rPr>
                      <w:kern w:val="0"/>
                      <w:szCs w:val="21"/>
                      <w:lang w:bidi="ar"/>
                    </w:rPr>
                  </w:pPr>
                  <w:r>
                    <w:rPr>
                      <w:rFonts w:hint="eastAsia"/>
                      <w:kern w:val="0"/>
                      <w:szCs w:val="21"/>
                      <w:lang w:bidi="ar"/>
                    </w:rPr>
                    <w:t>1.建设项目应严格落实环境保护措施和环境风险防范措施防范对东湾红树林保护区、北部湾二长棘鲷长毛对虾国家级水产种质资源保护区、渔业养殖区等周边生态环境敏感区产生不良环境影响。</w:t>
                  </w:r>
                </w:p>
              </w:tc>
              <w:tc>
                <w:tcPr>
                  <w:tcW w:w="1629" w:type="pct"/>
                  <w:vAlign w:val="center"/>
                </w:tcPr>
                <w:p w14:paraId="484C4CDD">
                  <w:pPr>
                    <w:autoSpaceDE w:val="0"/>
                    <w:autoSpaceDN w:val="0"/>
                    <w:adjustRightInd w:val="0"/>
                    <w:snapToGrid w:val="0"/>
                    <w:spacing w:line="320" w:lineRule="exact"/>
                    <w:jc w:val="center"/>
                    <w:rPr>
                      <w:color w:val="000000"/>
                      <w:kern w:val="0"/>
                      <w:szCs w:val="21"/>
                    </w:rPr>
                  </w:pPr>
                  <w:r>
                    <w:rPr>
                      <w:color w:val="000000"/>
                      <w:kern w:val="0"/>
                      <w:szCs w:val="21"/>
                    </w:rPr>
                    <w:t>符合，</w:t>
                  </w:r>
                  <w:r>
                    <w:rPr>
                      <w:rFonts w:hint="eastAsia" w:ascii="Times New Roman" w:hAnsi="Times New Roman" w:eastAsia="宋体" w:cs="Times New Roman"/>
                      <w:color w:val="000000"/>
                      <w:spacing w:val="0"/>
                      <w:kern w:val="0"/>
                      <w:sz w:val="21"/>
                      <w:szCs w:val="21"/>
                      <w:u w:val="none"/>
                    </w:rPr>
                    <w:t>项目</w:t>
                  </w:r>
                  <w:r>
                    <w:rPr>
                      <w:rFonts w:hint="eastAsia" w:ascii="Times New Roman" w:hAnsi="Times New Roman" w:eastAsia="宋体" w:cs="Times New Roman"/>
                      <w:color w:val="000000"/>
                      <w:spacing w:val="0"/>
                      <w:kern w:val="0"/>
                      <w:sz w:val="21"/>
                      <w:szCs w:val="21"/>
                      <w:u w:val="none"/>
                      <w:lang w:val="en-US" w:eastAsia="zh-CN"/>
                    </w:rPr>
                    <w:t>已设置</w:t>
                  </w:r>
                  <w:r>
                    <w:rPr>
                      <w:rFonts w:hint="eastAsia" w:ascii="Times New Roman" w:hAnsi="Times New Roman" w:eastAsia="宋体" w:cs="Times New Roman"/>
                      <w:color w:val="000000"/>
                      <w:spacing w:val="0"/>
                      <w:kern w:val="0"/>
                      <w:sz w:val="21"/>
                      <w:szCs w:val="21"/>
                      <w:u w:val="none"/>
                    </w:rPr>
                    <w:t>环境风险防范措施，加强应急预警管理</w:t>
                  </w:r>
                  <w:r>
                    <w:rPr>
                      <w:rFonts w:hint="eastAsia" w:cs="Times New Roman"/>
                      <w:color w:val="000000"/>
                      <w:spacing w:val="0"/>
                      <w:kern w:val="0"/>
                      <w:sz w:val="21"/>
                      <w:szCs w:val="21"/>
                      <w:u w:val="none"/>
                      <w:lang w:eastAsia="zh-CN"/>
                    </w:rPr>
                    <w:t>，</w:t>
                  </w:r>
                  <w:r>
                    <w:rPr>
                      <w:rFonts w:hint="eastAsia" w:cs="Times New Roman"/>
                      <w:color w:val="000000"/>
                      <w:spacing w:val="0"/>
                      <w:kern w:val="0"/>
                      <w:sz w:val="21"/>
                      <w:szCs w:val="21"/>
                      <w:u w:val="none"/>
                      <w:lang w:val="en-US" w:eastAsia="zh-CN"/>
                    </w:rPr>
                    <w:t>且</w:t>
                  </w:r>
                  <w:r>
                    <w:rPr>
                      <w:rFonts w:hint="eastAsia" w:cs="Times New Roman"/>
                      <w:color w:val="000000"/>
                      <w:spacing w:val="0"/>
                      <w:kern w:val="0"/>
                      <w:sz w:val="21"/>
                      <w:szCs w:val="21"/>
                      <w:u w:val="none"/>
                      <w:lang w:eastAsia="zh-CN"/>
                    </w:rPr>
                    <w:t>盛隆已编制环境风险应急预案，</w:t>
                  </w:r>
                  <w:r>
                    <w:rPr>
                      <w:rFonts w:hint="eastAsia" w:cs="Times New Roman"/>
                      <w:color w:val="000000"/>
                      <w:spacing w:val="0"/>
                      <w:kern w:val="0"/>
                      <w:sz w:val="21"/>
                      <w:szCs w:val="21"/>
                      <w:u w:val="none"/>
                      <w:lang w:val="en-US" w:eastAsia="zh-CN"/>
                    </w:rPr>
                    <w:t>备案详见附件5</w:t>
                  </w:r>
                  <w:r>
                    <w:rPr>
                      <w:rFonts w:hint="eastAsia"/>
                      <w:color w:val="000000"/>
                      <w:kern w:val="0"/>
                      <w:szCs w:val="21"/>
                    </w:rPr>
                    <w:t>。</w:t>
                  </w:r>
                </w:p>
              </w:tc>
            </w:tr>
            <w:tr w14:paraId="40BC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282FF36E">
                  <w:pPr>
                    <w:autoSpaceDE w:val="0"/>
                    <w:autoSpaceDN w:val="0"/>
                    <w:adjustRightInd w:val="0"/>
                    <w:snapToGrid w:val="0"/>
                    <w:spacing w:line="320" w:lineRule="exact"/>
                    <w:jc w:val="center"/>
                    <w:rPr>
                      <w:color w:val="000000"/>
                      <w:kern w:val="0"/>
                      <w:szCs w:val="21"/>
                    </w:rPr>
                  </w:pPr>
                </w:p>
              </w:tc>
              <w:tc>
                <w:tcPr>
                  <w:tcW w:w="2673" w:type="pct"/>
                  <w:vAlign w:val="center"/>
                </w:tcPr>
                <w:p w14:paraId="415FF80D">
                  <w:pPr>
                    <w:widowControl/>
                    <w:adjustRightInd w:val="0"/>
                    <w:snapToGrid w:val="0"/>
                    <w:spacing w:line="320" w:lineRule="exact"/>
                    <w:jc w:val="center"/>
                    <w:textAlignment w:val="center"/>
                    <w:rPr>
                      <w:kern w:val="0"/>
                      <w:szCs w:val="21"/>
                      <w:lang w:bidi="ar"/>
                    </w:rPr>
                  </w:pPr>
                  <w:r>
                    <w:rPr>
                      <w:rFonts w:hint="eastAsia"/>
                      <w:kern w:val="0"/>
                      <w:szCs w:val="21"/>
                      <w:lang w:bidi="ar"/>
                    </w:rPr>
                    <w:t>2.开展环境风险评估，制定突发环境事件应急预案并备案，配备应急能力和物资，建设环境应急队伍，并定期演练。企业、园区与地方人民政府环境应急预案应当有机</w:t>
                  </w:r>
                  <w:r>
                    <w:rPr>
                      <w:rFonts w:hint="eastAsia"/>
                      <w:kern w:val="0"/>
                      <w:szCs w:val="21"/>
                      <w:lang w:eastAsia="zh-CN" w:bidi="ar"/>
                    </w:rPr>
                    <w:t>衔接</w:t>
                  </w:r>
                  <w:r>
                    <w:rPr>
                      <w:rFonts w:hint="eastAsia"/>
                      <w:kern w:val="0"/>
                      <w:szCs w:val="21"/>
                      <w:lang w:bidi="ar"/>
                    </w:rPr>
                    <w:t>。</w:t>
                  </w:r>
                </w:p>
              </w:tc>
              <w:tc>
                <w:tcPr>
                  <w:tcW w:w="1629" w:type="pct"/>
                  <w:vAlign w:val="center"/>
                </w:tcPr>
                <w:p w14:paraId="732E2F86">
                  <w:pPr>
                    <w:autoSpaceDE w:val="0"/>
                    <w:autoSpaceDN w:val="0"/>
                    <w:adjustRightInd w:val="0"/>
                    <w:snapToGrid w:val="0"/>
                    <w:spacing w:line="320" w:lineRule="exact"/>
                    <w:jc w:val="center"/>
                    <w:rPr>
                      <w:rFonts w:hint="default" w:eastAsia="宋体"/>
                      <w:color w:val="000000"/>
                      <w:kern w:val="0"/>
                      <w:szCs w:val="21"/>
                      <w:lang w:val="en-US" w:eastAsia="zh-CN"/>
                    </w:rPr>
                  </w:pPr>
                  <w:r>
                    <w:rPr>
                      <w:rFonts w:hint="eastAsia"/>
                      <w:color w:val="000000"/>
                      <w:kern w:val="0"/>
                      <w:szCs w:val="21"/>
                      <w:lang w:val="en-US" w:eastAsia="zh-CN"/>
                    </w:rPr>
                    <w:t>符合，盛隆公司已开展环境风险评估，制定突发环境事件应急预案并备案，备案详见附件5。</w:t>
                  </w:r>
                </w:p>
              </w:tc>
            </w:tr>
            <w:tr w14:paraId="58C8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3706B91C">
                  <w:pPr>
                    <w:autoSpaceDE w:val="0"/>
                    <w:autoSpaceDN w:val="0"/>
                    <w:adjustRightInd w:val="0"/>
                    <w:snapToGrid w:val="0"/>
                    <w:spacing w:line="320" w:lineRule="exact"/>
                    <w:jc w:val="center"/>
                    <w:rPr>
                      <w:color w:val="000000"/>
                      <w:kern w:val="0"/>
                      <w:szCs w:val="21"/>
                    </w:rPr>
                  </w:pPr>
                </w:p>
              </w:tc>
              <w:tc>
                <w:tcPr>
                  <w:tcW w:w="2673" w:type="pct"/>
                  <w:vAlign w:val="center"/>
                </w:tcPr>
                <w:p w14:paraId="378D3C40">
                  <w:pPr>
                    <w:widowControl/>
                    <w:adjustRightInd w:val="0"/>
                    <w:snapToGrid w:val="0"/>
                    <w:spacing w:line="320" w:lineRule="exact"/>
                    <w:jc w:val="center"/>
                    <w:textAlignment w:val="center"/>
                    <w:rPr>
                      <w:kern w:val="0"/>
                      <w:szCs w:val="21"/>
                      <w:lang w:bidi="ar"/>
                    </w:rPr>
                  </w:pPr>
                  <w:r>
                    <w:rPr>
                      <w:rFonts w:hint="eastAsia"/>
                      <w:kern w:val="0"/>
                      <w:szCs w:val="21"/>
                      <w:lang w:bidi="ar"/>
                    </w:rPr>
                    <w:t>3.土壤污染重点监管单位应当严格控制有毒有害物质排放，并按年度向市生态环境主管部门报告排放情况</w:t>
                  </w:r>
                  <w:r>
                    <w:rPr>
                      <w:rFonts w:hint="eastAsia"/>
                      <w:kern w:val="0"/>
                      <w:szCs w:val="21"/>
                      <w:lang w:eastAsia="zh-CN" w:bidi="ar"/>
                    </w:rPr>
                    <w:t>；</w:t>
                  </w:r>
                  <w:r>
                    <w:rPr>
                      <w:rFonts w:hint="eastAsia"/>
                      <w:kern w:val="0"/>
                      <w:szCs w:val="21"/>
                      <w:lang w:bidi="ar"/>
                    </w:rPr>
                    <w:t>建立土壤污染隐患排查制度，保证持续有效防止有毒有害物质渗漏、流失、扬散</w:t>
                  </w:r>
                  <w:r>
                    <w:rPr>
                      <w:rFonts w:hint="eastAsia"/>
                      <w:kern w:val="0"/>
                      <w:szCs w:val="21"/>
                      <w:lang w:eastAsia="zh-CN" w:bidi="ar"/>
                    </w:rPr>
                    <w:t>；</w:t>
                  </w:r>
                  <w:r>
                    <w:rPr>
                      <w:rFonts w:hint="eastAsia"/>
                      <w:kern w:val="0"/>
                      <w:szCs w:val="21"/>
                      <w:lang w:bidi="ar"/>
                    </w:rPr>
                    <w:t>制定、实施自行监测方案，并将监测数据报市生态环境主管部门。涉重企业要采用新技术、新工艺，加快提标升级改造，实现全面达标排放。坚决淘汰不符合国家产业政策的落后生产工艺装备。</w:t>
                  </w:r>
                </w:p>
              </w:tc>
              <w:tc>
                <w:tcPr>
                  <w:tcW w:w="1629" w:type="pct"/>
                  <w:vAlign w:val="center"/>
                </w:tcPr>
                <w:p w14:paraId="7ABD5B13">
                  <w:pPr>
                    <w:autoSpaceDE w:val="0"/>
                    <w:autoSpaceDN w:val="0"/>
                    <w:adjustRightInd w:val="0"/>
                    <w:snapToGrid w:val="0"/>
                    <w:spacing w:line="320" w:lineRule="exact"/>
                    <w:jc w:val="center"/>
                    <w:rPr>
                      <w:rFonts w:hint="eastAsia" w:eastAsia="宋体"/>
                      <w:color w:val="000000"/>
                      <w:kern w:val="0"/>
                      <w:szCs w:val="21"/>
                      <w:lang w:val="en-US" w:eastAsia="zh-CN"/>
                    </w:rPr>
                  </w:pPr>
                  <w:r>
                    <w:rPr>
                      <w:rFonts w:hint="eastAsia"/>
                      <w:color w:val="000000"/>
                      <w:kern w:val="0"/>
                      <w:szCs w:val="21"/>
                      <w:lang w:val="en-US" w:eastAsia="zh-CN"/>
                    </w:rPr>
                    <w:t>符合，本项目无</w:t>
                  </w:r>
                  <w:r>
                    <w:rPr>
                      <w:rFonts w:hint="eastAsia"/>
                      <w:kern w:val="0"/>
                      <w:szCs w:val="21"/>
                      <w:lang w:bidi="ar"/>
                    </w:rPr>
                    <w:t>有毒有害物质排放</w:t>
                  </w:r>
                  <w:r>
                    <w:rPr>
                      <w:rFonts w:hint="eastAsia"/>
                      <w:kern w:val="0"/>
                      <w:szCs w:val="21"/>
                      <w:lang w:eastAsia="zh-CN" w:bidi="ar"/>
                    </w:rPr>
                    <w:t>。</w:t>
                  </w:r>
                </w:p>
              </w:tc>
            </w:tr>
            <w:tr w14:paraId="27D5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restart"/>
                  <w:vAlign w:val="center"/>
                </w:tcPr>
                <w:p w14:paraId="18CDE0E8">
                  <w:pPr>
                    <w:autoSpaceDE w:val="0"/>
                    <w:autoSpaceDN w:val="0"/>
                    <w:adjustRightInd w:val="0"/>
                    <w:snapToGrid w:val="0"/>
                    <w:spacing w:line="320" w:lineRule="exact"/>
                    <w:jc w:val="center"/>
                    <w:rPr>
                      <w:color w:val="000000"/>
                      <w:kern w:val="0"/>
                      <w:szCs w:val="21"/>
                    </w:rPr>
                  </w:pPr>
                  <w:r>
                    <w:rPr>
                      <w:color w:val="000000"/>
                      <w:kern w:val="0"/>
                      <w:szCs w:val="21"/>
                    </w:rPr>
                    <w:t>资源开发利用效率要求</w:t>
                  </w:r>
                </w:p>
              </w:tc>
              <w:tc>
                <w:tcPr>
                  <w:tcW w:w="2673" w:type="pct"/>
                  <w:vAlign w:val="center"/>
                </w:tcPr>
                <w:p w14:paraId="27796861">
                  <w:pPr>
                    <w:widowControl/>
                    <w:adjustRightInd w:val="0"/>
                    <w:snapToGrid w:val="0"/>
                    <w:spacing w:line="320" w:lineRule="exact"/>
                    <w:jc w:val="center"/>
                    <w:textAlignment w:val="center"/>
                    <w:rPr>
                      <w:kern w:val="0"/>
                      <w:szCs w:val="21"/>
                      <w:lang w:bidi="ar"/>
                    </w:rPr>
                  </w:pPr>
                  <w:r>
                    <w:rPr>
                      <w:kern w:val="0"/>
                      <w:szCs w:val="21"/>
                      <w:lang w:bidi="ar"/>
                    </w:rPr>
                    <w:t>《防城港市人民政府关于划定防城港市高污染燃料禁燃区的通告》划定的I类禁燃区内禁止燃用燃料种类包括：单台出力小于20蒸吨/小时的锅炉和民用燃煤设备燃用的含硫量大于0.5%、灰分大于10%的煤炭及其制品（其中，型煤、焦炭、兰炭的组分含量大于“部分煤炭制品的组分含量限制”）、石油焦、油页岩、原油、重油、渣油、煤焦油；II类禁燃区内禁止燃用燃料种类包括：除单台出力大于等于20蒸吨/小时锅炉以外燃用的煤炭及其制品、石油焦、油页岩、原油、重油、渣油、煤焦油。禁燃区内，新建、扩建的燃烧设施禁止燃用相应类别的高污染燃料，各单位和个</w:t>
                  </w:r>
                  <w:r>
                    <w:rPr>
                      <w:rFonts w:hint="eastAsia"/>
                      <w:kern w:val="0"/>
                      <w:szCs w:val="21"/>
                      <w:lang w:bidi="ar"/>
                    </w:rPr>
                    <w:t>人</w:t>
                  </w:r>
                  <w:r>
                    <w:rPr>
                      <w:kern w:val="0"/>
                      <w:szCs w:val="21"/>
                      <w:lang w:bidi="ar"/>
                    </w:rPr>
                    <w:t>禁止销售相应类别的高污染燃料，现有的燃用高污染燃料的锅炉、工业窑炉、炉灶等燃烧设施，应当按照辖区人民政府规定的期限，逐步拆除或改用清洁能源。</w:t>
                  </w:r>
                </w:p>
              </w:tc>
              <w:tc>
                <w:tcPr>
                  <w:tcW w:w="1629" w:type="pct"/>
                  <w:vAlign w:val="center"/>
                </w:tcPr>
                <w:p w14:paraId="5FEC06B9">
                  <w:pPr>
                    <w:autoSpaceDE w:val="0"/>
                    <w:autoSpaceDN w:val="0"/>
                    <w:adjustRightInd w:val="0"/>
                    <w:snapToGrid w:val="0"/>
                    <w:spacing w:line="320" w:lineRule="exact"/>
                    <w:jc w:val="center"/>
                    <w:rPr>
                      <w:color w:val="000000"/>
                      <w:kern w:val="0"/>
                      <w:szCs w:val="21"/>
                    </w:rPr>
                  </w:pPr>
                  <w:r>
                    <w:rPr>
                      <w:rFonts w:hint="eastAsia"/>
                      <w:color w:val="000000"/>
                      <w:kern w:val="0"/>
                      <w:szCs w:val="21"/>
                    </w:rPr>
                    <w:t>符合，本项目使用高炉煤气作为燃料，不属于禁止燃用燃料种类。</w:t>
                  </w:r>
                </w:p>
              </w:tc>
            </w:tr>
            <w:tr w14:paraId="37BD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pct"/>
                  <w:vMerge w:val="continue"/>
                  <w:vAlign w:val="center"/>
                </w:tcPr>
                <w:p w14:paraId="3A81E68A">
                  <w:pPr>
                    <w:autoSpaceDE w:val="0"/>
                    <w:autoSpaceDN w:val="0"/>
                    <w:adjustRightInd w:val="0"/>
                    <w:snapToGrid w:val="0"/>
                    <w:spacing w:line="320" w:lineRule="exact"/>
                    <w:jc w:val="center"/>
                    <w:rPr>
                      <w:color w:val="000000"/>
                      <w:kern w:val="0"/>
                      <w:szCs w:val="21"/>
                    </w:rPr>
                  </w:pPr>
                </w:p>
              </w:tc>
              <w:tc>
                <w:tcPr>
                  <w:tcW w:w="2673" w:type="pct"/>
                  <w:vAlign w:val="center"/>
                </w:tcPr>
                <w:p w14:paraId="6FCDB0B2">
                  <w:pPr>
                    <w:widowControl/>
                    <w:adjustRightInd w:val="0"/>
                    <w:snapToGrid w:val="0"/>
                    <w:spacing w:line="320" w:lineRule="exact"/>
                    <w:jc w:val="center"/>
                    <w:textAlignment w:val="center"/>
                    <w:rPr>
                      <w:kern w:val="0"/>
                      <w:szCs w:val="21"/>
                      <w:lang w:bidi="ar"/>
                    </w:rPr>
                  </w:pPr>
                  <w:r>
                    <w:rPr>
                      <w:rFonts w:hint="eastAsia"/>
                      <w:kern w:val="0"/>
                      <w:szCs w:val="21"/>
                      <w:lang w:bidi="ar"/>
                    </w:rPr>
                    <w:t>2.鼓励园区内企业采用节能减污降碳协同增效的绿色关键技术、前沿引领技术和相关设施装备。推进能源清洁化，提高清洁能源利用率</w:t>
                  </w:r>
                  <w:r>
                    <w:rPr>
                      <w:rFonts w:hint="eastAsia"/>
                      <w:kern w:val="0"/>
                      <w:szCs w:val="21"/>
                      <w:lang w:eastAsia="zh-CN" w:bidi="ar"/>
                    </w:rPr>
                    <w:t>；</w:t>
                  </w:r>
                  <w:r>
                    <w:rPr>
                      <w:rFonts w:hint="eastAsia"/>
                      <w:kern w:val="0"/>
                      <w:szCs w:val="21"/>
                      <w:lang w:bidi="ar"/>
                    </w:rPr>
                    <w:t>推广可再生能源利用</w:t>
                  </w:r>
                  <w:r>
                    <w:rPr>
                      <w:rFonts w:hint="eastAsia"/>
                      <w:kern w:val="0"/>
                      <w:szCs w:val="21"/>
                      <w:lang w:eastAsia="zh-CN" w:bidi="ar"/>
                    </w:rPr>
                    <w:t>；</w:t>
                  </w:r>
                  <w:r>
                    <w:rPr>
                      <w:rFonts w:hint="eastAsia"/>
                      <w:kern w:val="0"/>
                      <w:szCs w:val="21"/>
                      <w:lang w:bidi="ar"/>
                    </w:rPr>
                    <w:t>提高工业用水重复利用率，降低新鲜水的使用率</w:t>
                  </w:r>
                </w:p>
              </w:tc>
              <w:tc>
                <w:tcPr>
                  <w:tcW w:w="1629" w:type="pct"/>
                  <w:vAlign w:val="center"/>
                </w:tcPr>
                <w:p w14:paraId="1DDD9F57">
                  <w:pPr>
                    <w:autoSpaceDE w:val="0"/>
                    <w:autoSpaceDN w:val="0"/>
                    <w:adjustRightInd w:val="0"/>
                    <w:snapToGrid w:val="0"/>
                    <w:spacing w:line="320" w:lineRule="exact"/>
                    <w:jc w:val="center"/>
                    <w:rPr>
                      <w:rFonts w:hint="default" w:eastAsia="宋体"/>
                      <w:color w:val="000000"/>
                      <w:kern w:val="0"/>
                      <w:szCs w:val="21"/>
                      <w:lang w:val="en-US" w:eastAsia="zh-CN"/>
                    </w:rPr>
                  </w:pPr>
                  <w:r>
                    <w:rPr>
                      <w:rFonts w:hint="eastAsia"/>
                      <w:color w:val="000000"/>
                      <w:kern w:val="0"/>
                      <w:szCs w:val="21"/>
                      <w:lang w:val="en-US" w:eastAsia="zh-CN"/>
                    </w:rPr>
                    <w:t>符合，本项目使用盛隆公司自产的高炉煤气作为燃料。</w:t>
                  </w:r>
                </w:p>
              </w:tc>
            </w:tr>
          </w:tbl>
          <w:p w14:paraId="7237FAD8">
            <w:pPr>
              <w:spacing w:line="500" w:lineRule="atLeast"/>
              <w:ind w:firstLine="422" w:firstLineChars="200"/>
              <w:rPr>
                <w:rFonts w:hint="eastAsia"/>
                <w:b/>
                <w:bCs/>
                <w:szCs w:val="21"/>
                <w:lang w:val="en-US" w:eastAsia="zh-CN"/>
              </w:rPr>
            </w:pPr>
            <w:r>
              <w:rPr>
                <w:rFonts w:hint="eastAsia"/>
                <w:b/>
                <w:bCs/>
                <w:szCs w:val="21"/>
                <w:lang w:val="en-US" w:eastAsia="zh-CN"/>
              </w:rPr>
              <w:t>五、与《地下水管理条例》相符性分析</w:t>
            </w:r>
          </w:p>
          <w:p w14:paraId="5F9566DE">
            <w:pPr>
              <w:spacing w:line="500" w:lineRule="atLeast"/>
              <w:ind w:firstLine="420" w:firstLineChars="200"/>
              <w:rPr>
                <w:rFonts w:hint="default"/>
                <w:szCs w:val="21"/>
                <w:lang w:val="en-US" w:eastAsia="zh-CN"/>
              </w:rPr>
            </w:pPr>
            <w:r>
              <w:rPr>
                <w:rFonts w:hint="default"/>
                <w:szCs w:val="21"/>
                <w:lang w:val="en-US" w:eastAsia="zh-CN"/>
              </w:rPr>
              <w:t>项目不涉及开采使用地下水，与《地下水管理条例》（中华人民共和国国务院令 第748号）符合性分析见下表。</w:t>
            </w:r>
          </w:p>
          <w:p w14:paraId="0B327022">
            <w:pPr>
              <w:spacing w:line="500" w:lineRule="atLeast"/>
              <w:ind w:left="0" w:leftChars="0" w:right="0" w:rightChars="0" w:firstLine="0" w:firstLineChars="0"/>
              <w:jc w:val="center"/>
              <w:rPr>
                <w:rFonts w:hint="default"/>
                <w:szCs w:val="21"/>
                <w:lang w:val="en-US" w:eastAsia="zh-CN"/>
              </w:rPr>
            </w:pPr>
            <w:r>
              <w:rPr>
                <w:rFonts w:hint="eastAsia"/>
                <w:b/>
                <w:bCs/>
                <w:szCs w:val="21"/>
                <w:lang w:val="en-US" w:eastAsia="zh-CN"/>
              </w:rPr>
              <w:t>表1-3 项目与《地下水管理条例》相符性分析</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7"/>
              <w:gridCol w:w="3247"/>
            </w:tblGrid>
            <w:tr w14:paraId="6184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04" w:type="pct"/>
                  <w:tcBorders>
                    <w:top w:val="single" w:color="auto" w:sz="4" w:space="0"/>
                    <w:left w:val="single" w:color="auto" w:sz="4" w:space="0"/>
                    <w:bottom w:val="single" w:color="auto" w:sz="4" w:space="0"/>
                    <w:right w:val="single" w:color="auto" w:sz="4" w:space="0"/>
                  </w:tcBorders>
                  <w:vAlign w:val="center"/>
                </w:tcPr>
                <w:p w14:paraId="1EFCEAF2">
                  <w:pPr>
                    <w:adjustRightInd w:val="0"/>
                    <w:snapToGrid w:val="0"/>
                    <w:spacing w:line="240" w:lineRule="exact"/>
                    <w:ind w:left="0" w:leftChars="0" w:right="0" w:rightChars="0" w:firstLine="0" w:firstLineChars="0"/>
                    <w:jc w:val="center"/>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与本项目相关要求</w:t>
                  </w:r>
                </w:p>
              </w:tc>
              <w:tc>
                <w:tcPr>
                  <w:tcW w:w="2496" w:type="pct"/>
                  <w:tcBorders>
                    <w:top w:val="single" w:color="auto" w:sz="4" w:space="0"/>
                    <w:left w:val="single" w:color="auto" w:sz="4" w:space="0"/>
                    <w:bottom w:val="single" w:color="auto" w:sz="4" w:space="0"/>
                    <w:right w:val="single" w:color="auto" w:sz="4" w:space="0"/>
                  </w:tcBorders>
                  <w:vAlign w:val="center"/>
                </w:tcPr>
                <w:p w14:paraId="3E2C5458">
                  <w:pPr>
                    <w:adjustRightInd w:val="0"/>
                    <w:snapToGrid w:val="0"/>
                    <w:spacing w:line="240" w:lineRule="exact"/>
                    <w:ind w:left="0" w:leftChars="0" w:right="0" w:rightChars="0" w:firstLine="0" w:firstLineChars="0"/>
                    <w:jc w:val="center"/>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相符性分析</w:t>
                  </w:r>
                </w:p>
              </w:tc>
            </w:tr>
            <w:tr w14:paraId="342D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4" w:type="pct"/>
                  <w:tcBorders>
                    <w:top w:val="single" w:color="auto" w:sz="4" w:space="0"/>
                    <w:left w:val="single" w:color="auto" w:sz="4" w:space="0"/>
                    <w:bottom w:val="single" w:color="auto" w:sz="4" w:space="0"/>
                    <w:right w:val="single" w:color="auto" w:sz="4" w:space="0"/>
                  </w:tcBorders>
                  <w:vAlign w:val="center"/>
                </w:tcPr>
                <w:p w14:paraId="79E172ED">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40</w:t>
                  </w:r>
                  <w:r>
                    <w:rPr>
                      <w:rFonts w:hint="eastAsia" w:ascii="Times New Roman" w:hAnsi="Times New Roman" w:eastAsia="宋体" w:cs="Times New Roman"/>
                      <w:color w:val="auto"/>
                      <w:spacing w:val="0"/>
                      <w:sz w:val="21"/>
                      <w:szCs w:val="24"/>
                      <w:lang w:val="en-US" w:eastAsia="zh-CN"/>
                    </w:rPr>
                    <w:t>.</w:t>
                  </w:r>
                  <w:r>
                    <w:rPr>
                      <w:rFonts w:hint="eastAsia" w:ascii="Times New Roman" w:hAnsi="Times New Roman" w:eastAsia="宋体" w:cs="Times New Roman"/>
                      <w:color w:val="auto"/>
                      <w:spacing w:val="0"/>
                      <w:sz w:val="21"/>
                      <w:szCs w:val="24"/>
                    </w:rPr>
                    <w:t>禁止下列污染或可能污染地下水的行为：</w:t>
                  </w:r>
                </w:p>
                <w:p w14:paraId="08C6EBCB">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①利用渗井、渗坑、裂隙、溶洞以及私设暗管等逃避监管的方式排放水污染物；</w:t>
                  </w:r>
                </w:p>
                <w:p w14:paraId="679CB951">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②利用岩层孔隙、裂隙、溶洞、废弃矿坑等贮存石化原料及产品、农药、危险废物、城镇污水处理设施产生的污泥和处理后的污泥或者其他有毒有害物质；</w:t>
                  </w:r>
                </w:p>
                <w:p w14:paraId="29CE8C21">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③利用无防渗漏措施的沟渠、坑塘等输送或者贮存含有毒污染物的废水、含病原体的污水和其他废弃物；</w:t>
                  </w:r>
                </w:p>
                <w:p w14:paraId="16F123BB">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④法律、法规禁止的其他污染或者可能污染地下水的行为。</w:t>
                  </w:r>
                </w:p>
              </w:tc>
              <w:tc>
                <w:tcPr>
                  <w:tcW w:w="2496" w:type="pct"/>
                  <w:tcBorders>
                    <w:top w:val="single" w:color="auto" w:sz="4" w:space="0"/>
                    <w:left w:val="single" w:color="auto" w:sz="4" w:space="0"/>
                    <w:bottom w:val="single" w:color="auto" w:sz="4" w:space="0"/>
                    <w:right w:val="single" w:color="auto" w:sz="4" w:space="0"/>
                  </w:tcBorders>
                  <w:vAlign w:val="center"/>
                </w:tcPr>
                <w:p w14:paraId="7D814B11">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符合，项目不涉及地下水开采使用，不涉及行政区域地下水污染防治重点区，营运期严格落实各项地下水防治污染措施，无左侧列表所述污染地下水行为。</w:t>
                  </w:r>
                </w:p>
              </w:tc>
            </w:tr>
            <w:tr w14:paraId="53A4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4" w:type="pct"/>
                  <w:tcBorders>
                    <w:top w:val="single" w:color="auto" w:sz="4" w:space="0"/>
                    <w:left w:val="single" w:color="auto" w:sz="4" w:space="0"/>
                    <w:bottom w:val="single" w:color="auto" w:sz="4" w:space="0"/>
                    <w:right w:val="single" w:color="auto" w:sz="4" w:space="0"/>
                  </w:tcBorders>
                  <w:vAlign w:val="center"/>
                </w:tcPr>
                <w:p w14:paraId="6A189855">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41</w:t>
                  </w:r>
                  <w:r>
                    <w:rPr>
                      <w:rFonts w:hint="eastAsia" w:ascii="Times New Roman" w:hAnsi="Times New Roman" w:eastAsia="宋体" w:cs="Times New Roman"/>
                      <w:color w:val="auto"/>
                      <w:spacing w:val="0"/>
                      <w:sz w:val="21"/>
                      <w:szCs w:val="24"/>
                      <w:lang w:val="en-US" w:eastAsia="zh-CN"/>
                    </w:rPr>
                    <w:t>.</w:t>
                  </w:r>
                  <w:r>
                    <w:rPr>
                      <w:rFonts w:hint="eastAsia" w:ascii="Times New Roman" w:hAnsi="Times New Roman" w:eastAsia="宋体" w:cs="Times New Roman"/>
                      <w:color w:val="auto"/>
                      <w:spacing w:val="0"/>
                      <w:sz w:val="21"/>
                      <w:szCs w:val="24"/>
                    </w:rPr>
                    <w:t>企业事业单位和其他生产经营者应当采取下列措施，防止地下水污染：</w:t>
                  </w:r>
                </w:p>
                <w:p w14:paraId="5130E210">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①兴建地下工程设施或者进行地下勘探、采矿等活动，依法编制的环境影响评价文件中，应当包括地下水污染防治的内容，并采取防护性措施；</w:t>
                  </w:r>
                </w:p>
                <w:p w14:paraId="771D0F66">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②化学品生产企业以及工业集聚区、矿山开采区、尾矿库、危险废物处置场、垃圾填埋场等的运营、管理单位，应当采取防渗漏等措施，并建设地下水水质监测井进行监测；</w:t>
                  </w:r>
                </w:p>
                <w:p w14:paraId="06DD4101">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③加油站</w:t>
                  </w:r>
                  <w:r>
                    <w:rPr>
                      <w:rFonts w:hint="eastAsia" w:cs="Times New Roman"/>
                      <w:color w:val="auto"/>
                      <w:spacing w:val="0"/>
                      <w:sz w:val="21"/>
                      <w:szCs w:val="24"/>
                      <w:lang w:eastAsia="zh-CN"/>
                    </w:rPr>
                    <w:t>等</w:t>
                  </w:r>
                  <w:r>
                    <w:rPr>
                      <w:rFonts w:hint="eastAsia" w:ascii="Times New Roman" w:hAnsi="Times New Roman" w:eastAsia="宋体" w:cs="Times New Roman"/>
                      <w:color w:val="auto"/>
                      <w:spacing w:val="0"/>
                      <w:sz w:val="21"/>
                      <w:szCs w:val="24"/>
                    </w:rPr>
                    <w:t>地下油罐应当使用双层罐或者采取建造防渗池等其他有效措施，并进行防渗漏检测；</w:t>
                  </w:r>
                </w:p>
                <w:p w14:paraId="559E0FD0">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④存放可溶性剧毒废渣的场所，应当采取防水、防渗漏、防流失的措施；</w:t>
                  </w:r>
                </w:p>
                <w:p w14:paraId="4B3F2955">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⑤法律、法规规定应当采取的其他防止地下水污染的措施。</w:t>
                  </w:r>
                </w:p>
              </w:tc>
              <w:tc>
                <w:tcPr>
                  <w:tcW w:w="2496" w:type="pct"/>
                  <w:tcBorders>
                    <w:top w:val="single" w:color="auto" w:sz="4" w:space="0"/>
                    <w:left w:val="single" w:color="auto" w:sz="4" w:space="0"/>
                    <w:bottom w:val="single" w:color="auto" w:sz="4" w:space="0"/>
                    <w:right w:val="single" w:color="auto" w:sz="4" w:space="0"/>
                  </w:tcBorders>
                  <w:vAlign w:val="center"/>
                </w:tcPr>
                <w:p w14:paraId="48922B44">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符合，本项目无大型地下土建工程，并有针对性地对厂区进行防渗漏措施。</w:t>
                  </w:r>
                </w:p>
              </w:tc>
            </w:tr>
            <w:tr w14:paraId="680D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4" w:type="pct"/>
                  <w:tcBorders>
                    <w:top w:val="single" w:color="auto" w:sz="4" w:space="0"/>
                    <w:left w:val="single" w:color="auto" w:sz="4" w:space="0"/>
                    <w:bottom w:val="single" w:color="auto" w:sz="4" w:space="0"/>
                    <w:right w:val="single" w:color="auto" w:sz="4" w:space="0"/>
                  </w:tcBorders>
                  <w:vAlign w:val="center"/>
                </w:tcPr>
                <w:p w14:paraId="52998594">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42</w:t>
                  </w:r>
                  <w:r>
                    <w:rPr>
                      <w:rFonts w:hint="eastAsia" w:ascii="Times New Roman" w:hAnsi="Times New Roman" w:eastAsia="宋体" w:cs="Times New Roman"/>
                      <w:color w:val="auto"/>
                      <w:spacing w:val="0"/>
                      <w:sz w:val="21"/>
                      <w:szCs w:val="24"/>
                      <w:lang w:val="en-US" w:eastAsia="zh-CN"/>
                    </w:rPr>
                    <w:t>.</w:t>
                  </w:r>
                  <w:r>
                    <w:rPr>
                      <w:rFonts w:hint="eastAsia" w:ascii="Times New Roman" w:hAnsi="Times New Roman" w:eastAsia="宋体" w:cs="Times New Roman"/>
                      <w:color w:val="auto"/>
                      <w:spacing w:val="0"/>
                      <w:sz w:val="21"/>
                      <w:szCs w:val="24"/>
                    </w:rPr>
                    <w:t>在泉域保护范围以及岩溶强发育、存在较多落水洞和岩溶漏斗的区域内，不得新建、改建、扩建可能造成地下水污染的建设项目。</w:t>
                  </w:r>
                </w:p>
              </w:tc>
              <w:tc>
                <w:tcPr>
                  <w:tcW w:w="2496" w:type="pct"/>
                  <w:tcBorders>
                    <w:top w:val="single" w:color="auto" w:sz="4" w:space="0"/>
                    <w:left w:val="single" w:color="auto" w:sz="4" w:space="0"/>
                    <w:bottom w:val="single" w:color="auto" w:sz="4" w:space="0"/>
                    <w:right w:val="single" w:color="auto" w:sz="4" w:space="0"/>
                  </w:tcBorders>
                  <w:vAlign w:val="center"/>
                </w:tcPr>
                <w:p w14:paraId="647CDD65">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符合，项目</w:t>
                  </w:r>
                  <w:r>
                    <w:rPr>
                      <w:rFonts w:hint="eastAsia" w:cs="Times New Roman"/>
                      <w:color w:val="auto"/>
                      <w:spacing w:val="0"/>
                      <w:sz w:val="21"/>
                      <w:szCs w:val="24"/>
                      <w:lang w:val="en-US" w:eastAsia="zh-CN"/>
                    </w:rPr>
                    <w:t>在现有厂区内建设，</w:t>
                  </w:r>
                  <w:r>
                    <w:rPr>
                      <w:rFonts w:hint="eastAsia" w:ascii="Times New Roman" w:hAnsi="Times New Roman" w:eastAsia="宋体" w:cs="Times New Roman"/>
                      <w:color w:val="auto"/>
                      <w:spacing w:val="0"/>
                      <w:sz w:val="21"/>
                      <w:szCs w:val="24"/>
                    </w:rPr>
                    <w:t>用地及地下水评价范围不涉及泉域保护范围以及岩溶强发育、存在较多落水洞和岩溶漏斗的区域。</w:t>
                  </w:r>
                </w:p>
              </w:tc>
            </w:tr>
            <w:tr w14:paraId="3C46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4" w:type="pct"/>
                  <w:tcBorders>
                    <w:top w:val="single" w:color="auto" w:sz="4" w:space="0"/>
                    <w:left w:val="single" w:color="auto" w:sz="4" w:space="0"/>
                    <w:bottom w:val="single" w:color="auto" w:sz="4" w:space="0"/>
                    <w:right w:val="single" w:color="auto" w:sz="4" w:space="0"/>
                  </w:tcBorders>
                  <w:vAlign w:val="center"/>
                </w:tcPr>
                <w:p w14:paraId="038A3BEB">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43</w:t>
                  </w:r>
                  <w:r>
                    <w:rPr>
                      <w:rFonts w:hint="eastAsia" w:ascii="Times New Roman" w:hAnsi="Times New Roman" w:eastAsia="宋体" w:cs="Times New Roman"/>
                      <w:color w:val="auto"/>
                      <w:spacing w:val="0"/>
                      <w:sz w:val="21"/>
                      <w:szCs w:val="24"/>
                      <w:lang w:val="en-US" w:eastAsia="zh-CN"/>
                    </w:rPr>
                    <w:t>.</w:t>
                  </w:r>
                  <w:r>
                    <w:rPr>
                      <w:rFonts w:hint="eastAsia" w:ascii="Times New Roman" w:hAnsi="Times New Roman" w:eastAsia="宋体" w:cs="Times New Roman"/>
                      <w:color w:val="auto"/>
                      <w:spacing w:val="0"/>
                      <w:sz w:val="21"/>
                      <w:szCs w:val="24"/>
                    </w:rPr>
                    <w:t>多层含水层开采、回灌地下水应当防止串层污染。多层地下水的含水层水质差异大的，应当分层开采；对已受污染的潜水和承压水，不得混合开采。已经造成地下水串层污染的，应当按照封填井技术要求限期回填串层开采井，并对造成的地下水污染进行治理和修复。人工回灌补给地下水，应当符合相关的水质标准，不得使地下水水质恶化。</w:t>
                  </w:r>
                </w:p>
              </w:tc>
              <w:tc>
                <w:tcPr>
                  <w:tcW w:w="2496" w:type="pct"/>
                  <w:tcBorders>
                    <w:top w:val="single" w:color="auto" w:sz="4" w:space="0"/>
                    <w:left w:val="single" w:color="auto" w:sz="4" w:space="0"/>
                    <w:bottom w:val="single" w:color="auto" w:sz="4" w:space="0"/>
                    <w:right w:val="single" w:color="auto" w:sz="4" w:space="0"/>
                  </w:tcBorders>
                  <w:vAlign w:val="center"/>
                </w:tcPr>
                <w:p w14:paraId="1EE8DD29">
                  <w:pPr>
                    <w:adjustRightInd w:val="0"/>
                    <w:snapToGrid w:val="0"/>
                    <w:spacing w:line="240" w:lineRule="exact"/>
                    <w:ind w:left="0" w:leftChars="0" w:right="0" w:rightChars="0" w:firstLine="0" w:firstLineChars="0"/>
                    <w:jc w:val="both"/>
                    <w:rPr>
                      <w:rFonts w:hint="eastAsia"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符合，本项目不涉及地下水开采。</w:t>
                  </w:r>
                </w:p>
              </w:tc>
            </w:tr>
            <w:tr w14:paraId="5F36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4" w:type="pct"/>
                  <w:tcBorders>
                    <w:top w:val="single" w:color="auto" w:sz="4" w:space="0"/>
                    <w:left w:val="single" w:color="auto" w:sz="4" w:space="0"/>
                    <w:bottom w:val="single" w:color="auto" w:sz="4" w:space="0"/>
                    <w:right w:val="single" w:color="auto" w:sz="4" w:space="0"/>
                  </w:tcBorders>
                  <w:vAlign w:val="center"/>
                </w:tcPr>
                <w:p w14:paraId="273231C9">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lang w:val="en-US" w:eastAsia="zh-CN"/>
                    </w:rPr>
                    <w:t>44.</w:t>
                  </w:r>
                  <w:r>
                    <w:rPr>
                      <w:rFonts w:hint="eastAsia" w:ascii="Times New Roman" w:hAnsi="Times New Roman" w:eastAsia="宋体" w:cs="Times New Roman"/>
                      <w:color w:val="auto"/>
                      <w:spacing w:val="0"/>
                      <w:sz w:val="21"/>
                      <w:szCs w:val="24"/>
                    </w:rPr>
                    <w:t>农业生产经营者等有关单位和个人应当科学、合理使用农药、肥料等农业投入品，农田灌溉用水应当符合相关水质标准，防止地下水污染。</w:t>
                  </w:r>
                </w:p>
              </w:tc>
              <w:tc>
                <w:tcPr>
                  <w:tcW w:w="2496" w:type="pct"/>
                  <w:tcBorders>
                    <w:top w:val="single" w:color="auto" w:sz="4" w:space="0"/>
                    <w:left w:val="single" w:color="auto" w:sz="4" w:space="0"/>
                    <w:bottom w:val="single" w:color="auto" w:sz="4" w:space="0"/>
                    <w:right w:val="single" w:color="auto" w:sz="4" w:space="0"/>
                  </w:tcBorders>
                  <w:vAlign w:val="center"/>
                </w:tcPr>
                <w:p w14:paraId="02888084">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符合，本项目不属于农业生产经营类，不使用农药、肥料等农业投入品。</w:t>
                  </w:r>
                </w:p>
              </w:tc>
            </w:tr>
            <w:tr w14:paraId="76F0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4" w:type="pct"/>
                  <w:tcBorders>
                    <w:top w:val="single" w:color="auto" w:sz="4" w:space="0"/>
                    <w:left w:val="single" w:color="auto" w:sz="4" w:space="0"/>
                    <w:bottom w:val="single" w:color="auto" w:sz="4" w:space="0"/>
                    <w:right w:val="single" w:color="auto" w:sz="4" w:space="0"/>
                  </w:tcBorders>
                  <w:vAlign w:val="center"/>
                </w:tcPr>
                <w:p w14:paraId="680F3C7A">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lang w:val="en-US" w:eastAsia="zh-CN"/>
                    </w:rPr>
                    <w:t>45.</w:t>
                  </w:r>
                  <w:r>
                    <w:rPr>
                      <w:rFonts w:hint="eastAsia" w:ascii="Times New Roman" w:hAnsi="Times New Roman" w:eastAsia="宋体" w:cs="Times New Roman"/>
                      <w:color w:val="auto"/>
                      <w:spacing w:val="0"/>
                      <w:sz w:val="21"/>
                      <w:szCs w:val="24"/>
                    </w:rPr>
                    <w:t>依照《中华人民共和国土壤污染防治法》的有关规定，安全利用类和严格管控类农用地地块的土壤污染影响或者可能影响地下水安全的，制定防治污染的方案时，应当包括地下水污染防治的内容。污染物含量超过土壤污染风险管控标准的建设用地地块，编制土壤污染风险评估报告时，应当包括地下水是否受到污染的内容；列入风险管控和修复名录的建设用地地块，采取的风险管控措施中应当包括地下水污染防治的内容。对需要实施修复的农用地地块，以及列入风险管控和修复名录的建设用地地块，修复方案中应当包括地下水污染防治的内容。</w:t>
                  </w:r>
                </w:p>
              </w:tc>
              <w:tc>
                <w:tcPr>
                  <w:tcW w:w="2496" w:type="pct"/>
                  <w:tcBorders>
                    <w:top w:val="single" w:color="auto" w:sz="4" w:space="0"/>
                    <w:left w:val="single" w:color="auto" w:sz="4" w:space="0"/>
                    <w:bottom w:val="single" w:color="auto" w:sz="4" w:space="0"/>
                    <w:right w:val="single" w:color="auto" w:sz="4" w:space="0"/>
                  </w:tcBorders>
                  <w:vAlign w:val="center"/>
                </w:tcPr>
                <w:p w14:paraId="54E7F97A">
                  <w:pPr>
                    <w:adjustRightInd w:val="0"/>
                    <w:snapToGrid w:val="0"/>
                    <w:spacing w:line="240" w:lineRule="exact"/>
                    <w:ind w:left="0" w:leftChars="0" w:right="0" w:rightChars="0" w:firstLine="0" w:firstLineChars="0"/>
                    <w:jc w:val="both"/>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符合，本次评价已针对项目提出防渗漏措施</w:t>
                  </w:r>
                  <w:r>
                    <w:rPr>
                      <w:rFonts w:hint="eastAsia" w:ascii="Times New Roman" w:hAnsi="Times New Roman" w:eastAsia="宋体" w:cs="Times New Roman"/>
                      <w:color w:val="auto"/>
                      <w:spacing w:val="0"/>
                      <w:sz w:val="21"/>
                      <w:szCs w:val="24"/>
                      <w:lang w:eastAsia="zh-CN"/>
                    </w:rPr>
                    <w:t>，</w:t>
                  </w:r>
                  <w:r>
                    <w:rPr>
                      <w:rFonts w:hint="eastAsia" w:ascii="Times New Roman" w:hAnsi="Times New Roman" w:eastAsia="宋体" w:cs="Times New Roman"/>
                      <w:color w:val="auto"/>
                      <w:spacing w:val="0"/>
                      <w:sz w:val="21"/>
                      <w:szCs w:val="24"/>
                    </w:rPr>
                    <w:t>防止项目污染</w:t>
                  </w:r>
                  <w:r>
                    <w:rPr>
                      <w:rFonts w:hint="eastAsia" w:ascii="Times New Roman" w:hAnsi="Times New Roman" w:eastAsia="宋体" w:cs="Times New Roman"/>
                      <w:color w:val="auto"/>
                      <w:spacing w:val="0"/>
                      <w:sz w:val="21"/>
                      <w:szCs w:val="24"/>
                      <w:lang w:val="en-US" w:eastAsia="zh-CN"/>
                    </w:rPr>
                    <w:t>和</w:t>
                  </w:r>
                  <w:r>
                    <w:rPr>
                      <w:rFonts w:hint="eastAsia" w:ascii="Times New Roman" w:hAnsi="Times New Roman" w:eastAsia="宋体" w:cs="Times New Roman"/>
                      <w:color w:val="auto"/>
                      <w:spacing w:val="0"/>
                      <w:sz w:val="21"/>
                      <w:szCs w:val="24"/>
                    </w:rPr>
                    <w:t>影响区域地下水、土壤。</w:t>
                  </w:r>
                </w:p>
              </w:tc>
            </w:tr>
          </w:tbl>
          <w:p w14:paraId="6ACF516B">
            <w:pPr>
              <w:spacing w:line="500" w:lineRule="atLeast"/>
              <w:ind w:firstLine="422" w:firstLineChars="200"/>
              <w:rPr>
                <w:rFonts w:hint="eastAsia"/>
                <w:b/>
                <w:bCs/>
                <w:szCs w:val="21"/>
                <w:lang w:val="en-US" w:eastAsia="zh-CN"/>
              </w:rPr>
            </w:pPr>
            <w:r>
              <w:rPr>
                <w:rFonts w:hint="eastAsia"/>
                <w:b/>
                <w:bCs/>
                <w:szCs w:val="21"/>
                <w:lang w:val="en-US" w:eastAsia="zh-CN"/>
              </w:rPr>
              <w:t>六、项目与《固体废物综合治理行动计划》相符性分析</w:t>
            </w:r>
          </w:p>
          <w:p w14:paraId="1C611A89">
            <w:pPr>
              <w:spacing w:line="500" w:lineRule="atLeast"/>
              <w:ind w:firstLine="420" w:firstLineChars="200"/>
              <w:rPr>
                <w:rFonts w:hint="eastAsia"/>
                <w:szCs w:val="21"/>
                <w:lang w:val="en-US" w:eastAsia="zh-CN"/>
              </w:rPr>
            </w:pPr>
            <w:r>
              <w:rPr>
                <w:rFonts w:hint="eastAsia"/>
                <w:szCs w:val="21"/>
                <w:lang w:val="en-US" w:eastAsia="zh-CN"/>
              </w:rPr>
              <w:t>根据国务院关于印发《固体废物综合治理行动计划》的通知（国发</w:t>
            </w:r>
            <w:r>
              <w:rPr>
                <w:rFonts w:hint="eastAsia" w:ascii="宋体" w:hAnsi="宋体" w:eastAsia="宋体" w:cs="宋体"/>
                <w:szCs w:val="21"/>
                <w:lang w:val="en-US" w:eastAsia="zh-CN"/>
              </w:rPr>
              <w:t>〔</w:t>
            </w:r>
            <w:r>
              <w:rPr>
                <w:rFonts w:hint="eastAsia"/>
                <w:szCs w:val="21"/>
                <w:lang w:val="en-US" w:eastAsia="zh-CN"/>
              </w:rPr>
              <w:t>2025〕14号），本项目与《固体废物综合治理行动计划》相符性分析详见下表。</w:t>
            </w:r>
          </w:p>
          <w:p w14:paraId="1948B74B">
            <w:pPr>
              <w:spacing w:line="500" w:lineRule="atLeast"/>
              <w:ind w:left="0" w:leftChars="0" w:right="0" w:rightChars="0" w:firstLine="0" w:firstLineChars="0"/>
              <w:jc w:val="center"/>
              <w:rPr>
                <w:rFonts w:hint="default"/>
                <w:szCs w:val="21"/>
                <w:lang w:val="en-US" w:eastAsia="zh-CN"/>
              </w:rPr>
            </w:pPr>
            <w:r>
              <w:rPr>
                <w:rFonts w:hint="eastAsia"/>
                <w:b/>
                <w:bCs/>
                <w:szCs w:val="21"/>
                <w:lang w:val="en-US" w:eastAsia="zh-CN"/>
              </w:rPr>
              <w:t>表1-4项目</w:t>
            </w:r>
            <w:r>
              <w:rPr>
                <w:rFonts w:hint="default"/>
                <w:b/>
                <w:bCs/>
                <w:szCs w:val="21"/>
                <w:lang w:val="en-US" w:eastAsia="zh-CN"/>
              </w:rPr>
              <w:t>与《固体废物综合治理行动计划》相符性分析</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7"/>
              <w:gridCol w:w="3247"/>
            </w:tblGrid>
            <w:tr w14:paraId="7AE2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03" w:type="pct"/>
                  <w:tcBorders>
                    <w:top w:val="single" w:color="auto" w:sz="4" w:space="0"/>
                    <w:left w:val="single" w:color="auto" w:sz="4" w:space="0"/>
                    <w:bottom w:val="single" w:color="auto" w:sz="4" w:space="0"/>
                    <w:right w:val="single" w:color="auto" w:sz="4" w:space="0"/>
                  </w:tcBorders>
                  <w:vAlign w:val="center"/>
                </w:tcPr>
                <w:p w14:paraId="00AA74BE">
                  <w:pPr>
                    <w:adjustRightInd w:val="0"/>
                    <w:snapToGrid w:val="0"/>
                    <w:spacing w:line="240" w:lineRule="exact"/>
                    <w:jc w:val="center"/>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与本项目相关要求</w:t>
                  </w:r>
                </w:p>
              </w:tc>
              <w:tc>
                <w:tcPr>
                  <w:tcW w:w="2496" w:type="pct"/>
                  <w:tcBorders>
                    <w:top w:val="single" w:color="auto" w:sz="4" w:space="0"/>
                    <w:left w:val="single" w:color="auto" w:sz="4" w:space="0"/>
                    <w:bottom w:val="single" w:color="auto" w:sz="4" w:space="0"/>
                    <w:right w:val="single" w:color="auto" w:sz="4" w:space="0"/>
                  </w:tcBorders>
                  <w:vAlign w:val="center"/>
                </w:tcPr>
                <w:p w14:paraId="4B5D0456">
                  <w:pPr>
                    <w:adjustRightInd w:val="0"/>
                    <w:snapToGrid w:val="0"/>
                    <w:spacing w:line="240" w:lineRule="exact"/>
                    <w:jc w:val="center"/>
                    <w:rPr>
                      <w:rFonts w:ascii="Times New Roman" w:hAnsi="Times New Roman" w:eastAsia="宋体" w:cs="Times New Roman"/>
                      <w:color w:val="auto"/>
                      <w:spacing w:val="0"/>
                      <w:sz w:val="21"/>
                      <w:szCs w:val="24"/>
                    </w:rPr>
                  </w:pPr>
                  <w:r>
                    <w:rPr>
                      <w:rFonts w:hint="eastAsia" w:ascii="Times New Roman" w:hAnsi="Times New Roman" w:eastAsia="宋体" w:cs="Times New Roman"/>
                      <w:color w:val="auto"/>
                      <w:spacing w:val="0"/>
                      <w:sz w:val="21"/>
                      <w:szCs w:val="24"/>
                    </w:rPr>
                    <w:t>相符性分析</w:t>
                  </w:r>
                </w:p>
              </w:tc>
            </w:tr>
            <w:tr w14:paraId="303A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196978AD">
                  <w:pPr>
                    <w:adjustRightInd w:val="0"/>
                    <w:snapToGrid w:val="0"/>
                    <w:spacing w:line="240" w:lineRule="exact"/>
                    <w:rPr>
                      <w:rFonts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1.</w:t>
                  </w:r>
                  <w:r>
                    <w:rPr>
                      <w:rFonts w:hint="eastAsia" w:ascii="Times New Roman" w:hAnsi="Times New Roman" w:eastAsia="宋体" w:cs="Times New Roman"/>
                      <w:color w:val="auto"/>
                      <w:spacing w:val="0"/>
                      <w:sz w:val="21"/>
                      <w:szCs w:val="24"/>
                    </w:rPr>
                    <w:t>加强工业固体废物源头减量。严格落实产业、环保、节能等政策，依法依规淘汰落后产能。强化工业园区固体废物源头管控。大力推行绿色设计，支持企业改进生产工艺和装备</w:t>
                  </w:r>
                  <w:r>
                    <w:rPr>
                      <w:rFonts w:hint="eastAsia" w:cs="Times New Roman"/>
                      <w:color w:val="auto"/>
                      <w:spacing w:val="0"/>
                      <w:sz w:val="21"/>
                      <w:szCs w:val="24"/>
                      <w:lang w:eastAsia="zh-CN"/>
                    </w:rPr>
                    <w:t>，</w:t>
                  </w:r>
                  <w:r>
                    <w:rPr>
                      <w:rFonts w:hint="eastAsia" w:ascii="Times New Roman" w:hAnsi="Times New Roman" w:eastAsia="宋体" w:cs="Times New Roman"/>
                      <w:color w:val="auto"/>
                      <w:spacing w:val="0"/>
                      <w:sz w:val="21"/>
                      <w:szCs w:val="24"/>
                    </w:rPr>
                    <w:t>强化工业生产精细化管控，降低固体废物产生强度。推动重有色金属矿采选一体化建设，促进尾矿就近充填回填，原则上不再批准建设无自建矿山、无配套尾矿利用处置设施的选矿项目。推动重点行业固体废物产生量与综合消纳量逐步实现动态平衡。</w:t>
                  </w:r>
                </w:p>
              </w:tc>
              <w:tc>
                <w:tcPr>
                  <w:tcW w:w="2496" w:type="pct"/>
                  <w:tcBorders>
                    <w:top w:val="single" w:color="auto" w:sz="4" w:space="0"/>
                    <w:left w:val="single" w:color="auto" w:sz="4" w:space="0"/>
                    <w:bottom w:val="single" w:color="auto" w:sz="4" w:space="0"/>
                    <w:right w:val="single" w:color="auto" w:sz="4" w:space="0"/>
                  </w:tcBorders>
                  <w:vAlign w:val="center"/>
                </w:tcPr>
                <w:p w14:paraId="3232F221">
                  <w:pPr>
                    <w:adjustRightInd w:val="0"/>
                    <w:snapToGrid w:val="0"/>
                    <w:spacing w:line="240" w:lineRule="exact"/>
                    <w:rPr>
                      <w:rFonts w:hint="default" w:ascii="Times New Roman" w:hAnsi="Times New Roman" w:eastAsia="宋体" w:cs="Times New Roman"/>
                      <w:color w:val="auto"/>
                      <w:spacing w:val="0"/>
                      <w:sz w:val="21"/>
                      <w:szCs w:val="24"/>
                      <w:lang w:val="en-US" w:eastAsia="zh-CN"/>
                    </w:rPr>
                  </w:pPr>
                  <w:r>
                    <w:rPr>
                      <w:rFonts w:hint="eastAsia" w:cs="Times New Roman"/>
                      <w:color w:val="auto"/>
                      <w:spacing w:val="0"/>
                      <w:sz w:val="21"/>
                      <w:szCs w:val="24"/>
                      <w:lang w:val="en-US" w:eastAsia="zh-CN"/>
                    </w:rPr>
                    <w:t>符合，本项目为除尘灰综合回收利用项目，项目建成后，有效减少盛隆厂区炼铁和炼钢过程除尘灰等固体废物产生量。</w:t>
                  </w:r>
                </w:p>
              </w:tc>
            </w:tr>
            <w:tr w14:paraId="3995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688995AF">
                  <w:pPr>
                    <w:adjustRightInd w:val="0"/>
                    <w:snapToGrid w:val="0"/>
                    <w:spacing w:line="240" w:lineRule="exact"/>
                    <w:rPr>
                      <w:rFonts w:hint="eastAsia"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2.</w:t>
                  </w:r>
                  <w:r>
                    <w:rPr>
                      <w:rFonts w:hint="eastAsia" w:ascii="Times New Roman" w:hAnsi="Times New Roman" w:eastAsia="宋体" w:cs="Times New Roman"/>
                      <w:color w:val="auto"/>
                      <w:spacing w:val="0"/>
                      <w:sz w:val="21"/>
                      <w:szCs w:val="24"/>
                    </w:rPr>
                    <w:t>实施城镇固体废物源头管控。推进建筑垃圾分类处理。稳步发展装配式建筑，推广绿色施工、全装修或标准化装修交付，强化建筑工地固体废物源头管控。将建筑垃圾减量、运输、利用、处置所需费用列入工程造价，在工程招标和施工设计中明确减量要求和措施。探索房屋建筑和市政工程固体废物排放限额管理。鼓励就地就近处理园林垃圾。压实经营者主体责任，严格落实塑料制品规范使用和减量要求。加快推进快递包装绿色转型，加强商品过度包装治理。</w:t>
                  </w:r>
                </w:p>
              </w:tc>
              <w:tc>
                <w:tcPr>
                  <w:tcW w:w="2496" w:type="pct"/>
                  <w:tcBorders>
                    <w:top w:val="single" w:color="auto" w:sz="4" w:space="0"/>
                    <w:left w:val="single" w:color="auto" w:sz="4" w:space="0"/>
                    <w:bottom w:val="single" w:color="auto" w:sz="4" w:space="0"/>
                    <w:right w:val="single" w:color="auto" w:sz="4" w:space="0"/>
                  </w:tcBorders>
                  <w:vAlign w:val="center"/>
                </w:tcPr>
                <w:p w14:paraId="144F7C93">
                  <w:pPr>
                    <w:adjustRightInd w:val="0"/>
                    <w:snapToGrid w:val="0"/>
                    <w:spacing w:line="240" w:lineRule="exact"/>
                    <w:rPr>
                      <w:rFonts w:hint="default" w:ascii="Times New Roman" w:hAnsi="Times New Roman" w:eastAsia="宋体" w:cs="Times New Roman"/>
                      <w:color w:val="auto"/>
                      <w:spacing w:val="0"/>
                      <w:sz w:val="21"/>
                      <w:szCs w:val="24"/>
                      <w:lang w:val="en-US" w:eastAsia="zh-CN"/>
                    </w:rPr>
                  </w:pPr>
                  <w:r>
                    <w:rPr>
                      <w:rFonts w:hint="eastAsia" w:cs="Times New Roman"/>
                      <w:color w:val="auto"/>
                      <w:spacing w:val="0"/>
                      <w:sz w:val="21"/>
                      <w:szCs w:val="24"/>
                      <w:lang w:val="en-US" w:eastAsia="zh-CN"/>
                    </w:rPr>
                    <w:t>符合，本项目施工期建筑垃圾运至政府部门指定场所填埋；生活垃圾由环卫部门统一清运处理。运营期间无新增员工，无新增生活垃圾。</w:t>
                  </w:r>
                </w:p>
              </w:tc>
            </w:tr>
            <w:tr w14:paraId="09E6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65841EA5">
                  <w:pPr>
                    <w:adjustRightInd w:val="0"/>
                    <w:snapToGrid w:val="0"/>
                    <w:spacing w:line="240" w:lineRule="exact"/>
                    <w:rPr>
                      <w:rFonts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3.</w:t>
                  </w:r>
                  <w:r>
                    <w:rPr>
                      <w:rFonts w:hint="eastAsia" w:ascii="Times New Roman" w:hAnsi="Times New Roman" w:eastAsia="宋体" w:cs="Times New Roman"/>
                      <w:color w:val="auto"/>
                      <w:spacing w:val="0"/>
                      <w:sz w:val="21"/>
                      <w:szCs w:val="24"/>
                    </w:rPr>
                    <w:t>减少农林固体废物产生。加强地膜科学使用和管理，严禁非标地膜入市下田。强化农业投入品包装管理，减少包装废弃物产生。推广循环型农业生产模式</w:t>
                  </w:r>
                </w:p>
              </w:tc>
              <w:tc>
                <w:tcPr>
                  <w:tcW w:w="2496" w:type="pct"/>
                  <w:tcBorders>
                    <w:top w:val="single" w:color="auto" w:sz="4" w:space="0"/>
                    <w:left w:val="single" w:color="auto" w:sz="4" w:space="0"/>
                    <w:bottom w:val="single" w:color="auto" w:sz="4" w:space="0"/>
                    <w:right w:val="single" w:color="auto" w:sz="4" w:space="0"/>
                  </w:tcBorders>
                  <w:vAlign w:val="center"/>
                </w:tcPr>
                <w:p w14:paraId="164ABD98">
                  <w:pPr>
                    <w:adjustRightInd w:val="0"/>
                    <w:snapToGrid w:val="0"/>
                    <w:spacing w:line="240" w:lineRule="exact"/>
                    <w:rPr>
                      <w:rFonts w:hint="default" w:ascii="Times New Roman" w:hAnsi="Times New Roman" w:eastAsia="宋体" w:cs="Times New Roman"/>
                      <w:color w:val="auto"/>
                      <w:spacing w:val="0"/>
                      <w:sz w:val="21"/>
                      <w:szCs w:val="24"/>
                      <w:lang w:val="en-US" w:eastAsia="zh-CN"/>
                    </w:rPr>
                  </w:pPr>
                  <w:r>
                    <w:rPr>
                      <w:rFonts w:hint="eastAsia" w:cs="Times New Roman"/>
                      <w:color w:val="auto"/>
                      <w:spacing w:val="0"/>
                      <w:sz w:val="21"/>
                      <w:szCs w:val="24"/>
                      <w:lang w:val="en-US" w:eastAsia="zh-CN"/>
                    </w:rPr>
                    <w:t>本项目不涉及。</w:t>
                  </w:r>
                </w:p>
              </w:tc>
            </w:tr>
            <w:tr w14:paraId="52F4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7FF97C16">
                  <w:pPr>
                    <w:adjustRightInd w:val="0"/>
                    <w:snapToGrid w:val="0"/>
                    <w:spacing w:line="240" w:lineRule="exact"/>
                    <w:rPr>
                      <w:rFonts w:hint="eastAsia"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4.</w:t>
                  </w:r>
                  <w:r>
                    <w:rPr>
                      <w:rFonts w:hint="eastAsia" w:ascii="Times New Roman" w:hAnsi="Times New Roman" w:eastAsia="宋体" w:cs="Times New Roman"/>
                      <w:color w:val="auto"/>
                      <w:spacing w:val="0"/>
                      <w:sz w:val="21"/>
                      <w:szCs w:val="24"/>
                    </w:rPr>
                    <w:t>加强工业固体废物规范化管理。完善工业固体废物管理台账制度，强化全链条跟踪管控。推行工业固体废物分类收集贮存，防范混堆混排。禁止向生活垃圾收集设施中投放工业固体废物。严格执行工业固体废物、危险废物跨省转移审批制度。规范各类企业危险废物收集管理。</w:t>
                  </w:r>
                </w:p>
              </w:tc>
              <w:tc>
                <w:tcPr>
                  <w:tcW w:w="2496" w:type="pct"/>
                  <w:tcBorders>
                    <w:top w:val="single" w:color="auto" w:sz="4" w:space="0"/>
                    <w:left w:val="single" w:color="auto" w:sz="4" w:space="0"/>
                    <w:bottom w:val="single" w:color="auto" w:sz="4" w:space="0"/>
                    <w:right w:val="single" w:color="auto" w:sz="4" w:space="0"/>
                  </w:tcBorders>
                  <w:vAlign w:val="center"/>
                </w:tcPr>
                <w:p w14:paraId="0EEC49DF">
                  <w:pPr>
                    <w:adjustRightInd w:val="0"/>
                    <w:snapToGrid w:val="0"/>
                    <w:spacing w:line="240" w:lineRule="exact"/>
                    <w:rPr>
                      <w:rFonts w:hint="default" w:ascii="Times New Roman" w:hAnsi="Times New Roman" w:eastAsia="宋体" w:cs="Times New Roman"/>
                      <w:color w:val="auto"/>
                      <w:spacing w:val="0"/>
                      <w:sz w:val="21"/>
                      <w:szCs w:val="24"/>
                      <w:lang w:val="en-US" w:eastAsia="zh-CN"/>
                    </w:rPr>
                  </w:pPr>
                  <w:r>
                    <w:rPr>
                      <w:rFonts w:hint="eastAsia" w:cs="Times New Roman"/>
                      <w:color w:val="auto"/>
                      <w:spacing w:val="0"/>
                      <w:sz w:val="21"/>
                      <w:szCs w:val="24"/>
                      <w:lang w:val="en-US" w:eastAsia="zh-CN"/>
                    </w:rPr>
                    <w:t>符合，本项目窑渣收集后回用于厂区炼钢工序；废耐火材料收集后外售回收商综合利用；废油、废含油抹布等危险固废暂存于厂内危废暂存间定期交由有资质单位处理，同时记录台账表。各固体废物均得到妥善处置。</w:t>
                  </w:r>
                </w:p>
              </w:tc>
            </w:tr>
            <w:tr w14:paraId="0253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2BEA094D">
                  <w:pPr>
                    <w:adjustRightInd w:val="0"/>
                    <w:snapToGrid w:val="0"/>
                    <w:spacing w:line="240" w:lineRule="exact"/>
                    <w:rPr>
                      <w:rFonts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5.</w:t>
                  </w:r>
                  <w:r>
                    <w:rPr>
                      <w:rFonts w:hint="eastAsia" w:ascii="Times New Roman" w:hAnsi="Times New Roman" w:eastAsia="宋体" w:cs="Times New Roman"/>
                      <w:color w:val="auto"/>
                      <w:spacing w:val="0"/>
                      <w:sz w:val="21"/>
                      <w:szCs w:val="24"/>
                    </w:rPr>
                    <w:t>规范城镇固体废物回收转运体系。提高生活垃圾分类和资源化利用水平。深化生活垃圾分类网点与废旧物资回收网点"两网融合"。发展"</w:t>
                  </w:r>
                  <w:r>
                    <w:rPr>
                      <w:rFonts w:hint="eastAsia" w:cs="Times New Roman"/>
                      <w:color w:val="auto"/>
                      <w:spacing w:val="0"/>
                      <w:sz w:val="21"/>
                      <w:szCs w:val="24"/>
                      <w:lang w:eastAsia="zh-CN"/>
                    </w:rPr>
                    <w:t>互联网+</w:t>
                  </w:r>
                  <w:r>
                    <w:rPr>
                      <w:rFonts w:hint="eastAsia" w:ascii="Times New Roman" w:hAnsi="Times New Roman" w:eastAsia="宋体" w:cs="Times New Roman"/>
                      <w:color w:val="auto"/>
                      <w:spacing w:val="0"/>
                      <w:sz w:val="21"/>
                      <w:szCs w:val="24"/>
                    </w:rPr>
                    <w:t>回收"模式。加强建筑工地、临时贮存场所信息化监管，加强运输车辆动态监管，严防沿途遗撒和乱倒乱卸建筑垃圾，防止城市建筑垃圾向农村转移。因地制宜配置园林垃圾分类收集容器和运输设备。</w:t>
                  </w:r>
                </w:p>
              </w:tc>
              <w:tc>
                <w:tcPr>
                  <w:tcW w:w="2496" w:type="pct"/>
                  <w:tcBorders>
                    <w:top w:val="single" w:color="auto" w:sz="4" w:space="0"/>
                    <w:left w:val="single" w:color="auto" w:sz="4" w:space="0"/>
                    <w:bottom w:val="single" w:color="auto" w:sz="4" w:space="0"/>
                    <w:right w:val="single" w:color="auto" w:sz="4" w:space="0"/>
                  </w:tcBorders>
                  <w:vAlign w:val="center"/>
                </w:tcPr>
                <w:p w14:paraId="6E6A1137">
                  <w:pPr>
                    <w:adjustRightInd w:val="0"/>
                    <w:snapToGrid w:val="0"/>
                    <w:spacing w:line="240" w:lineRule="exact"/>
                    <w:rPr>
                      <w:rFonts w:hint="eastAsia" w:ascii="Times New Roman" w:hAnsi="Times New Roman" w:eastAsia="宋体" w:cs="Times New Roman"/>
                      <w:color w:val="auto"/>
                      <w:spacing w:val="0"/>
                      <w:sz w:val="21"/>
                      <w:szCs w:val="24"/>
                      <w:lang w:val="en-US" w:eastAsia="zh-CN"/>
                    </w:rPr>
                  </w:pPr>
                  <w:r>
                    <w:rPr>
                      <w:rFonts w:hint="eastAsia" w:cs="Times New Roman"/>
                      <w:color w:val="auto"/>
                      <w:spacing w:val="0"/>
                      <w:sz w:val="21"/>
                      <w:szCs w:val="24"/>
                      <w:lang w:val="en-US" w:eastAsia="zh-CN"/>
                    </w:rPr>
                    <w:t>符合，本项目施工期建筑垃圾运至政府部门指定场所填埋；生活垃圾由环卫部门统一清运处理。运营期间无新增员工，无新增生活垃圾。</w:t>
                  </w:r>
                </w:p>
              </w:tc>
            </w:tr>
            <w:tr w14:paraId="3856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487BE78D">
                  <w:pPr>
                    <w:adjustRightInd w:val="0"/>
                    <w:snapToGrid w:val="0"/>
                    <w:spacing w:line="240" w:lineRule="exact"/>
                    <w:rPr>
                      <w:rFonts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6.</w:t>
                  </w:r>
                  <w:r>
                    <w:rPr>
                      <w:rFonts w:hint="eastAsia" w:ascii="Times New Roman" w:hAnsi="Times New Roman" w:eastAsia="宋体" w:cs="Times New Roman"/>
                      <w:color w:val="auto"/>
                      <w:spacing w:val="0"/>
                      <w:sz w:val="21"/>
                      <w:szCs w:val="24"/>
                    </w:rPr>
                    <w:t>提高农林固体废物收集转运能力。因地制宜建设畜禽粪污收集处理设施。健全秸秆收储运体系，培育专业化第三方服务主体。加强废旧农用物资和报废农机回收处置。积极发挥供销合作系统回收网络作用。建设农资经营点和农村垃圾回收站结合的回收体系，推广押金制、回收奖励制等模式。</w:t>
                  </w:r>
                </w:p>
              </w:tc>
              <w:tc>
                <w:tcPr>
                  <w:tcW w:w="2496" w:type="pct"/>
                  <w:tcBorders>
                    <w:top w:val="single" w:color="auto" w:sz="4" w:space="0"/>
                    <w:left w:val="single" w:color="auto" w:sz="4" w:space="0"/>
                    <w:bottom w:val="single" w:color="auto" w:sz="4" w:space="0"/>
                    <w:right w:val="single" w:color="auto" w:sz="4" w:space="0"/>
                  </w:tcBorders>
                  <w:vAlign w:val="center"/>
                </w:tcPr>
                <w:p w14:paraId="0438F23A">
                  <w:pPr>
                    <w:adjustRightInd w:val="0"/>
                    <w:snapToGrid w:val="0"/>
                    <w:spacing w:line="240" w:lineRule="exact"/>
                    <w:rPr>
                      <w:rFonts w:hint="default" w:ascii="Times New Roman" w:hAnsi="Times New Roman" w:eastAsia="宋体" w:cs="Times New Roman"/>
                      <w:color w:val="auto"/>
                      <w:spacing w:val="0"/>
                      <w:sz w:val="21"/>
                      <w:szCs w:val="24"/>
                      <w:lang w:val="en-US" w:eastAsia="zh-CN"/>
                    </w:rPr>
                  </w:pPr>
                  <w:r>
                    <w:rPr>
                      <w:rFonts w:hint="eastAsia" w:cs="Times New Roman"/>
                      <w:color w:val="auto"/>
                      <w:spacing w:val="0"/>
                      <w:sz w:val="21"/>
                      <w:szCs w:val="24"/>
                      <w:lang w:val="en-US" w:eastAsia="zh-CN"/>
                    </w:rPr>
                    <w:t>本项目不涉及。</w:t>
                  </w:r>
                </w:p>
              </w:tc>
            </w:tr>
            <w:tr w14:paraId="26EF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40D74AB6">
                  <w:pPr>
                    <w:adjustRightInd w:val="0"/>
                    <w:snapToGrid w:val="0"/>
                    <w:spacing w:line="240" w:lineRule="exact"/>
                    <w:rPr>
                      <w:rFonts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7.</w:t>
                  </w:r>
                  <w:r>
                    <w:rPr>
                      <w:rFonts w:hint="eastAsia" w:ascii="Times New Roman" w:hAnsi="Times New Roman" w:eastAsia="宋体" w:cs="Times New Roman"/>
                      <w:color w:val="auto"/>
                      <w:spacing w:val="0"/>
                      <w:sz w:val="21"/>
                      <w:szCs w:val="24"/>
                    </w:rPr>
                    <w:t>加强大宗固体废弃物综合利用。提升冶炼渣、尾矿、共伴生矿、赤泥、建筑垃圾综合利用能力，加强有价组分高效提取及整体利用，因地制宜推动煤矸石多元化利用。拓宽秸秆综合利用途径，提高秸秆还田科学化、规范化水平。推进畜禽养殖废弃物资源化利用。</w:t>
                  </w:r>
                </w:p>
              </w:tc>
              <w:tc>
                <w:tcPr>
                  <w:tcW w:w="2496" w:type="pct"/>
                  <w:tcBorders>
                    <w:top w:val="single" w:color="auto" w:sz="4" w:space="0"/>
                    <w:left w:val="single" w:color="auto" w:sz="4" w:space="0"/>
                    <w:bottom w:val="single" w:color="auto" w:sz="4" w:space="0"/>
                    <w:right w:val="single" w:color="auto" w:sz="4" w:space="0"/>
                  </w:tcBorders>
                  <w:vAlign w:val="center"/>
                </w:tcPr>
                <w:p w14:paraId="35654395">
                  <w:pPr>
                    <w:adjustRightInd w:val="0"/>
                    <w:snapToGrid w:val="0"/>
                    <w:spacing w:line="240" w:lineRule="exact"/>
                    <w:rPr>
                      <w:rFonts w:hint="eastAsia" w:ascii="Times New Roman" w:hAnsi="Times New Roman" w:eastAsia="宋体" w:cs="Times New Roman"/>
                      <w:color w:val="auto"/>
                      <w:spacing w:val="0"/>
                      <w:sz w:val="21"/>
                      <w:szCs w:val="24"/>
                      <w:lang w:val="en-US" w:eastAsia="zh-CN"/>
                    </w:rPr>
                  </w:pPr>
                  <w:r>
                    <w:rPr>
                      <w:rFonts w:hint="eastAsia" w:cs="Times New Roman"/>
                      <w:color w:val="auto"/>
                      <w:spacing w:val="0"/>
                      <w:sz w:val="21"/>
                      <w:szCs w:val="24"/>
                      <w:lang w:val="en-US" w:eastAsia="zh-CN"/>
                    </w:rPr>
                    <w:t>符合，本项目为</w:t>
                  </w:r>
                  <w:r>
                    <w:rPr>
                      <w:rFonts w:hint="eastAsia"/>
                      <w:szCs w:val="21"/>
                    </w:rPr>
                    <w:t>除尘灰综合回收利用项目</w:t>
                  </w:r>
                  <w:r>
                    <w:rPr>
                      <w:rFonts w:hint="eastAsia"/>
                      <w:szCs w:val="21"/>
                      <w:lang w:eastAsia="zh-CN"/>
                    </w:rPr>
                    <w:t>，</w:t>
                  </w:r>
                  <w:r>
                    <w:rPr>
                      <w:rFonts w:hint="eastAsia"/>
                      <w:b w:val="0"/>
                      <w:bCs/>
                      <w:szCs w:val="21"/>
                      <w:lang w:val="en-US" w:eastAsia="zh-CN"/>
                    </w:rPr>
                    <w:t>对盛隆公司生产工序产生的高炉重力灰、转炉除尘灰加以处理综合利用，有效提高</w:t>
                  </w:r>
                  <w:r>
                    <w:rPr>
                      <w:rFonts w:hint="eastAsia" w:ascii="Times New Roman" w:hAnsi="Times New Roman" w:eastAsia="宋体" w:cs="Times New Roman"/>
                      <w:color w:val="auto"/>
                      <w:spacing w:val="0"/>
                      <w:sz w:val="21"/>
                      <w:szCs w:val="24"/>
                    </w:rPr>
                    <w:t>固体废弃物综合利用</w:t>
                  </w:r>
                  <w:r>
                    <w:rPr>
                      <w:rFonts w:hint="eastAsia" w:cs="Times New Roman"/>
                      <w:color w:val="auto"/>
                      <w:spacing w:val="0"/>
                      <w:sz w:val="21"/>
                      <w:szCs w:val="24"/>
                      <w:lang w:val="en-US" w:eastAsia="zh-CN"/>
                    </w:rPr>
                    <w:t>率。</w:t>
                  </w:r>
                </w:p>
              </w:tc>
            </w:tr>
            <w:tr w14:paraId="0F65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52FCCA9E">
                  <w:pPr>
                    <w:adjustRightInd w:val="0"/>
                    <w:snapToGrid w:val="0"/>
                    <w:spacing w:line="240" w:lineRule="exact"/>
                    <w:rPr>
                      <w:rFonts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8.</w:t>
                  </w:r>
                  <w:r>
                    <w:rPr>
                      <w:rFonts w:hint="eastAsia" w:ascii="Times New Roman" w:hAnsi="Times New Roman" w:eastAsia="宋体" w:cs="Times New Roman"/>
                      <w:color w:val="auto"/>
                      <w:spacing w:val="0"/>
                      <w:sz w:val="21"/>
                      <w:szCs w:val="24"/>
                    </w:rPr>
                    <w:t>提升再生资源循环利用水平。强化再生资源综合利用行业规范管理。开展"城市矿产"示范基地升级行动。深入实施生产者责任延伸制度，引导电器电子产品、汽车、动力电池等生产企业参与回收利用。完善旧货交易管理制度。鼓励"互联网+二手"模式发展。大力发展再制造产业。在确保固体废物零进口的前提下，有序推进海外优质再生资源进口利用。</w:t>
                  </w:r>
                </w:p>
              </w:tc>
              <w:tc>
                <w:tcPr>
                  <w:tcW w:w="2496" w:type="pct"/>
                  <w:tcBorders>
                    <w:top w:val="single" w:color="auto" w:sz="4" w:space="0"/>
                    <w:left w:val="single" w:color="auto" w:sz="4" w:space="0"/>
                    <w:bottom w:val="single" w:color="auto" w:sz="4" w:space="0"/>
                    <w:right w:val="single" w:color="auto" w:sz="4" w:space="0"/>
                  </w:tcBorders>
                  <w:vAlign w:val="center"/>
                </w:tcPr>
                <w:p w14:paraId="4414DDB0">
                  <w:pPr>
                    <w:adjustRightInd w:val="0"/>
                    <w:snapToGrid w:val="0"/>
                    <w:spacing w:line="240" w:lineRule="exact"/>
                    <w:rPr>
                      <w:rFonts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符合，本项目为</w:t>
                  </w:r>
                  <w:r>
                    <w:rPr>
                      <w:rFonts w:hint="eastAsia"/>
                      <w:szCs w:val="21"/>
                    </w:rPr>
                    <w:t>除尘灰综合回收利用项目</w:t>
                  </w:r>
                  <w:r>
                    <w:rPr>
                      <w:rFonts w:hint="eastAsia"/>
                      <w:b w:val="0"/>
                      <w:bCs/>
                      <w:szCs w:val="21"/>
                      <w:lang w:val="en-US" w:eastAsia="zh-CN"/>
                    </w:rPr>
                    <w:t>，有效提高</w:t>
                  </w:r>
                  <w:r>
                    <w:rPr>
                      <w:rFonts w:hint="eastAsia" w:cs="Times New Roman"/>
                      <w:color w:val="auto"/>
                      <w:spacing w:val="0"/>
                      <w:sz w:val="21"/>
                      <w:szCs w:val="24"/>
                      <w:lang w:val="en-US" w:eastAsia="zh-CN"/>
                    </w:rPr>
                    <w:t>资源再生利用水平。</w:t>
                  </w:r>
                </w:p>
              </w:tc>
            </w:tr>
            <w:tr w14:paraId="6098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3" w:type="pct"/>
                  <w:tcBorders>
                    <w:top w:val="single" w:color="auto" w:sz="4" w:space="0"/>
                    <w:left w:val="single" w:color="auto" w:sz="4" w:space="0"/>
                    <w:bottom w:val="single" w:color="auto" w:sz="4" w:space="0"/>
                    <w:right w:val="single" w:color="auto" w:sz="4" w:space="0"/>
                  </w:tcBorders>
                  <w:vAlign w:val="center"/>
                </w:tcPr>
                <w:p w14:paraId="3E9F353E">
                  <w:pPr>
                    <w:adjustRightInd w:val="0"/>
                    <w:snapToGrid w:val="0"/>
                    <w:spacing w:line="240" w:lineRule="exact"/>
                    <w:rPr>
                      <w:rFonts w:ascii="Times New Roman" w:hAnsi="Times New Roman" w:eastAsia="宋体" w:cs="Times New Roman"/>
                      <w:color w:val="auto"/>
                      <w:spacing w:val="0"/>
                      <w:sz w:val="21"/>
                      <w:szCs w:val="24"/>
                    </w:rPr>
                  </w:pPr>
                  <w:r>
                    <w:rPr>
                      <w:rFonts w:hint="eastAsia" w:cs="Times New Roman"/>
                      <w:color w:val="auto"/>
                      <w:spacing w:val="0"/>
                      <w:sz w:val="21"/>
                      <w:szCs w:val="24"/>
                      <w:lang w:val="en-US" w:eastAsia="zh-CN"/>
                    </w:rPr>
                    <w:t>9.</w:t>
                  </w:r>
                  <w:r>
                    <w:rPr>
                      <w:rFonts w:hint="eastAsia" w:ascii="Times New Roman" w:hAnsi="Times New Roman" w:eastAsia="宋体" w:cs="Times New Roman"/>
                      <w:color w:val="auto"/>
                      <w:spacing w:val="0"/>
                      <w:sz w:val="21"/>
                      <w:szCs w:val="24"/>
                    </w:rPr>
                    <w:t>提升全过程无害化水平。加强大宗工业固体废物无害化预处理，降低贮存填埋量和环境污染风险。因地制宜确定生活垃圾处理方式，合理布局建设生活垃圾焚烧处理设施，鼓励在确保安全稳定运行前提下，协同处置城镇污水处理厂污泥和工业固体废物。新建生活垃圾焚烧项目应同步落实飞灰处理途径，逐步减少飞灰填埋量。优化污泥处理处置结构，压减填埋规模。</w:t>
                  </w:r>
                </w:p>
              </w:tc>
              <w:tc>
                <w:tcPr>
                  <w:tcW w:w="2496" w:type="pct"/>
                  <w:tcBorders>
                    <w:top w:val="single" w:color="auto" w:sz="4" w:space="0"/>
                    <w:left w:val="single" w:color="auto" w:sz="4" w:space="0"/>
                    <w:bottom w:val="single" w:color="auto" w:sz="4" w:space="0"/>
                    <w:right w:val="single" w:color="auto" w:sz="4" w:space="0"/>
                  </w:tcBorders>
                  <w:vAlign w:val="center"/>
                </w:tcPr>
                <w:p w14:paraId="61812F6D">
                  <w:pPr>
                    <w:adjustRightInd w:val="0"/>
                    <w:snapToGrid w:val="0"/>
                    <w:spacing w:line="240" w:lineRule="exact"/>
                    <w:rPr>
                      <w:rFonts w:hint="default" w:ascii="Times New Roman" w:hAnsi="Times New Roman" w:eastAsia="宋体" w:cs="Times New Roman"/>
                      <w:color w:val="auto"/>
                      <w:spacing w:val="0"/>
                      <w:sz w:val="21"/>
                      <w:szCs w:val="24"/>
                      <w:lang w:val="en-US" w:eastAsia="zh-CN"/>
                    </w:rPr>
                  </w:pPr>
                  <w:r>
                    <w:rPr>
                      <w:rFonts w:hint="eastAsia" w:cs="Times New Roman"/>
                      <w:color w:val="auto"/>
                      <w:spacing w:val="0"/>
                      <w:sz w:val="21"/>
                      <w:szCs w:val="24"/>
                      <w:lang w:val="en-US" w:eastAsia="zh-CN"/>
                    </w:rPr>
                    <w:t>符合，本项目各污染物经环保措施处理后均能够达标排放。</w:t>
                  </w:r>
                </w:p>
              </w:tc>
            </w:tr>
          </w:tbl>
          <w:p w14:paraId="69CDE4F7">
            <w:pPr>
              <w:spacing w:line="500" w:lineRule="atLeast"/>
              <w:ind w:firstLine="420" w:firstLineChars="200"/>
              <w:rPr>
                <w:rFonts w:hint="default"/>
                <w:szCs w:val="21"/>
                <w:lang w:val="en-US" w:eastAsia="zh-CN"/>
              </w:rPr>
            </w:pPr>
          </w:p>
          <w:p w14:paraId="2CA1560C">
            <w:pPr>
              <w:spacing w:line="500" w:lineRule="atLeast"/>
              <w:ind w:firstLine="420" w:firstLineChars="200"/>
              <w:rPr>
                <w:rFonts w:hint="default"/>
                <w:szCs w:val="21"/>
                <w:lang w:val="en-US" w:eastAsia="zh-CN"/>
              </w:rPr>
            </w:pPr>
          </w:p>
          <w:p w14:paraId="1A0BA320">
            <w:pPr>
              <w:spacing w:line="500" w:lineRule="atLeast"/>
              <w:ind w:firstLine="420" w:firstLineChars="200"/>
              <w:rPr>
                <w:rFonts w:hint="default"/>
                <w:szCs w:val="21"/>
                <w:lang w:val="en-US" w:eastAsia="zh-CN"/>
              </w:rPr>
            </w:pPr>
          </w:p>
          <w:p w14:paraId="772CD96C">
            <w:pPr>
              <w:spacing w:line="500" w:lineRule="atLeast"/>
              <w:ind w:firstLine="420" w:firstLineChars="200"/>
              <w:rPr>
                <w:rFonts w:hint="default"/>
                <w:szCs w:val="21"/>
                <w:lang w:val="en-US" w:eastAsia="zh-CN"/>
              </w:rPr>
            </w:pPr>
          </w:p>
          <w:p w14:paraId="6FD18B5A">
            <w:pPr>
              <w:spacing w:line="500" w:lineRule="atLeast"/>
              <w:ind w:firstLine="420" w:firstLineChars="200"/>
              <w:rPr>
                <w:rFonts w:hint="default"/>
                <w:szCs w:val="21"/>
                <w:lang w:val="en-US" w:eastAsia="zh-CN"/>
              </w:rPr>
            </w:pPr>
          </w:p>
          <w:p w14:paraId="170EA587">
            <w:pPr>
              <w:spacing w:line="500" w:lineRule="atLeast"/>
              <w:ind w:firstLine="420" w:firstLineChars="200"/>
              <w:rPr>
                <w:rFonts w:hint="default"/>
                <w:szCs w:val="21"/>
                <w:lang w:val="en-US" w:eastAsia="zh-CN"/>
              </w:rPr>
            </w:pPr>
          </w:p>
          <w:p w14:paraId="337094EB">
            <w:pPr>
              <w:spacing w:line="500" w:lineRule="atLeast"/>
              <w:ind w:firstLine="420" w:firstLineChars="200"/>
              <w:rPr>
                <w:rFonts w:hint="default"/>
                <w:szCs w:val="21"/>
                <w:lang w:val="en-US" w:eastAsia="zh-CN"/>
              </w:rPr>
            </w:pPr>
          </w:p>
          <w:p w14:paraId="19744A6E">
            <w:pPr>
              <w:spacing w:line="500" w:lineRule="atLeast"/>
              <w:ind w:firstLine="420" w:firstLineChars="200"/>
              <w:rPr>
                <w:rFonts w:hint="default"/>
                <w:szCs w:val="21"/>
                <w:lang w:val="en-US" w:eastAsia="zh-CN"/>
              </w:rPr>
            </w:pPr>
          </w:p>
          <w:p w14:paraId="64762347">
            <w:pPr>
              <w:spacing w:line="500" w:lineRule="atLeast"/>
              <w:rPr>
                <w:szCs w:val="21"/>
              </w:rPr>
            </w:pPr>
          </w:p>
          <w:p w14:paraId="431487EF">
            <w:pPr>
              <w:spacing w:line="500" w:lineRule="atLeast"/>
              <w:rPr>
                <w:szCs w:val="21"/>
              </w:rPr>
            </w:pPr>
          </w:p>
          <w:p w14:paraId="3A40FEA7">
            <w:pPr>
              <w:spacing w:line="500" w:lineRule="atLeast"/>
              <w:rPr>
                <w:szCs w:val="21"/>
              </w:rPr>
            </w:pPr>
          </w:p>
          <w:p w14:paraId="31F4CE64">
            <w:pPr>
              <w:spacing w:line="500" w:lineRule="atLeast"/>
              <w:rPr>
                <w:szCs w:val="21"/>
              </w:rPr>
            </w:pPr>
          </w:p>
          <w:p w14:paraId="0B362B9B">
            <w:pPr>
              <w:spacing w:line="500" w:lineRule="atLeast"/>
              <w:rPr>
                <w:szCs w:val="21"/>
              </w:rPr>
            </w:pPr>
          </w:p>
          <w:p w14:paraId="6E7E17B5">
            <w:pPr>
              <w:spacing w:line="500" w:lineRule="atLeast"/>
              <w:rPr>
                <w:szCs w:val="21"/>
              </w:rPr>
            </w:pPr>
          </w:p>
          <w:p w14:paraId="026F44E6">
            <w:pPr>
              <w:spacing w:line="500" w:lineRule="atLeast"/>
              <w:rPr>
                <w:szCs w:val="21"/>
              </w:rPr>
            </w:pPr>
          </w:p>
        </w:tc>
      </w:tr>
    </w:tbl>
    <w:p w14:paraId="5192C0F3">
      <w:pPr>
        <w:spacing w:line="360" w:lineRule="auto"/>
        <w:outlineLvl w:val="0"/>
        <w:rPr>
          <w:rFonts w:eastAsia="黑体"/>
          <w:sz w:val="30"/>
        </w:rPr>
        <w:sectPr>
          <w:footerReference r:id="rId6" w:type="default"/>
          <w:type w:val="continuous"/>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58EABF5">
      <w:pPr>
        <w:tabs>
          <w:tab w:val="left" w:pos="3225"/>
        </w:tabs>
        <w:spacing w:line="500" w:lineRule="exact"/>
        <w:outlineLvl w:val="0"/>
        <w:rPr>
          <w:rFonts w:ascii="Calibri" w:hAnsi="Calibri" w:cs="Arial"/>
          <w:b/>
          <w:kern w:val="44"/>
          <w:sz w:val="28"/>
          <w:szCs w:val="28"/>
        </w:rPr>
      </w:pPr>
      <w:bookmarkStart w:id="4" w:name="_Toc66883320"/>
      <w:r>
        <w:rPr>
          <w:rFonts w:hint="eastAsia" w:ascii="Calibri" w:hAnsi="Calibri" w:cs="Arial"/>
          <w:b/>
          <w:kern w:val="44"/>
          <w:sz w:val="28"/>
          <w:szCs w:val="28"/>
        </w:rPr>
        <w:t>二、建设项目工程分析</w:t>
      </w:r>
      <w:bookmarkEnd w:id="4"/>
    </w:p>
    <w:tbl>
      <w:tblPr>
        <w:tblStyle w:val="23"/>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8301"/>
      </w:tblGrid>
      <w:tr w14:paraId="4F699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3" w:type="dxa"/>
            <w:vAlign w:val="center"/>
          </w:tcPr>
          <w:p w14:paraId="3F68CD2E">
            <w:pPr>
              <w:pStyle w:val="19"/>
              <w:adjustRightInd w:val="0"/>
              <w:snapToGrid w:val="0"/>
              <w:spacing w:before="0" w:beforeAutospacing="0" w:after="0" w:afterAutospacing="0"/>
              <w:jc w:val="center"/>
              <w:rPr>
                <w:rFonts w:cs="宋体"/>
                <w:sz w:val="21"/>
                <w:szCs w:val="21"/>
              </w:rPr>
            </w:pPr>
            <w:r>
              <w:rPr>
                <w:rFonts w:hint="eastAsia" w:cs="宋体"/>
                <w:sz w:val="21"/>
                <w:szCs w:val="21"/>
              </w:rPr>
              <w:t>建设内容</w:t>
            </w:r>
          </w:p>
        </w:tc>
        <w:tc>
          <w:tcPr>
            <w:tcW w:w="8161" w:type="dxa"/>
          </w:tcPr>
          <w:p w14:paraId="1E0E6159">
            <w:pPr>
              <w:spacing w:line="500" w:lineRule="atLeast"/>
              <w:ind w:firstLine="482" w:firstLineChars="200"/>
              <w:jc w:val="left"/>
              <w:rPr>
                <w:b/>
                <w:sz w:val="24"/>
              </w:rPr>
            </w:pPr>
            <w:r>
              <w:rPr>
                <w:rFonts w:hint="eastAsia"/>
                <w:b/>
                <w:sz w:val="24"/>
              </w:rPr>
              <w:t>1、项目工程概况</w:t>
            </w:r>
          </w:p>
          <w:p w14:paraId="34EEA5A2">
            <w:pPr>
              <w:spacing w:line="500" w:lineRule="atLeast"/>
              <w:ind w:firstLine="480" w:firstLineChars="200"/>
              <w:rPr>
                <w:rFonts w:hint="eastAsia" w:cs="Arial"/>
                <w:bCs/>
                <w:sz w:val="24"/>
                <w:lang w:eastAsia="zh-CN"/>
              </w:rPr>
            </w:pPr>
            <w:r>
              <w:rPr>
                <w:rFonts w:hint="eastAsia" w:cs="Arial"/>
                <w:bCs/>
                <w:sz w:val="24"/>
              </w:rPr>
              <w:t>项目位于广西壮族自治区防城港市港口区公车镇大西南临港工业园区广西盛隆冶金有限公司厂内</w:t>
            </w:r>
            <w:r>
              <w:rPr>
                <w:rFonts w:hint="eastAsia" w:cs="Arial"/>
                <w:bCs/>
                <w:sz w:val="24"/>
                <w:lang w:eastAsia="zh-CN"/>
              </w:rPr>
              <w:t>，拟</w:t>
            </w:r>
            <w:r>
              <w:rPr>
                <w:rFonts w:hint="eastAsia" w:cs="Arial"/>
                <w:bCs/>
                <w:sz w:val="24"/>
                <w:lang w:val="en-US" w:eastAsia="zh-CN"/>
              </w:rPr>
              <w:t>分两期建设</w:t>
            </w:r>
            <w:r>
              <w:rPr>
                <w:rFonts w:hint="eastAsia" w:cs="Arial"/>
                <w:bCs/>
                <w:sz w:val="24"/>
                <w:lang w:eastAsia="zh-CN"/>
              </w:rPr>
              <w:t>2条年处置能力20万吨回转窑</w:t>
            </w:r>
            <w:r>
              <w:rPr>
                <w:rFonts w:hint="eastAsia" w:cs="Arial"/>
                <w:bCs/>
                <w:sz w:val="24"/>
                <w:lang w:val="en-US" w:eastAsia="zh-CN"/>
              </w:rPr>
              <w:t>脱锌生产线</w:t>
            </w:r>
            <w:r>
              <w:rPr>
                <w:rFonts w:hint="eastAsia" w:cs="Arial"/>
                <w:bCs/>
                <w:sz w:val="24"/>
                <w:lang w:eastAsia="zh-CN"/>
              </w:rPr>
              <w:t>，由原、辅料接收开始至产品输出为止，包括原料处理系统、回转窑系统、烟气系统、成品系统以及配套的公用设施，以及环保、安全卫生和消防等各专业的系统工程。分期实施，一、二期各建设1条生产线。</w:t>
            </w:r>
          </w:p>
          <w:p w14:paraId="34073908">
            <w:pPr>
              <w:spacing w:line="500" w:lineRule="atLeast"/>
              <w:ind w:firstLine="480" w:firstLineChars="200"/>
              <w:rPr>
                <w:rFonts w:hint="eastAsia" w:cs="Arial"/>
                <w:bCs/>
                <w:sz w:val="24"/>
                <w:lang w:val="en-US" w:eastAsia="zh-CN"/>
              </w:rPr>
            </w:pPr>
            <w:r>
              <w:rPr>
                <w:rFonts w:hint="eastAsia" w:cs="Arial"/>
                <w:bCs/>
                <w:sz w:val="24"/>
                <w:lang w:val="en-US" w:eastAsia="zh-CN"/>
              </w:rPr>
              <w:t>一期生产车间内主要建设1#20万吨/年回转窑脱锌生产线及配套附属工程，同时预留2#20万吨/年回转窑脱锌生产线位置（除2#回转窑主线及其烟风处理系统外，其余如配料系统、混合制粒系统、水淬池、能源介质等共用部分均在一期建设中统一考虑）。本次评价主要针对</w:t>
            </w:r>
            <w:r>
              <w:rPr>
                <w:rFonts w:hint="eastAsia" w:cs="Arial"/>
                <w:bCs/>
                <w:sz w:val="24"/>
                <w:lang w:eastAsia="zh-CN"/>
              </w:rPr>
              <w:t>一期建设1条生产线及配套附属工程内容</w:t>
            </w:r>
            <w:r>
              <w:rPr>
                <w:rFonts w:hint="eastAsia" w:cs="Arial"/>
                <w:bCs/>
                <w:sz w:val="24"/>
                <w:lang w:val="en-US" w:eastAsia="zh-CN"/>
              </w:rPr>
              <w:t>进行评价。</w:t>
            </w:r>
          </w:p>
          <w:p w14:paraId="38DA080E">
            <w:pPr>
              <w:spacing w:line="500" w:lineRule="atLeast"/>
              <w:ind w:firstLine="480" w:firstLineChars="200"/>
              <w:rPr>
                <w:rFonts w:hint="eastAsia" w:cs="Arial"/>
                <w:bCs/>
                <w:sz w:val="24"/>
              </w:rPr>
            </w:pPr>
            <w:r>
              <w:rPr>
                <w:rFonts w:hint="eastAsia" w:cs="Arial"/>
                <w:bCs/>
                <w:sz w:val="24"/>
                <w:lang w:val="en-US" w:eastAsia="zh-CN"/>
              </w:rPr>
              <w:t>根据《建设项目环境影响评价分类管理名录》（2021年版）第四条，“建设内容不涉及主体工程的改建、扩建项目，其环境影响评价类别按照改建、扩建的工程内容确定”，本项目属于扩建项目，扩建内容不涉及改变现有工程的主体工程和生产线，因此其环境影响评价类别按照扩建的工程内容确定。本项目扩建工程内容，需编制环境影响报告表进行评价。</w:t>
            </w:r>
          </w:p>
          <w:p w14:paraId="1BE605D6">
            <w:pPr>
              <w:spacing w:line="500" w:lineRule="atLeast"/>
              <w:ind w:firstLine="482" w:firstLineChars="200"/>
              <w:rPr>
                <w:b/>
                <w:sz w:val="24"/>
              </w:rPr>
            </w:pPr>
            <w:r>
              <w:rPr>
                <w:rFonts w:hint="eastAsia"/>
                <w:b/>
                <w:sz w:val="24"/>
              </w:rPr>
              <w:t>2、项目主要建设内容</w:t>
            </w:r>
          </w:p>
          <w:p w14:paraId="6DFF4CCB">
            <w:pPr>
              <w:spacing w:line="500" w:lineRule="atLeast"/>
              <w:ind w:firstLine="480" w:firstLineChars="200"/>
              <w:rPr>
                <w:sz w:val="24"/>
              </w:rPr>
            </w:pPr>
            <w:r>
              <w:rPr>
                <w:rFonts w:hint="eastAsia"/>
                <w:sz w:val="24"/>
              </w:rPr>
              <w:t>项目主要建设内容见表2-1。</w:t>
            </w:r>
          </w:p>
          <w:p w14:paraId="06D8EB1C">
            <w:pPr>
              <w:pStyle w:val="48"/>
              <w:numPr>
                <w:ilvl w:val="2"/>
                <w:numId w:val="2"/>
              </w:numPr>
              <w:spacing w:line="500" w:lineRule="atLeast"/>
              <w:ind w:firstLineChars="0"/>
              <w:jc w:val="center"/>
              <w:rPr>
                <w:b/>
                <w:sz w:val="24"/>
              </w:rPr>
            </w:pPr>
            <w:r>
              <w:rPr>
                <w:rFonts w:hint="eastAsia"/>
                <w:b/>
                <w:sz w:val="24"/>
              </w:rPr>
              <w:t>项目主要建设内容一览表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296"/>
              <w:gridCol w:w="1271"/>
              <w:gridCol w:w="4079"/>
              <w:gridCol w:w="742"/>
            </w:tblGrid>
            <w:tr w14:paraId="4CE4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Align w:val="center"/>
                </w:tcPr>
                <w:p w14:paraId="7C9A67F3">
                  <w:pPr>
                    <w:jc w:val="center"/>
                    <w:rPr>
                      <w:color w:val="000000"/>
                      <w:szCs w:val="21"/>
                    </w:rPr>
                  </w:pPr>
                  <w:r>
                    <w:rPr>
                      <w:rFonts w:hint="eastAsia"/>
                      <w:color w:val="000000"/>
                      <w:szCs w:val="21"/>
                    </w:rPr>
                    <w:t>工程类别</w:t>
                  </w:r>
                </w:p>
              </w:tc>
              <w:tc>
                <w:tcPr>
                  <w:tcW w:w="802" w:type="pct"/>
                  <w:vAlign w:val="center"/>
                </w:tcPr>
                <w:p w14:paraId="4A11E041">
                  <w:pPr>
                    <w:jc w:val="center"/>
                    <w:rPr>
                      <w:color w:val="000000"/>
                      <w:szCs w:val="21"/>
                    </w:rPr>
                  </w:pPr>
                  <w:r>
                    <w:rPr>
                      <w:rFonts w:hint="eastAsia"/>
                      <w:color w:val="000000"/>
                      <w:szCs w:val="21"/>
                    </w:rPr>
                    <w:t>建设内容</w:t>
                  </w:r>
                </w:p>
              </w:tc>
              <w:tc>
                <w:tcPr>
                  <w:tcW w:w="3312" w:type="pct"/>
                  <w:gridSpan w:val="2"/>
                  <w:vAlign w:val="center"/>
                </w:tcPr>
                <w:p w14:paraId="4E2AE7E8">
                  <w:pPr>
                    <w:jc w:val="center"/>
                    <w:rPr>
                      <w:color w:val="000000"/>
                      <w:szCs w:val="21"/>
                    </w:rPr>
                  </w:pPr>
                  <w:r>
                    <w:rPr>
                      <w:rFonts w:hint="eastAsia"/>
                      <w:color w:val="000000"/>
                      <w:szCs w:val="21"/>
                    </w:rPr>
                    <w:t>建设内容及规模</w:t>
                  </w:r>
                </w:p>
              </w:tc>
              <w:tc>
                <w:tcPr>
                  <w:tcW w:w="459" w:type="pct"/>
                  <w:vAlign w:val="center"/>
                </w:tcPr>
                <w:p w14:paraId="377E80DD">
                  <w:pPr>
                    <w:jc w:val="center"/>
                    <w:rPr>
                      <w:color w:val="000000"/>
                      <w:szCs w:val="21"/>
                    </w:rPr>
                  </w:pPr>
                  <w:r>
                    <w:rPr>
                      <w:rFonts w:hint="eastAsia"/>
                      <w:color w:val="000000"/>
                      <w:szCs w:val="21"/>
                    </w:rPr>
                    <w:t>备注</w:t>
                  </w:r>
                </w:p>
              </w:tc>
            </w:tr>
            <w:tr w14:paraId="359C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Align w:val="center"/>
                </w:tcPr>
                <w:p w14:paraId="6320AC6E">
                  <w:pPr>
                    <w:jc w:val="center"/>
                    <w:rPr>
                      <w:color w:val="000000"/>
                      <w:szCs w:val="21"/>
                    </w:rPr>
                  </w:pPr>
                  <w:r>
                    <w:rPr>
                      <w:rFonts w:hint="eastAsia"/>
                      <w:color w:val="000000"/>
                      <w:szCs w:val="21"/>
                    </w:rPr>
                    <w:t>主体工程</w:t>
                  </w:r>
                </w:p>
              </w:tc>
              <w:tc>
                <w:tcPr>
                  <w:tcW w:w="802" w:type="pct"/>
                  <w:vAlign w:val="center"/>
                </w:tcPr>
                <w:p w14:paraId="6694F7D0">
                  <w:pPr>
                    <w:jc w:val="center"/>
                    <w:rPr>
                      <w:rFonts w:hint="default" w:eastAsia="宋体"/>
                      <w:color w:val="000000"/>
                      <w:szCs w:val="21"/>
                      <w:lang w:val="en-US" w:eastAsia="zh-CN"/>
                    </w:rPr>
                  </w:pPr>
                  <w:r>
                    <w:rPr>
                      <w:rFonts w:hint="eastAsia"/>
                      <w:color w:val="000000"/>
                      <w:szCs w:val="21"/>
                      <w:lang w:val="en-US" w:eastAsia="zh-CN"/>
                    </w:rPr>
                    <w:t>生产车间</w:t>
                  </w:r>
                </w:p>
              </w:tc>
              <w:tc>
                <w:tcPr>
                  <w:tcW w:w="3312" w:type="pct"/>
                  <w:gridSpan w:val="2"/>
                  <w:vAlign w:val="center"/>
                </w:tcPr>
                <w:p w14:paraId="7F22B641">
                  <w:pPr>
                    <w:jc w:val="center"/>
                    <w:rPr>
                      <w:color w:val="000000"/>
                      <w:szCs w:val="21"/>
                    </w:rPr>
                  </w:pPr>
                  <w:r>
                    <w:rPr>
                      <w:rFonts w:hint="eastAsia"/>
                      <w:color w:val="000000"/>
                      <w:szCs w:val="21"/>
                      <w:lang w:val="en-US" w:eastAsia="zh-CN"/>
                    </w:rPr>
                    <w:t>占地面积约20000m</w:t>
                  </w:r>
                  <w:r>
                    <w:rPr>
                      <w:rFonts w:hint="eastAsia"/>
                      <w:color w:val="000000"/>
                      <w:szCs w:val="21"/>
                      <w:vertAlign w:val="superscript"/>
                      <w:lang w:val="en-US" w:eastAsia="zh-CN"/>
                    </w:rPr>
                    <w:t>2</w:t>
                  </w:r>
                  <w:r>
                    <w:rPr>
                      <w:rFonts w:hint="eastAsia"/>
                      <w:color w:val="000000"/>
                      <w:szCs w:val="21"/>
                      <w:lang w:val="en-US" w:eastAsia="zh-CN"/>
                    </w:rPr>
                    <w:t>，车间内主要布设1#20万吨/年回转窑脱锌生产线及配套附属工程，同时预留2#20万吨/年回转窑脱锌生产线位置（除2#回转窑主线及其烟风处理系统外，其余如配料系统、混合制粒系统、水淬池、能源介质等共用部分均在一期建设中统一考虑）</w:t>
                  </w:r>
                </w:p>
              </w:tc>
              <w:tc>
                <w:tcPr>
                  <w:tcW w:w="459" w:type="pct"/>
                  <w:vAlign w:val="center"/>
                </w:tcPr>
                <w:p w14:paraId="1C8B81B5">
                  <w:pPr>
                    <w:jc w:val="center"/>
                    <w:rPr>
                      <w:rFonts w:hint="default"/>
                      <w:color w:val="000000"/>
                      <w:szCs w:val="21"/>
                      <w:lang w:val="en-US"/>
                    </w:rPr>
                  </w:pPr>
                  <w:r>
                    <w:rPr>
                      <w:rFonts w:hint="eastAsia"/>
                      <w:color w:val="000000"/>
                      <w:szCs w:val="21"/>
                      <w:lang w:val="en-US" w:eastAsia="zh-CN"/>
                    </w:rPr>
                    <w:t>利用厂区内已有厂房改造</w:t>
                  </w:r>
                </w:p>
              </w:tc>
            </w:tr>
            <w:tr w14:paraId="7AB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restart"/>
                  <w:vAlign w:val="center"/>
                </w:tcPr>
                <w:p w14:paraId="1BE54CE3">
                  <w:pPr>
                    <w:jc w:val="center"/>
                    <w:rPr>
                      <w:color w:val="000000"/>
                      <w:szCs w:val="21"/>
                    </w:rPr>
                  </w:pPr>
                  <w:r>
                    <w:rPr>
                      <w:color w:val="000000"/>
                      <w:szCs w:val="21"/>
                    </w:rPr>
                    <w:t>储运工程</w:t>
                  </w:r>
                </w:p>
              </w:tc>
              <w:tc>
                <w:tcPr>
                  <w:tcW w:w="802" w:type="pct"/>
                  <w:vAlign w:val="center"/>
                </w:tcPr>
                <w:p w14:paraId="22C2711A">
                  <w:pPr>
                    <w:jc w:val="center"/>
                    <w:rPr>
                      <w:rFonts w:hint="eastAsia" w:eastAsia="宋体"/>
                      <w:color w:val="000000"/>
                      <w:szCs w:val="21"/>
                      <w:lang w:eastAsia="zh-CN"/>
                    </w:rPr>
                  </w:pPr>
                  <w:r>
                    <w:rPr>
                      <w:rFonts w:hint="eastAsia"/>
                      <w:color w:val="000000"/>
                      <w:szCs w:val="21"/>
                      <w:lang w:val="en-US" w:eastAsia="zh-CN"/>
                    </w:rPr>
                    <w:t>配料仓</w:t>
                  </w:r>
                </w:p>
              </w:tc>
              <w:tc>
                <w:tcPr>
                  <w:tcW w:w="3312" w:type="pct"/>
                  <w:gridSpan w:val="2"/>
                  <w:vAlign w:val="center"/>
                </w:tcPr>
                <w:p w14:paraId="146040EE">
                  <w:pPr>
                    <w:jc w:val="center"/>
                    <w:rPr>
                      <w:rFonts w:hint="default" w:eastAsia="宋体"/>
                      <w:color w:val="000000"/>
                      <w:szCs w:val="21"/>
                      <w:lang w:val="en-US" w:eastAsia="zh-CN"/>
                    </w:rPr>
                  </w:pPr>
                  <w:r>
                    <w:rPr>
                      <w:rFonts w:hint="eastAsia"/>
                      <w:color w:val="000000"/>
                      <w:szCs w:val="21"/>
                    </w:rPr>
                    <w:t>位于</w:t>
                  </w:r>
                  <w:r>
                    <w:rPr>
                      <w:rFonts w:hint="eastAsia"/>
                      <w:color w:val="000000"/>
                      <w:szCs w:val="21"/>
                      <w:lang w:val="en-US" w:eastAsia="zh-CN"/>
                    </w:rPr>
                    <w:t>车间东南角</w:t>
                  </w:r>
                  <w:r>
                    <w:rPr>
                      <w:rFonts w:hint="eastAsia"/>
                      <w:color w:val="000000"/>
                      <w:szCs w:val="21"/>
                    </w:rPr>
                    <w:t>，</w:t>
                  </w:r>
                  <w:r>
                    <w:rPr>
                      <w:rFonts w:hint="eastAsia"/>
                      <w:color w:val="000000"/>
                      <w:szCs w:val="21"/>
                      <w:lang w:val="en-US" w:eastAsia="zh-CN"/>
                    </w:rPr>
                    <w:t>共设6个配料仓（预留2个仓位置），每个仓有效容积为250m</w:t>
                  </w:r>
                  <w:r>
                    <w:rPr>
                      <w:rFonts w:hint="eastAsia"/>
                      <w:color w:val="000000"/>
                      <w:szCs w:val="21"/>
                      <w:vertAlign w:val="superscript"/>
                      <w:lang w:val="en-US" w:eastAsia="zh-CN"/>
                    </w:rPr>
                    <w:t>3</w:t>
                  </w:r>
                  <w:r>
                    <w:rPr>
                      <w:rFonts w:hint="eastAsia"/>
                      <w:color w:val="000000"/>
                      <w:szCs w:val="21"/>
                      <w:vertAlign w:val="baseline"/>
                      <w:lang w:val="en-US" w:eastAsia="zh-CN"/>
                    </w:rPr>
                    <w:t>，</w:t>
                  </w:r>
                  <w:r>
                    <w:rPr>
                      <w:rFonts w:hint="eastAsia"/>
                      <w:color w:val="000000"/>
                      <w:szCs w:val="21"/>
                      <w:lang w:val="en-US" w:eastAsia="zh-CN"/>
                    </w:rPr>
                    <w:t>其中高炉重力灰、转炉灰各设置两个灰仓，燃料（焦粉）、除尘灰各设置一个灰仓</w:t>
                  </w:r>
                </w:p>
              </w:tc>
              <w:tc>
                <w:tcPr>
                  <w:tcW w:w="459" w:type="pct"/>
                  <w:vAlign w:val="center"/>
                </w:tcPr>
                <w:p w14:paraId="5FE40893">
                  <w:pPr>
                    <w:jc w:val="center"/>
                    <w:rPr>
                      <w:color w:val="000000"/>
                      <w:szCs w:val="21"/>
                    </w:rPr>
                  </w:pPr>
                  <w:r>
                    <w:rPr>
                      <w:rFonts w:hint="eastAsia"/>
                      <w:color w:val="000000"/>
                      <w:szCs w:val="21"/>
                    </w:rPr>
                    <w:t>新建</w:t>
                  </w:r>
                </w:p>
              </w:tc>
            </w:tr>
            <w:tr w14:paraId="677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39354D7E">
                  <w:pPr>
                    <w:jc w:val="center"/>
                    <w:rPr>
                      <w:color w:val="000000"/>
                      <w:szCs w:val="21"/>
                    </w:rPr>
                  </w:pPr>
                </w:p>
              </w:tc>
              <w:tc>
                <w:tcPr>
                  <w:tcW w:w="802" w:type="pct"/>
                  <w:vAlign w:val="center"/>
                </w:tcPr>
                <w:p w14:paraId="35F150DB">
                  <w:pPr>
                    <w:jc w:val="center"/>
                    <w:rPr>
                      <w:rFonts w:hint="default"/>
                      <w:color w:val="000000"/>
                      <w:szCs w:val="21"/>
                      <w:lang w:val="en-US" w:eastAsia="zh-CN"/>
                    </w:rPr>
                  </w:pPr>
                  <w:r>
                    <w:rPr>
                      <w:rFonts w:hint="eastAsia"/>
                      <w:color w:val="000000"/>
                      <w:szCs w:val="21"/>
                      <w:lang w:val="en-US" w:eastAsia="zh-CN"/>
                    </w:rPr>
                    <w:t>气体储罐</w:t>
                  </w:r>
                </w:p>
              </w:tc>
              <w:tc>
                <w:tcPr>
                  <w:tcW w:w="3312" w:type="pct"/>
                  <w:gridSpan w:val="2"/>
                  <w:vAlign w:val="center"/>
                </w:tcPr>
                <w:p w14:paraId="02E2509F">
                  <w:pPr>
                    <w:jc w:val="center"/>
                    <w:rPr>
                      <w:rFonts w:hint="default" w:eastAsia="宋体"/>
                      <w:color w:val="000000"/>
                      <w:szCs w:val="21"/>
                      <w:lang w:val="en-US" w:eastAsia="zh-CN"/>
                    </w:rPr>
                  </w:pPr>
                  <w:r>
                    <w:rPr>
                      <w:rFonts w:hint="eastAsia"/>
                      <w:color w:val="000000"/>
                      <w:szCs w:val="21"/>
                      <w:lang w:val="en-US" w:eastAsia="zh-CN"/>
                    </w:rPr>
                    <w:t>设置1个10m</w:t>
                  </w:r>
                  <w:r>
                    <w:rPr>
                      <w:rFonts w:hint="eastAsia"/>
                      <w:color w:val="000000"/>
                      <w:szCs w:val="21"/>
                      <w:vertAlign w:val="superscript"/>
                      <w:lang w:val="en-US" w:eastAsia="zh-CN"/>
                    </w:rPr>
                    <w:t>3</w:t>
                  </w:r>
                  <w:r>
                    <w:rPr>
                      <w:rFonts w:hint="eastAsia"/>
                      <w:color w:val="000000"/>
                      <w:szCs w:val="21"/>
                      <w:vertAlign w:val="baseline"/>
                      <w:lang w:val="en-US" w:eastAsia="zh-CN"/>
                    </w:rPr>
                    <w:t>氮气储罐</w:t>
                  </w:r>
                  <w:r>
                    <w:rPr>
                      <w:rFonts w:hint="eastAsia"/>
                      <w:color w:val="000000"/>
                      <w:szCs w:val="21"/>
                      <w:lang w:val="en-US" w:eastAsia="zh-CN"/>
                    </w:rPr>
                    <w:t>和2个3m</w:t>
                  </w:r>
                  <w:r>
                    <w:rPr>
                      <w:rFonts w:hint="eastAsia"/>
                      <w:color w:val="000000"/>
                      <w:szCs w:val="21"/>
                      <w:vertAlign w:val="superscript"/>
                      <w:lang w:val="en-US" w:eastAsia="zh-CN"/>
                    </w:rPr>
                    <w:t>3</w:t>
                  </w:r>
                  <w:r>
                    <w:rPr>
                      <w:rFonts w:hint="eastAsia"/>
                      <w:color w:val="000000"/>
                      <w:szCs w:val="21"/>
                      <w:lang w:val="en-US" w:eastAsia="zh-CN"/>
                    </w:rPr>
                    <w:t>的压缩空气储罐，用于锅炉吹灰和除尘器反吹等</w:t>
                  </w:r>
                </w:p>
              </w:tc>
              <w:tc>
                <w:tcPr>
                  <w:tcW w:w="459" w:type="pct"/>
                  <w:vAlign w:val="center"/>
                </w:tcPr>
                <w:p w14:paraId="3016309B">
                  <w:pPr>
                    <w:jc w:val="center"/>
                    <w:rPr>
                      <w:rFonts w:hint="eastAsia" w:eastAsia="宋体"/>
                      <w:color w:val="000000"/>
                      <w:szCs w:val="21"/>
                      <w:lang w:val="en-US" w:eastAsia="zh-CN"/>
                    </w:rPr>
                  </w:pPr>
                  <w:r>
                    <w:rPr>
                      <w:rFonts w:hint="eastAsia"/>
                      <w:color w:val="000000"/>
                      <w:szCs w:val="21"/>
                      <w:lang w:val="en-US" w:eastAsia="zh-CN"/>
                    </w:rPr>
                    <w:t>新建</w:t>
                  </w:r>
                </w:p>
              </w:tc>
            </w:tr>
            <w:tr w14:paraId="500C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52A2D921">
                  <w:pPr>
                    <w:jc w:val="center"/>
                    <w:rPr>
                      <w:color w:val="000000"/>
                      <w:szCs w:val="21"/>
                    </w:rPr>
                  </w:pPr>
                </w:p>
              </w:tc>
              <w:tc>
                <w:tcPr>
                  <w:tcW w:w="802" w:type="pct"/>
                  <w:vAlign w:val="center"/>
                </w:tcPr>
                <w:p w14:paraId="7B633B8A">
                  <w:pPr>
                    <w:jc w:val="center"/>
                    <w:rPr>
                      <w:rFonts w:hint="default"/>
                      <w:color w:val="000000"/>
                      <w:szCs w:val="21"/>
                      <w:lang w:val="en-US" w:eastAsia="zh-CN"/>
                    </w:rPr>
                  </w:pPr>
                  <w:r>
                    <w:rPr>
                      <w:rFonts w:hint="eastAsia"/>
                      <w:color w:val="000000"/>
                      <w:szCs w:val="21"/>
                      <w:lang w:val="en-US" w:eastAsia="zh-CN"/>
                    </w:rPr>
                    <w:t>软水罐</w:t>
                  </w:r>
                </w:p>
              </w:tc>
              <w:tc>
                <w:tcPr>
                  <w:tcW w:w="3312" w:type="pct"/>
                  <w:gridSpan w:val="2"/>
                  <w:vAlign w:val="center"/>
                </w:tcPr>
                <w:p w14:paraId="14D4E295">
                  <w:pPr>
                    <w:jc w:val="center"/>
                    <w:rPr>
                      <w:rFonts w:hint="default"/>
                      <w:color w:val="000000"/>
                      <w:szCs w:val="21"/>
                      <w:lang w:val="en-US" w:eastAsia="zh-CN"/>
                    </w:rPr>
                  </w:pPr>
                  <w:r>
                    <w:rPr>
                      <w:rFonts w:hint="eastAsia"/>
                      <w:color w:val="000000"/>
                      <w:szCs w:val="21"/>
                      <w:lang w:val="en-US" w:eastAsia="zh-CN"/>
                    </w:rPr>
                    <w:t>设置1台容积50m</w:t>
                  </w:r>
                  <w:r>
                    <w:rPr>
                      <w:rFonts w:hint="eastAsia"/>
                      <w:color w:val="000000"/>
                      <w:szCs w:val="21"/>
                      <w:vertAlign w:val="superscript"/>
                      <w:lang w:val="en-US" w:eastAsia="zh-CN"/>
                    </w:rPr>
                    <w:t>3</w:t>
                  </w:r>
                  <w:r>
                    <w:rPr>
                      <w:rFonts w:hint="eastAsia"/>
                      <w:color w:val="000000"/>
                      <w:szCs w:val="21"/>
                      <w:lang w:val="en-US" w:eastAsia="zh-CN"/>
                    </w:rPr>
                    <w:t>的软水储罐以保证锅炉软化水的可靠供应，软水由盛隆厂区现有软水制备系统提供</w:t>
                  </w:r>
                </w:p>
              </w:tc>
              <w:tc>
                <w:tcPr>
                  <w:tcW w:w="459" w:type="pct"/>
                  <w:vAlign w:val="center"/>
                </w:tcPr>
                <w:p w14:paraId="3676AC6F">
                  <w:pPr>
                    <w:jc w:val="center"/>
                    <w:rPr>
                      <w:rFonts w:hint="default"/>
                      <w:color w:val="000000"/>
                      <w:szCs w:val="21"/>
                      <w:lang w:val="en-US" w:eastAsia="zh-CN"/>
                    </w:rPr>
                  </w:pPr>
                  <w:r>
                    <w:rPr>
                      <w:rFonts w:hint="eastAsia"/>
                      <w:color w:val="000000"/>
                      <w:szCs w:val="21"/>
                      <w:lang w:val="en-US" w:eastAsia="zh-CN"/>
                    </w:rPr>
                    <w:t>新建</w:t>
                  </w:r>
                </w:p>
              </w:tc>
            </w:tr>
            <w:tr w14:paraId="188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restart"/>
                  <w:vAlign w:val="center"/>
                </w:tcPr>
                <w:p w14:paraId="551E7A4B">
                  <w:pPr>
                    <w:jc w:val="center"/>
                    <w:rPr>
                      <w:color w:val="000000"/>
                      <w:szCs w:val="21"/>
                    </w:rPr>
                  </w:pPr>
                  <w:r>
                    <w:rPr>
                      <w:rFonts w:hint="eastAsia"/>
                      <w:color w:val="000000"/>
                      <w:szCs w:val="21"/>
                    </w:rPr>
                    <w:t>辅助工程</w:t>
                  </w:r>
                </w:p>
              </w:tc>
              <w:tc>
                <w:tcPr>
                  <w:tcW w:w="802" w:type="pct"/>
                  <w:vAlign w:val="center"/>
                </w:tcPr>
                <w:p w14:paraId="10939BD3">
                  <w:pPr>
                    <w:jc w:val="center"/>
                    <w:rPr>
                      <w:rFonts w:hint="default" w:eastAsia="宋体"/>
                      <w:color w:val="000000"/>
                      <w:szCs w:val="21"/>
                      <w:lang w:val="en-US" w:eastAsia="zh-CN"/>
                    </w:rPr>
                  </w:pPr>
                  <w:r>
                    <w:rPr>
                      <w:rFonts w:hint="eastAsia"/>
                      <w:color w:val="000000"/>
                      <w:szCs w:val="21"/>
                      <w:lang w:val="en-US" w:eastAsia="zh-CN"/>
                    </w:rPr>
                    <w:t>电气综合楼</w:t>
                  </w:r>
                </w:p>
              </w:tc>
              <w:tc>
                <w:tcPr>
                  <w:tcW w:w="3312" w:type="pct"/>
                  <w:gridSpan w:val="2"/>
                  <w:vAlign w:val="center"/>
                </w:tcPr>
                <w:p w14:paraId="0F5258F4">
                  <w:pPr>
                    <w:jc w:val="center"/>
                    <w:rPr>
                      <w:rFonts w:hint="default" w:eastAsia="宋体"/>
                      <w:color w:val="000000"/>
                      <w:szCs w:val="21"/>
                      <w:lang w:val="en-US" w:eastAsia="zh-CN"/>
                    </w:rPr>
                  </w:pPr>
                  <w:r>
                    <w:rPr>
                      <w:rFonts w:hint="eastAsia"/>
                      <w:color w:val="000000"/>
                      <w:szCs w:val="21"/>
                    </w:rPr>
                    <w:t>位于车间</w:t>
                  </w:r>
                  <w:r>
                    <w:rPr>
                      <w:rFonts w:hint="eastAsia"/>
                      <w:color w:val="000000"/>
                      <w:szCs w:val="21"/>
                      <w:lang w:val="en-US" w:eastAsia="zh-CN"/>
                    </w:rPr>
                    <w:t>中部</w:t>
                  </w:r>
                  <w:r>
                    <w:rPr>
                      <w:rFonts w:hint="eastAsia"/>
                      <w:color w:val="000000"/>
                      <w:szCs w:val="21"/>
                    </w:rPr>
                    <w:t>，主要设置</w:t>
                  </w:r>
                  <w:r>
                    <w:rPr>
                      <w:rFonts w:hint="eastAsia"/>
                      <w:color w:val="000000"/>
                      <w:szCs w:val="21"/>
                      <w:lang w:val="en-US" w:eastAsia="zh-CN"/>
                    </w:rPr>
                    <w:t>用于员工办公和各生产设备控制</w:t>
                  </w:r>
                </w:p>
              </w:tc>
              <w:tc>
                <w:tcPr>
                  <w:tcW w:w="459" w:type="pct"/>
                  <w:vAlign w:val="center"/>
                </w:tcPr>
                <w:p w14:paraId="4FCAC64F">
                  <w:pPr>
                    <w:jc w:val="center"/>
                    <w:rPr>
                      <w:color w:val="000000"/>
                      <w:szCs w:val="21"/>
                    </w:rPr>
                  </w:pPr>
                  <w:r>
                    <w:rPr>
                      <w:rFonts w:hint="eastAsia"/>
                      <w:color w:val="000000"/>
                      <w:szCs w:val="21"/>
                    </w:rPr>
                    <w:t>新建</w:t>
                  </w:r>
                </w:p>
              </w:tc>
            </w:tr>
            <w:tr w14:paraId="3149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764BEBBF">
                  <w:pPr>
                    <w:jc w:val="center"/>
                    <w:rPr>
                      <w:rFonts w:hint="eastAsia"/>
                      <w:color w:val="000000"/>
                      <w:szCs w:val="21"/>
                    </w:rPr>
                  </w:pPr>
                </w:p>
              </w:tc>
              <w:tc>
                <w:tcPr>
                  <w:tcW w:w="802" w:type="pct"/>
                  <w:vAlign w:val="center"/>
                </w:tcPr>
                <w:p w14:paraId="2BBC5828">
                  <w:pPr>
                    <w:jc w:val="center"/>
                    <w:rPr>
                      <w:rFonts w:hint="default"/>
                      <w:color w:val="000000"/>
                      <w:szCs w:val="21"/>
                      <w:lang w:val="en-US" w:eastAsia="zh-CN"/>
                    </w:rPr>
                  </w:pPr>
                  <w:r>
                    <w:rPr>
                      <w:rFonts w:hint="eastAsia"/>
                      <w:color w:val="000000"/>
                      <w:szCs w:val="21"/>
                      <w:lang w:val="en-US" w:eastAsia="zh-CN"/>
                    </w:rPr>
                    <w:t>软水制备装置</w:t>
                  </w:r>
                </w:p>
              </w:tc>
              <w:tc>
                <w:tcPr>
                  <w:tcW w:w="3312" w:type="pct"/>
                  <w:gridSpan w:val="2"/>
                  <w:vAlign w:val="center"/>
                </w:tcPr>
                <w:p w14:paraId="054378C6">
                  <w:pPr>
                    <w:jc w:val="center"/>
                    <w:rPr>
                      <w:rFonts w:hint="default" w:eastAsia="宋体"/>
                      <w:color w:val="000000"/>
                      <w:szCs w:val="21"/>
                      <w:lang w:val="en-US" w:eastAsia="zh-CN"/>
                    </w:rPr>
                  </w:pPr>
                  <w:r>
                    <w:rPr>
                      <w:rFonts w:hint="eastAsia"/>
                      <w:color w:val="000000"/>
                      <w:szCs w:val="21"/>
                      <w:lang w:val="en-US" w:eastAsia="zh-CN"/>
                    </w:rPr>
                    <w:t>本项目余热锅炉使用的软水由厂区现有软水制备系统供应，盛隆公司现有4台软水制备装置，制备能力为790m</w:t>
                  </w:r>
                  <w:r>
                    <w:rPr>
                      <w:rFonts w:hint="eastAsia"/>
                      <w:color w:val="000000"/>
                      <w:szCs w:val="21"/>
                      <w:vertAlign w:val="superscript"/>
                      <w:lang w:val="en-US" w:eastAsia="zh-CN"/>
                    </w:rPr>
                    <w:t>3</w:t>
                  </w:r>
                  <w:r>
                    <w:rPr>
                      <w:rFonts w:hint="eastAsia"/>
                      <w:color w:val="000000"/>
                      <w:szCs w:val="21"/>
                      <w:lang w:val="en-US" w:eastAsia="zh-CN"/>
                    </w:rPr>
                    <w:t>/h，软水制备采用“离子交换法”工艺，剩余软水制备能力可以满足本项目软水需求</w:t>
                  </w:r>
                </w:p>
              </w:tc>
              <w:tc>
                <w:tcPr>
                  <w:tcW w:w="459" w:type="pct"/>
                  <w:vAlign w:val="center"/>
                </w:tcPr>
                <w:p w14:paraId="41BACD67">
                  <w:pPr>
                    <w:jc w:val="center"/>
                    <w:rPr>
                      <w:rFonts w:hint="default" w:eastAsia="宋体"/>
                      <w:color w:val="000000"/>
                      <w:szCs w:val="21"/>
                      <w:lang w:val="en-US" w:eastAsia="zh-CN"/>
                    </w:rPr>
                  </w:pPr>
                  <w:r>
                    <w:rPr>
                      <w:rFonts w:hint="eastAsia"/>
                      <w:color w:val="000000"/>
                      <w:szCs w:val="21"/>
                      <w:lang w:val="en-US" w:eastAsia="zh-CN"/>
                    </w:rPr>
                    <w:t>依托现有</w:t>
                  </w:r>
                </w:p>
              </w:tc>
            </w:tr>
            <w:tr w14:paraId="3697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restart"/>
                  <w:vAlign w:val="center"/>
                </w:tcPr>
                <w:p w14:paraId="125DD704">
                  <w:pPr>
                    <w:jc w:val="center"/>
                    <w:rPr>
                      <w:color w:val="000000"/>
                      <w:szCs w:val="21"/>
                    </w:rPr>
                  </w:pPr>
                  <w:r>
                    <w:rPr>
                      <w:rFonts w:hint="eastAsia"/>
                      <w:color w:val="000000"/>
                      <w:szCs w:val="21"/>
                    </w:rPr>
                    <w:t>公用工程</w:t>
                  </w:r>
                </w:p>
              </w:tc>
              <w:tc>
                <w:tcPr>
                  <w:tcW w:w="802" w:type="pct"/>
                  <w:vAlign w:val="center"/>
                </w:tcPr>
                <w:p w14:paraId="150745BD">
                  <w:pPr>
                    <w:jc w:val="center"/>
                    <w:rPr>
                      <w:color w:val="000000"/>
                      <w:szCs w:val="21"/>
                    </w:rPr>
                  </w:pPr>
                  <w:r>
                    <w:rPr>
                      <w:rFonts w:hint="eastAsia"/>
                      <w:color w:val="000000"/>
                      <w:szCs w:val="21"/>
                    </w:rPr>
                    <w:t>供水</w:t>
                  </w:r>
                </w:p>
              </w:tc>
              <w:tc>
                <w:tcPr>
                  <w:tcW w:w="3312" w:type="pct"/>
                  <w:gridSpan w:val="2"/>
                  <w:vAlign w:val="center"/>
                </w:tcPr>
                <w:p w14:paraId="5CD383D9">
                  <w:pPr>
                    <w:jc w:val="center"/>
                    <w:rPr>
                      <w:szCs w:val="21"/>
                    </w:rPr>
                  </w:pPr>
                  <w:r>
                    <w:rPr>
                      <w:rFonts w:hint="eastAsia"/>
                      <w:szCs w:val="21"/>
                    </w:rPr>
                    <w:t>由市政给水管网供给</w:t>
                  </w:r>
                </w:p>
              </w:tc>
              <w:tc>
                <w:tcPr>
                  <w:tcW w:w="459" w:type="pct"/>
                  <w:vMerge w:val="restart"/>
                  <w:vAlign w:val="center"/>
                </w:tcPr>
                <w:p w14:paraId="23E43503">
                  <w:pPr>
                    <w:jc w:val="center"/>
                    <w:rPr>
                      <w:rFonts w:hint="default" w:eastAsia="宋体"/>
                      <w:color w:val="000000"/>
                      <w:szCs w:val="21"/>
                      <w:lang w:val="en-US" w:eastAsia="zh-CN"/>
                    </w:rPr>
                  </w:pPr>
                  <w:r>
                    <w:rPr>
                      <w:rFonts w:hint="eastAsia"/>
                      <w:color w:val="000000"/>
                      <w:szCs w:val="21"/>
                      <w:lang w:val="en-US" w:eastAsia="zh-CN"/>
                    </w:rPr>
                    <w:t>依托现有</w:t>
                  </w:r>
                </w:p>
              </w:tc>
            </w:tr>
            <w:tr w14:paraId="461B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007D51F0">
                  <w:pPr>
                    <w:jc w:val="center"/>
                    <w:rPr>
                      <w:color w:val="000000"/>
                      <w:szCs w:val="21"/>
                    </w:rPr>
                  </w:pPr>
                </w:p>
              </w:tc>
              <w:tc>
                <w:tcPr>
                  <w:tcW w:w="802" w:type="pct"/>
                  <w:vAlign w:val="center"/>
                </w:tcPr>
                <w:p w14:paraId="569AC8E2">
                  <w:pPr>
                    <w:jc w:val="center"/>
                    <w:rPr>
                      <w:color w:val="000000"/>
                      <w:szCs w:val="21"/>
                    </w:rPr>
                  </w:pPr>
                  <w:r>
                    <w:rPr>
                      <w:rFonts w:hint="eastAsia"/>
                      <w:color w:val="000000"/>
                      <w:szCs w:val="21"/>
                    </w:rPr>
                    <w:t>供电</w:t>
                  </w:r>
                </w:p>
              </w:tc>
              <w:tc>
                <w:tcPr>
                  <w:tcW w:w="3312" w:type="pct"/>
                  <w:gridSpan w:val="2"/>
                  <w:vAlign w:val="center"/>
                </w:tcPr>
                <w:p w14:paraId="2925D164">
                  <w:pPr>
                    <w:jc w:val="center"/>
                    <w:rPr>
                      <w:szCs w:val="21"/>
                    </w:rPr>
                  </w:pPr>
                  <w:r>
                    <w:rPr>
                      <w:rFonts w:hint="eastAsia"/>
                      <w:szCs w:val="21"/>
                    </w:rPr>
                    <w:t>由广西盛隆冶金有限公司发电厂变电所接入</w:t>
                  </w:r>
                </w:p>
              </w:tc>
              <w:tc>
                <w:tcPr>
                  <w:tcW w:w="459" w:type="pct"/>
                  <w:vMerge w:val="continue"/>
                  <w:vAlign w:val="center"/>
                </w:tcPr>
                <w:p w14:paraId="19AEE476">
                  <w:pPr>
                    <w:jc w:val="center"/>
                    <w:rPr>
                      <w:color w:val="000000"/>
                      <w:szCs w:val="21"/>
                    </w:rPr>
                  </w:pPr>
                </w:p>
              </w:tc>
            </w:tr>
            <w:tr w14:paraId="03EA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38827F3A">
                  <w:pPr>
                    <w:jc w:val="center"/>
                    <w:rPr>
                      <w:color w:val="000000"/>
                      <w:szCs w:val="21"/>
                    </w:rPr>
                  </w:pPr>
                </w:p>
              </w:tc>
              <w:tc>
                <w:tcPr>
                  <w:tcW w:w="802" w:type="pct"/>
                  <w:vAlign w:val="center"/>
                </w:tcPr>
                <w:p w14:paraId="61E74838">
                  <w:pPr>
                    <w:jc w:val="center"/>
                    <w:rPr>
                      <w:color w:val="000000"/>
                      <w:szCs w:val="21"/>
                    </w:rPr>
                  </w:pPr>
                  <w:r>
                    <w:rPr>
                      <w:rFonts w:hint="eastAsia"/>
                      <w:color w:val="000000"/>
                      <w:szCs w:val="21"/>
                    </w:rPr>
                    <w:t>排水</w:t>
                  </w:r>
                </w:p>
              </w:tc>
              <w:tc>
                <w:tcPr>
                  <w:tcW w:w="3312" w:type="pct"/>
                  <w:gridSpan w:val="2"/>
                  <w:vAlign w:val="center"/>
                </w:tcPr>
                <w:p w14:paraId="575308CD">
                  <w:pPr>
                    <w:jc w:val="center"/>
                    <w:rPr>
                      <w:szCs w:val="21"/>
                    </w:rPr>
                  </w:pPr>
                  <w:r>
                    <w:rPr>
                      <w:rFonts w:hint="eastAsia"/>
                      <w:szCs w:val="21"/>
                    </w:rPr>
                    <w:t>本项目所产生的废水均经管道收集进入盛隆公司污水处理系统处理后全部循环利用，不外排</w:t>
                  </w:r>
                </w:p>
              </w:tc>
              <w:tc>
                <w:tcPr>
                  <w:tcW w:w="459" w:type="pct"/>
                  <w:vAlign w:val="center"/>
                </w:tcPr>
                <w:p w14:paraId="2C494E86">
                  <w:pPr>
                    <w:jc w:val="center"/>
                    <w:rPr>
                      <w:rFonts w:hint="default" w:eastAsia="宋体"/>
                      <w:color w:val="000000"/>
                      <w:szCs w:val="21"/>
                      <w:lang w:val="en-US" w:eastAsia="zh-CN"/>
                    </w:rPr>
                  </w:pPr>
                  <w:r>
                    <w:rPr>
                      <w:rFonts w:hint="eastAsia"/>
                      <w:color w:val="000000"/>
                      <w:szCs w:val="21"/>
                      <w:lang w:val="en-US" w:eastAsia="zh-CN"/>
                    </w:rPr>
                    <w:t>依托现有</w:t>
                  </w:r>
                </w:p>
              </w:tc>
            </w:tr>
            <w:tr w14:paraId="2F2B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2B84D134">
                  <w:pPr>
                    <w:jc w:val="center"/>
                    <w:rPr>
                      <w:color w:val="000000"/>
                      <w:szCs w:val="21"/>
                    </w:rPr>
                  </w:pPr>
                </w:p>
              </w:tc>
              <w:tc>
                <w:tcPr>
                  <w:tcW w:w="802" w:type="pct"/>
                  <w:vAlign w:val="center"/>
                </w:tcPr>
                <w:p w14:paraId="5DA1AE3C">
                  <w:pPr>
                    <w:jc w:val="center"/>
                    <w:rPr>
                      <w:color w:val="000000"/>
                      <w:szCs w:val="21"/>
                    </w:rPr>
                  </w:pPr>
                  <w:r>
                    <w:rPr>
                      <w:rFonts w:hint="eastAsia"/>
                      <w:color w:val="000000"/>
                      <w:szCs w:val="21"/>
                    </w:rPr>
                    <w:t>供气</w:t>
                  </w:r>
                </w:p>
              </w:tc>
              <w:tc>
                <w:tcPr>
                  <w:tcW w:w="3312" w:type="pct"/>
                  <w:gridSpan w:val="2"/>
                  <w:vAlign w:val="center"/>
                </w:tcPr>
                <w:p w14:paraId="14D22615">
                  <w:pPr>
                    <w:jc w:val="center"/>
                    <w:rPr>
                      <w:rFonts w:hint="default" w:eastAsia="宋体"/>
                      <w:szCs w:val="21"/>
                      <w:lang w:val="en-US" w:eastAsia="zh-CN"/>
                    </w:rPr>
                  </w:pPr>
                  <w:r>
                    <w:rPr>
                      <w:rFonts w:hint="eastAsia"/>
                      <w:szCs w:val="21"/>
                    </w:rPr>
                    <w:t>运营过</w:t>
                  </w:r>
                  <w:r>
                    <w:rPr>
                      <w:rFonts w:hint="eastAsia"/>
                      <w:szCs w:val="21"/>
                      <w:lang w:eastAsia="zh-CN"/>
                    </w:rPr>
                    <w:t>程中</w:t>
                  </w:r>
                  <w:r>
                    <w:rPr>
                      <w:rFonts w:hint="eastAsia"/>
                      <w:szCs w:val="21"/>
                    </w:rPr>
                    <w:t>使用的高炉煤气均由盛隆公司供气管道供应</w:t>
                  </w:r>
                  <w:r>
                    <w:rPr>
                      <w:rFonts w:hint="eastAsia"/>
                      <w:szCs w:val="21"/>
                      <w:lang w:eastAsia="zh-CN"/>
                    </w:rPr>
                    <w:t>、</w:t>
                  </w:r>
                  <w:r>
                    <w:rPr>
                      <w:rFonts w:hint="eastAsia"/>
                      <w:spacing w:val="7"/>
                      <w:lang w:val="en-US" w:eastAsia="zh-CN"/>
                    </w:rPr>
                    <w:t>氮气</w:t>
                  </w:r>
                  <w:r>
                    <w:rPr>
                      <w:spacing w:val="7"/>
                    </w:rPr>
                    <w:t>由位于</w:t>
                  </w:r>
                  <w:r>
                    <w:rPr>
                      <w:rFonts w:hint="eastAsia"/>
                      <w:spacing w:val="7"/>
                      <w:lang w:val="en-US" w:eastAsia="zh-CN"/>
                    </w:rPr>
                    <w:t>盛隆公司</w:t>
                  </w:r>
                  <w:r>
                    <w:rPr>
                      <w:spacing w:val="7"/>
                    </w:rPr>
                    <w:t>西北侧的广西杭氧气体有限公司</w:t>
                  </w:r>
                  <w:r>
                    <w:rPr>
                      <w:rFonts w:hint="eastAsia"/>
                      <w:spacing w:val="7"/>
                      <w:lang w:val="en-US" w:eastAsia="zh-CN"/>
                    </w:rPr>
                    <w:t>供应解决</w:t>
                  </w:r>
                </w:p>
              </w:tc>
              <w:tc>
                <w:tcPr>
                  <w:tcW w:w="459" w:type="pct"/>
                  <w:vAlign w:val="center"/>
                </w:tcPr>
                <w:p w14:paraId="58079E9A">
                  <w:pPr>
                    <w:jc w:val="center"/>
                    <w:rPr>
                      <w:rFonts w:hint="default" w:eastAsia="宋体"/>
                      <w:color w:val="000000"/>
                      <w:szCs w:val="21"/>
                      <w:lang w:val="en-US" w:eastAsia="zh-CN"/>
                    </w:rPr>
                  </w:pPr>
                  <w:r>
                    <w:rPr>
                      <w:rFonts w:hint="eastAsia"/>
                      <w:color w:val="000000"/>
                      <w:szCs w:val="21"/>
                      <w:lang w:val="en-US" w:eastAsia="zh-CN"/>
                    </w:rPr>
                    <w:t>依托现有</w:t>
                  </w:r>
                </w:p>
              </w:tc>
            </w:tr>
            <w:tr w14:paraId="3118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restart"/>
                  <w:vAlign w:val="center"/>
                </w:tcPr>
                <w:p w14:paraId="44C37E3A">
                  <w:pPr>
                    <w:jc w:val="center"/>
                    <w:rPr>
                      <w:rFonts w:hint="default" w:eastAsia="宋体"/>
                      <w:color w:val="000000"/>
                      <w:szCs w:val="21"/>
                      <w:lang w:val="en-US" w:eastAsia="zh-CN"/>
                    </w:rPr>
                  </w:pPr>
                  <w:r>
                    <w:rPr>
                      <w:rFonts w:hint="eastAsia"/>
                      <w:color w:val="000000"/>
                      <w:szCs w:val="21"/>
                      <w:lang w:val="en-US" w:eastAsia="zh-CN"/>
                    </w:rPr>
                    <w:t>环保工程</w:t>
                  </w:r>
                </w:p>
                <w:p w14:paraId="18CCA07E">
                  <w:pPr>
                    <w:jc w:val="center"/>
                    <w:rPr>
                      <w:color w:val="000000"/>
                      <w:szCs w:val="21"/>
                    </w:rPr>
                  </w:pPr>
                </w:p>
              </w:tc>
              <w:tc>
                <w:tcPr>
                  <w:tcW w:w="802" w:type="pct"/>
                  <w:vAlign w:val="center"/>
                </w:tcPr>
                <w:p w14:paraId="5C8EBD68">
                  <w:pPr>
                    <w:jc w:val="center"/>
                    <w:rPr>
                      <w:color w:val="000000"/>
                      <w:szCs w:val="21"/>
                    </w:rPr>
                  </w:pPr>
                  <w:r>
                    <w:rPr>
                      <w:rFonts w:hint="eastAsia"/>
                      <w:color w:val="000000"/>
                      <w:szCs w:val="21"/>
                    </w:rPr>
                    <w:t>废水</w:t>
                  </w:r>
                </w:p>
              </w:tc>
              <w:tc>
                <w:tcPr>
                  <w:tcW w:w="3312" w:type="pct"/>
                  <w:gridSpan w:val="2"/>
                  <w:vAlign w:val="center"/>
                </w:tcPr>
                <w:p w14:paraId="1EFAD64C">
                  <w:pPr>
                    <w:jc w:val="center"/>
                    <w:rPr>
                      <w:rFonts w:hint="eastAsia" w:eastAsia="宋体"/>
                      <w:szCs w:val="21"/>
                      <w:highlight w:val="yellow"/>
                      <w:lang w:eastAsia="zh-CN"/>
                    </w:rPr>
                  </w:pPr>
                  <w:r>
                    <w:rPr>
                      <w:rFonts w:hint="eastAsia"/>
                      <w:szCs w:val="21"/>
                    </w:rPr>
                    <w:t>本项目</w:t>
                  </w:r>
                  <w:r>
                    <w:rPr>
                      <w:rFonts w:hint="eastAsia"/>
                      <w:szCs w:val="21"/>
                      <w:lang w:val="en-US" w:eastAsia="zh-CN"/>
                    </w:rPr>
                    <w:t>无新增生活污水，项目运营</w:t>
                  </w:r>
                  <w:r>
                    <w:rPr>
                      <w:rFonts w:hint="eastAsia"/>
                      <w:szCs w:val="21"/>
                    </w:rPr>
                    <w:t>所产生的</w:t>
                  </w:r>
                  <w:r>
                    <w:rPr>
                      <w:rFonts w:hint="eastAsia"/>
                      <w:szCs w:val="21"/>
                      <w:lang w:val="en-US" w:eastAsia="zh-CN"/>
                    </w:rPr>
                    <w:t>生产</w:t>
                  </w:r>
                  <w:r>
                    <w:rPr>
                      <w:rFonts w:hint="eastAsia"/>
                      <w:szCs w:val="21"/>
                    </w:rPr>
                    <w:t>废水均经管道收集进入盛隆公司污水处理系统处理后全部循环利用，不外排</w:t>
                  </w:r>
                  <w:r>
                    <w:rPr>
                      <w:rFonts w:hint="eastAsia"/>
                      <w:szCs w:val="21"/>
                      <w:lang w:eastAsia="zh-CN"/>
                    </w:rPr>
                    <w:t>；</w:t>
                  </w:r>
                  <w:r>
                    <w:rPr>
                      <w:rFonts w:hint="eastAsia"/>
                      <w:szCs w:val="21"/>
                      <w:lang w:val="en-US" w:eastAsia="zh-CN"/>
                    </w:rPr>
                    <w:t>项目</w:t>
                  </w:r>
                  <w:r>
                    <w:rPr>
                      <w:rFonts w:hint="eastAsia"/>
                      <w:szCs w:val="21"/>
                      <w:u w:val="none"/>
                      <w:lang w:val="en-US" w:eastAsia="zh-CN"/>
                    </w:rPr>
                    <w:t>无新增用地，因此无新增初期雨水</w:t>
                  </w:r>
                </w:p>
              </w:tc>
              <w:tc>
                <w:tcPr>
                  <w:tcW w:w="459" w:type="pct"/>
                  <w:vAlign w:val="center"/>
                </w:tcPr>
                <w:p w14:paraId="01D0178B">
                  <w:pPr>
                    <w:jc w:val="center"/>
                    <w:rPr>
                      <w:rFonts w:hint="default" w:eastAsia="宋体"/>
                      <w:color w:val="000000"/>
                      <w:szCs w:val="21"/>
                      <w:lang w:val="en-US" w:eastAsia="zh-CN"/>
                    </w:rPr>
                  </w:pPr>
                  <w:r>
                    <w:rPr>
                      <w:rFonts w:hint="eastAsia"/>
                      <w:color w:val="000000"/>
                      <w:szCs w:val="21"/>
                      <w:lang w:val="en-US" w:eastAsia="zh-CN"/>
                    </w:rPr>
                    <w:t>依托现有</w:t>
                  </w:r>
                </w:p>
              </w:tc>
            </w:tr>
            <w:tr w14:paraId="095D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1AAD4AD8">
                  <w:pPr>
                    <w:jc w:val="center"/>
                    <w:rPr>
                      <w:color w:val="000000"/>
                      <w:szCs w:val="21"/>
                    </w:rPr>
                  </w:pPr>
                </w:p>
              </w:tc>
              <w:tc>
                <w:tcPr>
                  <w:tcW w:w="802" w:type="pct"/>
                  <w:vMerge w:val="restart"/>
                  <w:vAlign w:val="center"/>
                </w:tcPr>
                <w:p w14:paraId="280D4CB9">
                  <w:pPr>
                    <w:jc w:val="center"/>
                    <w:rPr>
                      <w:color w:val="000000"/>
                      <w:szCs w:val="21"/>
                    </w:rPr>
                  </w:pPr>
                  <w:r>
                    <w:rPr>
                      <w:rFonts w:hint="eastAsia"/>
                      <w:color w:val="000000"/>
                      <w:szCs w:val="21"/>
                    </w:rPr>
                    <w:t>废气</w:t>
                  </w:r>
                </w:p>
              </w:tc>
              <w:tc>
                <w:tcPr>
                  <w:tcW w:w="787" w:type="pct"/>
                  <w:vAlign w:val="center"/>
                </w:tcPr>
                <w:p w14:paraId="117FD805">
                  <w:pPr>
                    <w:adjustRightInd w:val="0"/>
                    <w:snapToGrid w:val="0"/>
                    <w:jc w:val="center"/>
                    <w:rPr>
                      <w:rFonts w:hint="default" w:eastAsia="宋体"/>
                      <w:szCs w:val="21"/>
                      <w:lang w:val="en-US" w:eastAsia="zh-CN"/>
                    </w:rPr>
                  </w:pPr>
                  <w:r>
                    <w:rPr>
                      <w:rFonts w:hint="eastAsia"/>
                      <w:szCs w:val="21"/>
                      <w:lang w:val="en-US" w:eastAsia="zh-CN"/>
                    </w:rPr>
                    <w:t>配料、窑头窑尾粉尘</w:t>
                  </w:r>
                </w:p>
              </w:tc>
              <w:tc>
                <w:tcPr>
                  <w:tcW w:w="2525" w:type="pct"/>
                  <w:vAlign w:val="center"/>
                </w:tcPr>
                <w:p w14:paraId="12C3545E">
                  <w:pPr>
                    <w:adjustRightInd w:val="0"/>
                    <w:snapToGrid w:val="0"/>
                    <w:jc w:val="center"/>
                    <w:rPr>
                      <w:szCs w:val="21"/>
                    </w:rPr>
                  </w:pPr>
                  <w:r>
                    <w:rPr>
                      <w:rFonts w:hint="eastAsia"/>
                      <w:szCs w:val="21"/>
                      <w:lang w:val="en-US" w:eastAsia="zh-CN"/>
                    </w:rPr>
                    <w:t>收集后经布袋除尘器处理后由26m高排气筒排放</w:t>
                  </w:r>
                </w:p>
              </w:tc>
              <w:tc>
                <w:tcPr>
                  <w:tcW w:w="459" w:type="pct"/>
                  <w:vAlign w:val="center"/>
                </w:tcPr>
                <w:p w14:paraId="672146CB">
                  <w:pPr>
                    <w:jc w:val="center"/>
                    <w:rPr>
                      <w:color w:val="000000"/>
                      <w:szCs w:val="21"/>
                    </w:rPr>
                  </w:pPr>
                  <w:r>
                    <w:rPr>
                      <w:rFonts w:hint="eastAsia"/>
                      <w:color w:val="000000"/>
                      <w:szCs w:val="21"/>
                    </w:rPr>
                    <w:t>新建</w:t>
                  </w:r>
                </w:p>
              </w:tc>
            </w:tr>
            <w:tr w14:paraId="6397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0A3B9160">
                  <w:pPr>
                    <w:jc w:val="center"/>
                    <w:rPr>
                      <w:color w:val="000000"/>
                      <w:szCs w:val="21"/>
                    </w:rPr>
                  </w:pPr>
                </w:p>
              </w:tc>
              <w:tc>
                <w:tcPr>
                  <w:tcW w:w="802" w:type="pct"/>
                  <w:vMerge w:val="continue"/>
                  <w:vAlign w:val="center"/>
                </w:tcPr>
                <w:p w14:paraId="6AAD235E">
                  <w:pPr>
                    <w:jc w:val="center"/>
                    <w:rPr>
                      <w:color w:val="000000"/>
                      <w:szCs w:val="21"/>
                    </w:rPr>
                  </w:pPr>
                </w:p>
              </w:tc>
              <w:tc>
                <w:tcPr>
                  <w:tcW w:w="787" w:type="pct"/>
                  <w:vAlign w:val="center"/>
                </w:tcPr>
                <w:p w14:paraId="78FF2116">
                  <w:pPr>
                    <w:adjustRightInd w:val="0"/>
                    <w:snapToGrid w:val="0"/>
                    <w:jc w:val="center"/>
                    <w:rPr>
                      <w:rFonts w:hint="default" w:eastAsia="宋体"/>
                      <w:szCs w:val="21"/>
                      <w:lang w:val="en-US" w:eastAsia="zh-CN"/>
                    </w:rPr>
                  </w:pPr>
                  <w:r>
                    <w:rPr>
                      <w:rFonts w:hint="eastAsia"/>
                      <w:szCs w:val="21"/>
                      <w:lang w:val="en-US" w:eastAsia="zh-CN"/>
                    </w:rPr>
                    <w:t>回转窑烟气</w:t>
                  </w:r>
                </w:p>
              </w:tc>
              <w:tc>
                <w:tcPr>
                  <w:tcW w:w="2525" w:type="pct"/>
                  <w:vAlign w:val="center"/>
                </w:tcPr>
                <w:p w14:paraId="7D7C69C9">
                  <w:pPr>
                    <w:adjustRightInd w:val="0"/>
                    <w:snapToGrid w:val="0"/>
                    <w:jc w:val="center"/>
                    <w:rPr>
                      <w:rFonts w:hint="default" w:eastAsia="宋体"/>
                      <w:szCs w:val="21"/>
                      <w:lang w:val="en-US" w:eastAsia="zh-CN"/>
                    </w:rPr>
                  </w:pPr>
                  <w:r>
                    <w:rPr>
                      <w:rFonts w:hint="eastAsia"/>
                      <w:szCs w:val="21"/>
                      <w:lang w:val="en-US" w:eastAsia="zh-CN"/>
                    </w:rPr>
                    <w:t>收集后经布袋除尘器除尘处理后由32m高排气筒排放</w:t>
                  </w:r>
                </w:p>
              </w:tc>
              <w:tc>
                <w:tcPr>
                  <w:tcW w:w="459" w:type="pct"/>
                  <w:vAlign w:val="center"/>
                </w:tcPr>
                <w:p w14:paraId="6722FC89">
                  <w:pPr>
                    <w:jc w:val="center"/>
                    <w:rPr>
                      <w:color w:val="000000"/>
                      <w:szCs w:val="21"/>
                    </w:rPr>
                  </w:pPr>
                  <w:r>
                    <w:rPr>
                      <w:rFonts w:hint="eastAsia"/>
                      <w:color w:val="000000"/>
                      <w:szCs w:val="21"/>
                    </w:rPr>
                    <w:t>新建</w:t>
                  </w:r>
                </w:p>
              </w:tc>
            </w:tr>
            <w:tr w14:paraId="1B10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7F27986C">
                  <w:pPr>
                    <w:jc w:val="center"/>
                    <w:rPr>
                      <w:color w:val="000000"/>
                      <w:szCs w:val="21"/>
                    </w:rPr>
                  </w:pPr>
                </w:p>
              </w:tc>
              <w:tc>
                <w:tcPr>
                  <w:tcW w:w="802" w:type="pct"/>
                  <w:vAlign w:val="center"/>
                </w:tcPr>
                <w:p w14:paraId="77AEBA0D">
                  <w:pPr>
                    <w:jc w:val="center"/>
                    <w:rPr>
                      <w:color w:val="000000"/>
                      <w:szCs w:val="21"/>
                    </w:rPr>
                  </w:pPr>
                  <w:r>
                    <w:rPr>
                      <w:rFonts w:hint="eastAsia"/>
                      <w:color w:val="000000"/>
                      <w:szCs w:val="21"/>
                    </w:rPr>
                    <w:t>噪声</w:t>
                  </w:r>
                </w:p>
              </w:tc>
              <w:tc>
                <w:tcPr>
                  <w:tcW w:w="3312" w:type="pct"/>
                  <w:gridSpan w:val="2"/>
                  <w:vAlign w:val="center"/>
                </w:tcPr>
                <w:p w14:paraId="0B052711">
                  <w:pPr>
                    <w:jc w:val="center"/>
                    <w:rPr>
                      <w:color w:val="000000"/>
                      <w:szCs w:val="21"/>
                    </w:rPr>
                  </w:pPr>
                  <w:r>
                    <w:rPr>
                      <w:rFonts w:hint="eastAsia"/>
                      <w:color w:val="000000"/>
                      <w:szCs w:val="21"/>
                    </w:rPr>
                    <w:t>采用低噪声设备、基础减振措施</w:t>
                  </w:r>
                </w:p>
              </w:tc>
              <w:tc>
                <w:tcPr>
                  <w:tcW w:w="459" w:type="pct"/>
                  <w:vAlign w:val="center"/>
                </w:tcPr>
                <w:p w14:paraId="4591FF32">
                  <w:pPr>
                    <w:jc w:val="center"/>
                    <w:rPr>
                      <w:color w:val="000000"/>
                      <w:szCs w:val="21"/>
                    </w:rPr>
                  </w:pPr>
                  <w:r>
                    <w:rPr>
                      <w:color w:val="000000"/>
                      <w:szCs w:val="21"/>
                    </w:rPr>
                    <w:t>新建</w:t>
                  </w:r>
                </w:p>
              </w:tc>
            </w:tr>
            <w:tr w14:paraId="7A8D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3695D803">
                  <w:pPr>
                    <w:jc w:val="center"/>
                    <w:rPr>
                      <w:color w:val="000000"/>
                      <w:szCs w:val="21"/>
                    </w:rPr>
                  </w:pPr>
                </w:p>
              </w:tc>
              <w:tc>
                <w:tcPr>
                  <w:tcW w:w="802" w:type="pct"/>
                  <w:vMerge w:val="restart"/>
                  <w:vAlign w:val="center"/>
                </w:tcPr>
                <w:p w14:paraId="69867D65">
                  <w:pPr>
                    <w:jc w:val="center"/>
                    <w:rPr>
                      <w:color w:val="000000"/>
                      <w:szCs w:val="21"/>
                    </w:rPr>
                  </w:pPr>
                  <w:r>
                    <w:rPr>
                      <w:color w:val="000000"/>
                      <w:szCs w:val="21"/>
                    </w:rPr>
                    <w:t>固废</w:t>
                  </w:r>
                </w:p>
              </w:tc>
              <w:tc>
                <w:tcPr>
                  <w:tcW w:w="3312" w:type="pct"/>
                  <w:gridSpan w:val="2"/>
                  <w:vAlign w:val="center"/>
                </w:tcPr>
                <w:p w14:paraId="544F8368">
                  <w:pPr>
                    <w:jc w:val="center"/>
                    <w:rPr>
                      <w:rFonts w:hint="default" w:eastAsia="宋体"/>
                      <w:szCs w:val="21"/>
                      <w:lang w:val="en-US" w:eastAsia="zh-CN"/>
                    </w:rPr>
                  </w:pPr>
                  <w:r>
                    <w:rPr>
                      <w:rFonts w:hint="eastAsia"/>
                      <w:szCs w:val="21"/>
                    </w:rPr>
                    <w:t>本项目不新增职工，从公司现有职工中调配</w:t>
                  </w:r>
                  <w:r>
                    <w:rPr>
                      <w:rFonts w:hint="eastAsia"/>
                      <w:szCs w:val="21"/>
                      <w:lang w:eastAsia="zh-CN"/>
                    </w:rPr>
                    <w:t>，</w:t>
                  </w:r>
                  <w:r>
                    <w:rPr>
                      <w:rFonts w:hint="eastAsia"/>
                      <w:szCs w:val="21"/>
                      <w:lang w:val="en-US" w:eastAsia="zh-CN"/>
                    </w:rPr>
                    <w:t>无新增生活垃圾</w:t>
                  </w:r>
                </w:p>
              </w:tc>
              <w:tc>
                <w:tcPr>
                  <w:tcW w:w="459" w:type="pct"/>
                  <w:vAlign w:val="center"/>
                </w:tcPr>
                <w:p w14:paraId="48C76B63">
                  <w:pPr>
                    <w:jc w:val="center"/>
                    <w:rPr>
                      <w:rFonts w:hint="default" w:eastAsia="宋体"/>
                      <w:color w:val="000000"/>
                      <w:szCs w:val="21"/>
                      <w:lang w:val="en-US" w:eastAsia="zh-CN"/>
                    </w:rPr>
                  </w:pPr>
                  <w:r>
                    <w:rPr>
                      <w:rFonts w:hint="eastAsia"/>
                      <w:color w:val="000000"/>
                      <w:szCs w:val="21"/>
                      <w:lang w:val="en-US" w:eastAsia="zh-CN"/>
                    </w:rPr>
                    <w:t>/</w:t>
                  </w:r>
                </w:p>
              </w:tc>
            </w:tr>
            <w:tr w14:paraId="2A0D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7DFB3CE0">
                  <w:pPr>
                    <w:jc w:val="center"/>
                    <w:rPr>
                      <w:color w:val="000000"/>
                      <w:szCs w:val="21"/>
                    </w:rPr>
                  </w:pPr>
                </w:p>
              </w:tc>
              <w:tc>
                <w:tcPr>
                  <w:tcW w:w="802" w:type="pct"/>
                  <w:vMerge w:val="continue"/>
                  <w:vAlign w:val="center"/>
                </w:tcPr>
                <w:p w14:paraId="77D84BC9">
                  <w:pPr>
                    <w:jc w:val="center"/>
                    <w:rPr>
                      <w:color w:val="000000"/>
                      <w:szCs w:val="21"/>
                    </w:rPr>
                  </w:pPr>
                </w:p>
              </w:tc>
              <w:tc>
                <w:tcPr>
                  <w:tcW w:w="3312" w:type="pct"/>
                  <w:gridSpan w:val="2"/>
                  <w:vAlign w:val="center"/>
                </w:tcPr>
                <w:p w14:paraId="33FF45AF">
                  <w:pPr>
                    <w:jc w:val="center"/>
                    <w:rPr>
                      <w:rFonts w:hint="eastAsia"/>
                      <w:szCs w:val="21"/>
                    </w:rPr>
                  </w:pPr>
                  <w:r>
                    <w:rPr>
                      <w:rFonts w:hint="eastAsia"/>
                      <w:szCs w:val="21"/>
                      <w:lang w:val="en-US" w:eastAsia="zh-CN"/>
                    </w:rPr>
                    <w:t>废耐火材料更换后</w:t>
                  </w:r>
                  <w:r>
                    <w:rPr>
                      <w:rFonts w:hint="eastAsia"/>
                      <w:szCs w:val="21"/>
                      <w:lang w:eastAsia="zh-CN"/>
                    </w:rPr>
                    <w:t>交由回收商综合利用</w:t>
                  </w:r>
                </w:p>
              </w:tc>
              <w:tc>
                <w:tcPr>
                  <w:tcW w:w="459" w:type="pct"/>
                  <w:vAlign w:val="center"/>
                </w:tcPr>
                <w:p w14:paraId="3C8DB7E8">
                  <w:pPr>
                    <w:jc w:val="center"/>
                    <w:rPr>
                      <w:color w:val="000000"/>
                      <w:szCs w:val="21"/>
                    </w:rPr>
                  </w:pPr>
                  <w:r>
                    <w:rPr>
                      <w:color w:val="000000"/>
                      <w:szCs w:val="21"/>
                    </w:rPr>
                    <w:t>新建</w:t>
                  </w:r>
                </w:p>
              </w:tc>
            </w:tr>
            <w:tr w14:paraId="25B7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 w:type="pct"/>
                  <w:vMerge w:val="continue"/>
                  <w:vAlign w:val="center"/>
                </w:tcPr>
                <w:p w14:paraId="5D17611D">
                  <w:pPr>
                    <w:jc w:val="center"/>
                    <w:rPr>
                      <w:color w:val="000000"/>
                      <w:szCs w:val="21"/>
                    </w:rPr>
                  </w:pPr>
                </w:p>
              </w:tc>
              <w:tc>
                <w:tcPr>
                  <w:tcW w:w="802" w:type="pct"/>
                  <w:vMerge w:val="continue"/>
                  <w:vAlign w:val="center"/>
                </w:tcPr>
                <w:p w14:paraId="4682E841">
                  <w:pPr>
                    <w:jc w:val="center"/>
                    <w:rPr>
                      <w:color w:val="000000"/>
                      <w:szCs w:val="21"/>
                    </w:rPr>
                  </w:pPr>
                </w:p>
              </w:tc>
              <w:tc>
                <w:tcPr>
                  <w:tcW w:w="3312" w:type="pct"/>
                  <w:gridSpan w:val="2"/>
                  <w:vAlign w:val="center"/>
                </w:tcPr>
                <w:p w14:paraId="24162FAD">
                  <w:pPr>
                    <w:jc w:val="center"/>
                    <w:rPr>
                      <w:rFonts w:hint="default" w:eastAsia="宋体"/>
                      <w:szCs w:val="21"/>
                      <w:lang w:val="en-US" w:eastAsia="zh-CN"/>
                    </w:rPr>
                  </w:pPr>
                  <w:r>
                    <w:rPr>
                      <w:rFonts w:hint="eastAsia"/>
                      <w:szCs w:val="21"/>
                      <w:lang w:val="en-US" w:eastAsia="zh-CN"/>
                    </w:rPr>
                    <w:t>危险废物经收集后依托厂区现有危废暂存间，定期交有资质单位处理</w:t>
                  </w:r>
                </w:p>
              </w:tc>
              <w:tc>
                <w:tcPr>
                  <w:tcW w:w="459" w:type="pct"/>
                  <w:vAlign w:val="center"/>
                </w:tcPr>
                <w:p w14:paraId="771EF6B3">
                  <w:pPr>
                    <w:jc w:val="center"/>
                    <w:rPr>
                      <w:rFonts w:hint="default" w:eastAsia="宋体"/>
                      <w:color w:val="000000"/>
                      <w:szCs w:val="21"/>
                      <w:lang w:val="en-US" w:eastAsia="zh-CN"/>
                    </w:rPr>
                  </w:pPr>
                  <w:r>
                    <w:rPr>
                      <w:rFonts w:hint="eastAsia"/>
                      <w:color w:val="000000"/>
                      <w:szCs w:val="21"/>
                      <w:lang w:val="en-US" w:eastAsia="zh-CN"/>
                    </w:rPr>
                    <w:t>依托现有</w:t>
                  </w:r>
                </w:p>
              </w:tc>
            </w:tr>
          </w:tbl>
          <w:p w14:paraId="7FD7B9BF">
            <w:pPr>
              <w:spacing w:line="500" w:lineRule="atLeast"/>
              <w:ind w:firstLine="482" w:firstLineChars="200"/>
              <w:rPr>
                <w:rFonts w:hint="default" w:eastAsia="宋体"/>
                <w:b w:val="0"/>
                <w:bCs/>
                <w:sz w:val="24"/>
                <w:lang w:val="en-US" w:eastAsia="zh-CN"/>
              </w:rPr>
            </w:pPr>
            <w:r>
              <w:rPr>
                <w:rFonts w:hint="eastAsia"/>
                <w:b/>
                <w:bCs w:val="0"/>
                <w:sz w:val="24"/>
                <w:lang w:val="en-US" w:eastAsia="zh-CN"/>
              </w:rPr>
              <w:t>3、依托可行性分析</w:t>
            </w:r>
          </w:p>
          <w:p w14:paraId="57BB4AF8">
            <w:pPr>
              <w:spacing w:line="500" w:lineRule="atLeast"/>
              <w:ind w:firstLine="480" w:firstLineChars="200"/>
              <w:rPr>
                <w:rFonts w:hint="eastAsia"/>
                <w:b w:val="0"/>
                <w:bCs/>
                <w:sz w:val="24"/>
              </w:rPr>
            </w:pPr>
            <w:r>
              <w:rPr>
                <w:rFonts w:hint="eastAsia"/>
                <w:b w:val="0"/>
                <w:bCs/>
                <w:sz w:val="24"/>
              </w:rPr>
              <w:t>本项目依托现有工程的依托可行性分析详见下表。</w:t>
            </w:r>
          </w:p>
          <w:p w14:paraId="16C270BF">
            <w:pPr>
              <w:pStyle w:val="48"/>
              <w:numPr>
                <w:ilvl w:val="2"/>
                <w:numId w:val="2"/>
              </w:numPr>
              <w:spacing w:line="500" w:lineRule="atLeast"/>
              <w:ind w:firstLineChars="0"/>
              <w:jc w:val="center"/>
              <w:rPr>
                <w:rFonts w:hint="eastAsia"/>
                <w:b w:val="0"/>
                <w:bCs/>
                <w:sz w:val="24"/>
              </w:rPr>
            </w:pPr>
            <w:r>
              <w:rPr>
                <w:rFonts w:hint="eastAsia"/>
                <w:b/>
                <w:sz w:val="24"/>
              </w:rPr>
              <w:t>依托可行性分析一览表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922"/>
              <w:gridCol w:w="5167"/>
            </w:tblGrid>
            <w:tr w14:paraId="0C3C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Align w:val="center"/>
                </w:tcPr>
                <w:p w14:paraId="5B24DA29">
                  <w:pPr>
                    <w:widowControl/>
                    <w:spacing w:line="240" w:lineRule="exact"/>
                    <w:ind w:left="0" w:leftChars="0" w:right="0" w:rightChars="0" w:firstLine="0" w:firstLineChars="0"/>
                    <w:jc w:val="center"/>
                    <w:rPr>
                      <w:rFonts w:hint="default" w:eastAsia="宋体"/>
                      <w:sz w:val="21"/>
                      <w:szCs w:val="21"/>
                      <w:u w:val="none"/>
                      <w:lang w:val="en-US" w:eastAsia="zh-CN"/>
                    </w:rPr>
                  </w:pPr>
                  <w:r>
                    <w:rPr>
                      <w:rFonts w:hint="eastAsia"/>
                      <w:sz w:val="21"/>
                      <w:szCs w:val="21"/>
                      <w:u w:val="none"/>
                      <w:lang w:val="en-US" w:eastAsia="zh-CN"/>
                    </w:rPr>
                    <w:t>依托工程</w:t>
                  </w:r>
                </w:p>
              </w:tc>
              <w:tc>
                <w:tcPr>
                  <w:tcW w:w="1925" w:type="dxa"/>
                  <w:vAlign w:val="center"/>
                </w:tcPr>
                <w:p w14:paraId="329F28D5">
                  <w:pPr>
                    <w:widowControl/>
                    <w:spacing w:line="240" w:lineRule="exact"/>
                    <w:ind w:left="0" w:leftChars="0" w:right="0" w:rightChars="0" w:firstLine="0" w:firstLineChars="0"/>
                    <w:jc w:val="center"/>
                    <w:rPr>
                      <w:rFonts w:hint="default"/>
                      <w:sz w:val="21"/>
                      <w:szCs w:val="21"/>
                      <w:u w:val="none"/>
                      <w:lang w:val="en-US" w:eastAsia="zh-CN"/>
                    </w:rPr>
                  </w:pPr>
                  <w:r>
                    <w:rPr>
                      <w:rFonts w:hint="eastAsia"/>
                      <w:sz w:val="21"/>
                      <w:szCs w:val="21"/>
                      <w:u w:val="none"/>
                      <w:lang w:val="en-US" w:eastAsia="zh-CN"/>
                    </w:rPr>
                    <w:t>依托内容</w:t>
                  </w:r>
                </w:p>
              </w:tc>
              <w:tc>
                <w:tcPr>
                  <w:tcW w:w="5177" w:type="dxa"/>
                  <w:vAlign w:val="center"/>
                </w:tcPr>
                <w:p w14:paraId="68A37FED">
                  <w:pPr>
                    <w:widowControl/>
                    <w:spacing w:line="240" w:lineRule="exact"/>
                    <w:ind w:left="0" w:leftChars="0" w:right="0" w:rightChars="0" w:firstLine="0" w:firstLineChars="0"/>
                    <w:jc w:val="center"/>
                    <w:rPr>
                      <w:rFonts w:hint="default" w:eastAsia="宋体"/>
                      <w:sz w:val="21"/>
                      <w:szCs w:val="21"/>
                      <w:u w:val="none"/>
                      <w:lang w:val="en-US" w:eastAsia="zh-CN"/>
                    </w:rPr>
                  </w:pPr>
                  <w:r>
                    <w:rPr>
                      <w:rFonts w:hint="eastAsia"/>
                      <w:sz w:val="21"/>
                      <w:szCs w:val="21"/>
                      <w:u w:val="none"/>
                      <w:lang w:val="en-US" w:eastAsia="zh-CN"/>
                    </w:rPr>
                    <w:t>可行性分析</w:t>
                  </w:r>
                </w:p>
              </w:tc>
            </w:tr>
            <w:tr w14:paraId="0CA7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Align w:val="center"/>
                </w:tcPr>
                <w:p w14:paraId="2553AEE9">
                  <w:pPr>
                    <w:widowControl/>
                    <w:spacing w:line="240" w:lineRule="exact"/>
                    <w:ind w:left="0" w:leftChars="0" w:right="0" w:rightChars="0" w:firstLine="0" w:firstLineChars="0"/>
                    <w:jc w:val="center"/>
                    <w:rPr>
                      <w:rFonts w:hint="default" w:eastAsia="宋体"/>
                      <w:sz w:val="21"/>
                      <w:szCs w:val="21"/>
                      <w:u w:val="none"/>
                      <w:lang w:val="en-US"/>
                    </w:rPr>
                  </w:pPr>
                  <w:r>
                    <w:rPr>
                      <w:rFonts w:hint="eastAsia"/>
                      <w:color w:val="000000"/>
                      <w:szCs w:val="21"/>
                      <w:lang w:val="en-US" w:eastAsia="zh-CN"/>
                    </w:rPr>
                    <w:t>软水制备装置</w:t>
                  </w:r>
                </w:p>
              </w:tc>
              <w:tc>
                <w:tcPr>
                  <w:tcW w:w="1925" w:type="dxa"/>
                  <w:vAlign w:val="center"/>
                </w:tcPr>
                <w:p w14:paraId="7B55CC5F">
                  <w:pPr>
                    <w:widowControl/>
                    <w:spacing w:line="240" w:lineRule="exact"/>
                    <w:ind w:left="0" w:leftChars="0" w:right="0" w:rightChars="0" w:firstLine="0" w:firstLineChars="0"/>
                    <w:jc w:val="center"/>
                    <w:rPr>
                      <w:rFonts w:hint="eastAsia" w:eastAsia="宋体"/>
                      <w:sz w:val="21"/>
                      <w:szCs w:val="21"/>
                      <w:u w:val="none"/>
                    </w:rPr>
                  </w:pPr>
                  <w:r>
                    <w:rPr>
                      <w:rFonts w:hint="eastAsia" w:eastAsia="宋体"/>
                      <w:sz w:val="21"/>
                      <w:szCs w:val="21"/>
                      <w:u w:val="none"/>
                    </w:rPr>
                    <w:t>本项目余热锅炉使用的软水由厂区现有软水制备系统供应</w:t>
                  </w:r>
                </w:p>
              </w:tc>
              <w:tc>
                <w:tcPr>
                  <w:tcW w:w="5177" w:type="dxa"/>
                  <w:vAlign w:val="center"/>
                </w:tcPr>
                <w:p w14:paraId="5ED80A1E">
                  <w:pPr>
                    <w:widowControl/>
                    <w:spacing w:line="240" w:lineRule="exact"/>
                    <w:ind w:left="0" w:leftChars="0" w:right="0" w:rightChars="0" w:firstLine="0" w:firstLineChars="0"/>
                    <w:jc w:val="center"/>
                    <w:rPr>
                      <w:rFonts w:hint="default" w:eastAsia="宋体"/>
                      <w:sz w:val="21"/>
                      <w:szCs w:val="21"/>
                      <w:u w:val="none"/>
                      <w:lang w:val="en-US" w:eastAsia="zh-CN"/>
                    </w:rPr>
                  </w:pPr>
                  <w:r>
                    <w:rPr>
                      <w:rFonts w:hint="eastAsia"/>
                      <w:color w:val="000000"/>
                      <w:szCs w:val="21"/>
                      <w:lang w:val="en-US" w:eastAsia="zh-CN"/>
                    </w:rPr>
                    <w:t>盛隆公司现有4台软水制备装置，制备能力为790m</w:t>
                  </w:r>
                  <w:r>
                    <w:rPr>
                      <w:rFonts w:hint="eastAsia"/>
                      <w:color w:val="000000"/>
                      <w:szCs w:val="21"/>
                      <w:vertAlign w:val="superscript"/>
                      <w:lang w:val="en-US" w:eastAsia="zh-CN"/>
                    </w:rPr>
                    <w:t>3</w:t>
                  </w:r>
                  <w:r>
                    <w:rPr>
                      <w:rFonts w:hint="eastAsia"/>
                      <w:color w:val="000000"/>
                      <w:szCs w:val="21"/>
                      <w:lang w:val="en-US" w:eastAsia="zh-CN"/>
                    </w:rPr>
                    <w:t>/h，软水制备采用“离子交换法”工艺，剩余软水制备能力可以满足本项目软水需求。</w:t>
                  </w:r>
                </w:p>
              </w:tc>
            </w:tr>
            <w:tr w14:paraId="5E49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Align w:val="center"/>
                </w:tcPr>
                <w:p w14:paraId="2D611BB3">
                  <w:pPr>
                    <w:widowControl/>
                    <w:spacing w:line="240" w:lineRule="exact"/>
                    <w:ind w:left="0" w:leftChars="0" w:right="0" w:rightChars="0" w:firstLine="0" w:firstLineChars="0"/>
                    <w:jc w:val="center"/>
                    <w:rPr>
                      <w:rFonts w:hint="default" w:eastAsia="宋体"/>
                      <w:sz w:val="21"/>
                      <w:szCs w:val="21"/>
                      <w:u w:val="none"/>
                      <w:lang w:val="en-US" w:eastAsia="zh-CN"/>
                    </w:rPr>
                  </w:pPr>
                  <w:r>
                    <w:rPr>
                      <w:rFonts w:hint="eastAsia"/>
                      <w:sz w:val="21"/>
                      <w:szCs w:val="21"/>
                      <w:u w:val="none"/>
                      <w:lang w:val="en-US" w:eastAsia="zh-CN"/>
                    </w:rPr>
                    <w:t>高炉煤气</w:t>
                  </w:r>
                </w:p>
              </w:tc>
              <w:tc>
                <w:tcPr>
                  <w:tcW w:w="1925" w:type="dxa"/>
                  <w:vAlign w:val="center"/>
                </w:tcPr>
                <w:p w14:paraId="46061DCD">
                  <w:pPr>
                    <w:widowControl/>
                    <w:spacing w:line="240" w:lineRule="exact"/>
                    <w:ind w:left="0" w:leftChars="0" w:right="0" w:rightChars="0" w:firstLine="0" w:firstLineChars="0"/>
                    <w:jc w:val="center"/>
                    <w:rPr>
                      <w:rFonts w:hint="eastAsia" w:eastAsia="宋体"/>
                      <w:sz w:val="21"/>
                      <w:szCs w:val="21"/>
                      <w:u w:val="none"/>
                    </w:rPr>
                  </w:pPr>
                  <w:r>
                    <w:rPr>
                      <w:rFonts w:hint="eastAsia"/>
                      <w:szCs w:val="21"/>
                      <w:lang w:val="en-US" w:eastAsia="zh-CN"/>
                    </w:rPr>
                    <w:t>本项目</w:t>
                  </w:r>
                  <w:r>
                    <w:rPr>
                      <w:rFonts w:hint="eastAsia"/>
                      <w:szCs w:val="21"/>
                    </w:rPr>
                    <w:t>高炉煤气均由盛隆公司供气管道供应</w:t>
                  </w:r>
                </w:p>
              </w:tc>
              <w:tc>
                <w:tcPr>
                  <w:tcW w:w="5177" w:type="dxa"/>
                  <w:vAlign w:val="center"/>
                </w:tcPr>
                <w:p w14:paraId="3F4C541E">
                  <w:pPr>
                    <w:widowControl/>
                    <w:spacing w:line="240" w:lineRule="exact"/>
                    <w:ind w:left="0" w:leftChars="0" w:right="0" w:rightChars="0" w:firstLine="0" w:firstLineChars="0"/>
                    <w:jc w:val="center"/>
                    <w:rPr>
                      <w:rFonts w:hint="default" w:eastAsia="宋体"/>
                      <w:sz w:val="21"/>
                      <w:szCs w:val="21"/>
                      <w:u w:val="none"/>
                      <w:lang w:val="en-US" w:eastAsia="zh-CN"/>
                    </w:rPr>
                  </w:pPr>
                  <w:r>
                    <w:rPr>
                      <w:rFonts w:hint="default" w:eastAsia="宋体"/>
                      <w:sz w:val="21"/>
                      <w:szCs w:val="21"/>
                      <w:u w:val="none"/>
                      <w:lang w:val="en-US" w:eastAsia="zh-CN"/>
                    </w:rPr>
                    <w:t>本项目运营过</w:t>
                  </w:r>
                  <w:r>
                    <w:rPr>
                      <w:rFonts w:hint="eastAsia"/>
                      <w:sz w:val="21"/>
                      <w:szCs w:val="21"/>
                      <w:u w:val="none"/>
                      <w:lang w:val="en-US" w:eastAsia="zh-CN"/>
                    </w:rPr>
                    <w:t>程中</w:t>
                  </w:r>
                  <w:r>
                    <w:rPr>
                      <w:rFonts w:hint="default" w:eastAsia="宋体"/>
                      <w:sz w:val="21"/>
                      <w:szCs w:val="21"/>
                      <w:u w:val="none"/>
                      <w:lang w:val="en-US" w:eastAsia="zh-CN"/>
                    </w:rPr>
                    <w:t>使用的高炉煤气均由盛隆公司供气管道供应，根据建设单位提供材料，目前盛隆公司全厂高炉煤气发生量为1847280万Nm³/a，经过焦化工序、烧结工序、炼铁工序、炼钢工序等使用后仍有剩余。本项目高炉煤气使用量较少，年使用量约为11160万Nm³/a，盛隆公司剩余煤气可满足本项目生产需求</w:t>
                  </w:r>
                  <w:r>
                    <w:rPr>
                      <w:rFonts w:hint="eastAsia"/>
                      <w:sz w:val="21"/>
                      <w:szCs w:val="21"/>
                      <w:u w:val="none"/>
                      <w:lang w:val="en-US" w:eastAsia="zh-CN"/>
                    </w:rPr>
                    <w:t>。</w:t>
                  </w:r>
                </w:p>
              </w:tc>
            </w:tr>
            <w:tr w14:paraId="3110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Align w:val="center"/>
                </w:tcPr>
                <w:p w14:paraId="323B95D8">
                  <w:pPr>
                    <w:widowControl/>
                    <w:spacing w:line="240" w:lineRule="exact"/>
                    <w:ind w:left="0" w:leftChars="0" w:right="0" w:rightChars="0" w:firstLine="0" w:firstLineChars="0"/>
                    <w:jc w:val="center"/>
                    <w:rPr>
                      <w:rFonts w:hint="eastAsia" w:eastAsia="宋体"/>
                      <w:sz w:val="21"/>
                      <w:szCs w:val="21"/>
                      <w:u w:val="none"/>
                    </w:rPr>
                  </w:pPr>
                  <w:r>
                    <w:rPr>
                      <w:rFonts w:hint="eastAsia"/>
                      <w:szCs w:val="21"/>
                    </w:rPr>
                    <w:t>污水处理系统</w:t>
                  </w:r>
                </w:p>
              </w:tc>
              <w:tc>
                <w:tcPr>
                  <w:tcW w:w="1925" w:type="dxa"/>
                  <w:vAlign w:val="center"/>
                </w:tcPr>
                <w:p w14:paraId="072AF14F">
                  <w:pPr>
                    <w:widowControl/>
                    <w:spacing w:line="240" w:lineRule="exact"/>
                    <w:ind w:left="0" w:leftChars="0" w:right="0" w:rightChars="0" w:firstLine="0" w:firstLineChars="0"/>
                    <w:jc w:val="center"/>
                    <w:rPr>
                      <w:rFonts w:hint="eastAsia" w:eastAsia="宋体"/>
                      <w:sz w:val="21"/>
                      <w:szCs w:val="21"/>
                      <w:u w:val="none"/>
                    </w:rPr>
                  </w:pPr>
                  <w:r>
                    <w:rPr>
                      <w:rFonts w:hint="eastAsia"/>
                      <w:szCs w:val="21"/>
                    </w:rPr>
                    <w:t>本项目</w:t>
                  </w:r>
                  <w:r>
                    <w:rPr>
                      <w:rFonts w:hint="eastAsia"/>
                      <w:szCs w:val="21"/>
                      <w:lang w:val="en-US" w:eastAsia="zh-CN"/>
                    </w:rPr>
                    <w:t>无新增生活污水，项目运营</w:t>
                  </w:r>
                  <w:r>
                    <w:rPr>
                      <w:rFonts w:hint="eastAsia"/>
                      <w:szCs w:val="21"/>
                    </w:rPr>
                    <w:t>所产生的</w:t>
                  </w:r>
                  <w:r>
                    <w:rPr>
                      <w:rFonts w:hint="eastAsia"/>
                      <w:szCs w:val="21"/>
                      <w:lang w:val="en-US" w:eastAsia="zh-CN"/>
                    </w:rPr>
                    <w:t>生产</w:t>
                  </w:r>
                  <w:r>
                    <w:rPr>
                      <w:rFonts w:hint="eastAsia"/>
                      <w:szCs w:val="21"/>
                    </w:rPr>
                    <w:t>废水均经管道收集进入盛隆公司污水处理系统处理后全部循环利用</w:t>
                  </w:r>
                </w:p>
              </w:tc>
              <w:tc>
                <w:tcPr>
                  <w:tcW w:w="5177" w:type="dxa"/>
                  <w:vAlign w:val="center"/>
                </w:tcPr>
                <w:p w14:paraId="4A44E857">
                  <w:pPr>
                    <w:widowControl/>
                    <w:spacing w:line="240" w:lineRule="exact"/>
                    <w:ind w:left="0" w:leftChars="0" w:right="0" w:rightChars="0" w:firstLine="0" w:firstLineChars="0"/>
                    <w:jc w:val="center"/>
                    <w:rPr>
                      <w:rFonts w:hint="default" w:eastAsia="宋体"/>
                      <w:sz w:val="21"/>
                      <w:szCs w:val="21"/>
                      <w:u w:val="none"/>
                      <w:lang w:val="en-US" w:eastAsia="zh-CN"/>
                    </w:rPr>
                  </w:pPr>
                  <w:r>
                    <w:rPr>
                      <w:rFonts w:hint="default" w:eastAsia="宋体"/>
                      <w:sz w:val="21"/>
                      <w:szCs w:val="21"/>
                      <w:u w:val="none"/>
                      <w:lang w:val="en-US" w:eastAsia="zh-CN"/>
                    </w:rPr>
                    <w:t>本项目生产废水依托原有3#焦化废水处理站，</w:t>
                  </w:r>
                  <w:r>
                    <w:rPr>
                      <w:rFonts w:hint="eastAsia"/>
                      <w:sz w:val="21"/>
                      <w:szCs w:val="21"/>
                      <w:u w:val="none"/>
                      <w:lang w:val="en-US" w:eastAsia="zh-CN"/>
                    </w:rPr>
                    <w:t>根据建设单位提供资料，原有3#焦化废水处理站的富余量约为30m</w:t>
                  </w:r>
                  <w:r>
                    <w:rPr>
                      <w:rFonts w:hint="eastAsia"/>
                      <w:sz w:val="21"/>
                      <w:szCs w:val="21"/>
                      <w:u w:val="none"/>
                      <w:vertAlign w:val="superscript"/>
                      <w:lang w:val="en-US" w:eastAsia="zh-CN"/>
                    </w:rPr>
                    <w:t>3</w:t>
                  </w:r>
                  <w:r>
                    <w:rPr>
                      <w:rFonts w:hint="eastAsia"/>
                      <w:sz w:val="21"/>
                      <w:szCs w:val="21"/>
                      <w:u w:val="none"/>
                      <w:lang w:val="en-US" w:eastAsia="zh-CN"/>
                    </w:rPr>
                    <w:t>/h，本项目废水排放量为4.17m</w:t>
                  </w:r>
                  <w:r>
                    <w:rPr>
                      <w:rFonts w:hint="eastAsia"/>
                      <w:sz w:val="21"/>
                      <w:szCs w:val="21"/>
                      <w:u w:val="none"/>
                      <w:vertAlign w:val="superscript"/>
                      <w:lang w:val="en-US" w:eastAsia="zh-CN"/>
                    </w:rPr>
                    <w:t>3</w:t>
                  </w:r>
                  <w:r>
                    <w:rPr>
                      <w:rFonts w:hint="eastAsia"/>
                      <w:sz w:val="21"/>
                      <w:szCs w:val="21"/>
                      <w:u w:val="none"/>
                      <w:lang w:val="en-US" w:eastAsia="zh-CN"/>
                    </w:rPr>
                    <w:t>/h，废水排放量较小，因此本项目废水水量不会对废水处理系统造成影响，原有3#焦化废水处理站处理能力满足废水处理要求。</w:t>
                  </w:r>
                </w:p>
              </w:tc>
            </w:tr>
            <w:tr w14:paraId="33CD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Align w:val="center"/>
                </w:tcPr>
                <w:p w14:paraId="581CFC21">
                  <w:pPr>
                    <w:widowControl/>
                    <w:spacing w:line="240" w:lineRule="exact"/>
                    <w:ind w:left="0" w:leftChars="0" w:right="0" w:rightChars="0" w:firstLine="0" w:firstLineChars="0"/>
                    <w:jc w:val="center"/>
                    <w:rPr>
                      <w:rFonts w:hint="default" w:eastAsia="宋体"/>
                      <w:sz w:val="21"/>
                      <w:szCs w:val="21"/>
                      <w:u w:val="none"/>
                      <w:lang w:val="en-US" w:eastAsia="zh-CN"/>
                    </w:rPr>
                  </w:pPr>
                  <w:r>
                    <w:rPr>
                      <w:rFonts w:hint="eastAsia"/>
                      <w:sz w:val="21"/>
                      <w:szCs w:val="21"/>
                      <w:u w:val="none"/>
                      <w:lang w:val="en-US" w:eastAsia="zh-CN"/>
                    </w:rPr>
                    <w:t>危废暂存间</w:t>
                  </w:r>
                </w:p>
              </w:tc>
              <w:tc>
                <w:tcPr>
                  <w:tcW w:w="1925" w:type="dxa"/>
                  <w:vAlign w:val="center"/>
                </w:tcPr>
                <w:p w14:paraId="722A8D77">
                  <w:pPr>
                    <w:widowControl/>
                    <w:spacing w:line="240" w:lineRule="exact"/>
                    <w:ind w:left="0" w:leftChars="0" w:right="0" w:rightChars="0" w:firstLine="0" w:firstLineChars="0"/>
                    <w:jc w:val="center"/>
                    <w:rPr>
                      <w:rFonts w:hint="eastAsia" w:eastAsia="宋体"/>
                      <w:sz w:val="21"/>
                      <w:szCs w:val="21"/>
                      <w:u w:val="none"/>
                    </w:rPr>
                  </w:pPr>
                  <w:r>
                    <w:rPr>
                      <w:rFonts w:hint="eastAsia"/>
                      <w:szCs w:val="21"/>
                      <w:lang w:val="en-US" w:eastAsia="zh-CN"/>
                    </w:rPr>
                    <w:t>危险废物经收集后依托厂区现有危废暂存间，定期交有资质单位处理</w:t>
                  </w:r>
                </w:p>
              </w:tc>
              <w:tc>
                <w:tcPr>
                  <w:tcW w:w="5177" w:type="dxa"/>
                  <w:vAlign w:val="center"/>
                </w:tcPr>
                <w:p w14:paraId="27F018FD">
                  <w:pPr>
                    <w:widowControl/>
                    <w:spacing w:line="240" w:lineRule="exact"/>
                    <w:ind w:left="0" w:leftChars="0" w:right="0" w:rightChars="0" w:firstLine="0" w:firstLineChars="0"/>
                    <w:jc w:val="center"/>
                    <w:rPr>
                      <w:rFonts w:hint="default" w:eastAsia="宋体"/>
                      <w:sz w:val="21"/>
                      <w:szCs w:val="21"/>
                      <w:u w:val="none"/>
                      <w:lang w:val="en-US" w:eastAsia="zh-CN"/>
                    </w:rPr>
                  </w:pPr>
                  <w:r>
                    <w:rPr>
                      <w:rFonts w:hint="default" w:eastAsia="宋体"/>
                      <w:sz w:val="21"/>
                      <w:szCs w:val="21"/>
                      <w:u w:val="none"/>
                      <w:lang w:val="en-US" w:eastAsia="zh-CN"/>
                    </w:rPr>
                    <w:t>危险废物暂存依托现有危废暂存间</w:t>
                  </w:r>
                  <w:r>
                    <w:rPr>
                      <w:rFonts w:hint="eastAsia"/>
                      <w:sz w:val="21"/>
                      <w:szCs w:val="21"/>
                      <w:u w:val="none"/>
                      <w:lang w:val="en-US" w:eastAsia="zh-CN"/>
                    </w:rPr>
                    <w:t>，根据建设单位提供资料，厂区现有危废间主要暂存废油，暂存周期不长，剩余暂存面积在35m</w:t>
                  </w:r>
                  <w:r>
                    <w:rPr>
                      <w:rFonts w:hint="eastAsia"/>
                      <w:sz w:val="21"/>
                      <w:szCs w:val="21"/>
                      <w:u w:val="none"/>
                      <w:vertAlign w:val="superscript"/>
                      <w:lang w:val="en-US" w:eastAsia="zh-CN"/>
                    </w:rPr>
                    <w:t>2</w:t>
                  </w:r>
                  <w:r>
                    <w:rPr>
                      <w:rFonts w:hint="eastAsia"/>
                      <w:sz w:val="21"/>
                      <w:szCs w:val="21"/>
                      <w:u w:val="none"/>
                      <w:lang w:val="en-US" w:eastAsia="zh-CN"/>
                    </w:rPr>
                    <w:t>以上，本项目短期贮存在危废暂存间的危险废物量约为0.21t，暂存面积约为3m</w:t>
                  </w:r>
                  <w:r>
                    <w:rPr>
                      <w:rFonts w:hint="eastAsia"/>
                      <w:sz w:val="21"/>
                      <w:szCs w:val="21"/>
                      <w:u w:val="none"/>
                      <w:vertAlign w:val="superscript"/>
                      <w:lang w:val="en-US" w:eastAsia="zh-CN"/>
                    </w:rPr>
                    <w:t>2</w:t>
                  </w:r>
                  <w:r>
                    <w:rPr>
                      <w:rFonts w:hint="eastAsia"/>
                      <w:sz w:val="21"/>
                      <w:szCs w:val="21"/>
                      <w:u w:val="none"/>
                      <w:lang w:val="en-US" w:eastAsia="zh-CN"/>
                    </w:rPr>
                    <w:t>左右，剩余暂存面积可以满足扩建项目危险废物暂存的要求。</w:t>
                  </w:r>
                </w:p>
              </w:tc>
            </w:tr>
          </w:tbl>
          <w:p w14:paraId="585326D9">
            <w:pPr>
              <w:spacing w:line="500" w:lineRule="atLeast"/>
              <w:ind w:firstLine="482" w:firstLineChars="200"/>
              <w:rPr>
                <w:b/>
                <w:sz w:val="24"/>
              </w:rPr>
            </w:pPr>
            <w:r>
              <w:rPr>
                <w:rFonts w:hint="eastAsia"/>
                <w:b/>
                <w:sz w:val="24"/>
                <w:lang w:val="en-US" w:eastAsia="zh-CN"/>
              </w:rPr>
              <w:t>4</w:t>
            </w:r>
            <w:r>
              <w:rPr>
                <w:rFonts w:hint="eastAsia"/>
                <w:b/>
                <w:sz w:val="24"/>
              </w:rPr>
              <w:t>、项目产品方案及各生产线产能情况</w:t>
            </w:r>
          </w:p>
          <w:p w14:paraId="667422C8">
            <w:pPr>
              <w:spacing w:line="500" w:lineRule="atLeast"/>
              <w:ind w:firstLine="480" w:firstLineChars="200"/>
              <w:rPr>
                <w:sz w:val="24"/>
              </w:rPr>
            </w:pPr>
            <w:r>
              <w:rPr>
                <w:rFonts w:hint="eastAsia"/>
                <w:sz w:val="24"/>
              </w:rPr>
              <w:t>项目产品方案及各生产线产能情况详见表2-</w:t>
            </w:r>
            <w:r>
              <w:rPr>
                <w:rFonts w:hint="eastAsia"/>
                <w:sz w:val="24"/>
                <w:lang w:val="en-US" w:eastAsia="zh-CN"/>
              </w:rPr>
              <w:t>3</w:t>
            </w:r>
            <w:r>
              <w:rPr>
                <w:rFonts w:hint="eastAsia"/>
                <w:sz w:val="24"/>
              </w:rPr>
              <w:t>。</w:t>
            </w:r>
          </w:p>
          <w:p w14:paraId="64951D2B">
            <w:pPr>
              <w:pStyle w:val="48"/>
              <w:numPr>
                <w:ilvl w:val="2"/>
                <w:numId w:val="2"/>
              </w:numPr>
              <w:spacing w:line="500" w:lineRule="atLeast"/>
              <w:ind w:firstLineChars="0"/>
              <w:jc w:val="center"/>
              <w:rPr>
                <w:b/>
                <w:sz w:val="24"/>
              </w:rPr>
            </w:pPr>
            <w:r>
              <w:rPr>
                <w:rFonts w:hint="eastAsia"/>
                <w:b/>
                <w:sz w:val="24"/>
              </w:rPr>
              <w:t>项目产品方案及各生产线产能情况一览表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0"/>
              <w:gridCol w:w="1079"/>
              <w:gridCol w:w="1526"/>
              <w:gridCol w:w="1139"/>
              <w:gridCol w:w="1988"/>
              <w:gridCol w:w="1051"/>
            </w:tblGrid>
            <w:tr w14:paraId="5C91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Align w:val="center"/>
                </w:tcPr>
                <w:p w14:paraId="1F598C38">
                  <w:pPr>
                    <w:jc w:val="center"/>
                    <w:rPr>
                      <w:color w:val="000000"/>
                      <w:szCs w:val="21"/>
                    </w:rPr>
                  </w:pPr>
                  <w:r>
                    <w:rPr>
                      <w:color w:val="000000"/>
                      <w:szCs w:val="21"/>
                    </w:rPr>
                    <w:t>序号</w:t>
                  </w:r>
                </w:p>
              </w:tc>
              <w:tc>
                <w:tcPr>
                  <w:tcW w:w="862" w:type="dxa"/>
                  <w:vAlign w:val="center"/>
                </w:tcPr>
                <w:p w14:paraId="34D685F3">
                  <w:pPr>
                    <w:jc w:val="center"/>
                    <w:rPr>
                      <w:color w:val="000000"/>
                      <w:szCs w:val="21"/>
                    </w:rPr>
                  </w:pPr>
                  <w:r>
                    <w:rPr>
                      <w:rFonts w:hint="eastAsia"/>
                      <w:color w:val="000000"/>
                      <w:szCs w:val="21"/>
                    </w:rPr>
                    <w:t>生产线</w:t>
                  </w:r>
                </w:p>
              </w:tc>
              <w:tc>
                <w:tcPr>
                  <w:tcW w:w="1080" w:type="dxa"/>
                  <w:vAlign w:val="center"/>
                </w:tcPr>
                <w:p w14:paraId="3DB403C7">
                  <w:pPr>
                    <w:jc w:val="center"/>
                    <w:rPr>
                      <w:color w:val="000000"/>
                      <w:szCs w:val="21"/>
                    </w:rPr>
                  </w:pPr>
                  <w:r>
                    <w:rPr>
                      <w:rFonts w:hint="eastAsia"/>
                      <w:color w:val="000000"/>
                      <w:szCs w:val="21"/>
                      <w:lang w:val="en-US" w:eastAsia="zh-CN"/>
                    </w:rPr>
                    <w:t>年处置能力</w:t>
                  </w:r>
                  <w:r>
                    <w:rPr>
                      <w:rFonts w:hint="eastAsia"/>
                      <w:color w:val="000000"/>
                      <w:szCs w:val="21"/>
                    </w:rPr>
                    <w:t>（t/a）</w:t>
                  </w:r>
                </w:p>
              </w:tc>
              <w:tc>
                <w:tcPr>
                  <w:tcW w:w="1530" w:type="dxa"/>
                  <w:vAlign w:val="center"/>
                </w:tcPr>
                <w:p w14:paraId="7C05D275">
                  <w:pPr>
                    <w:jc w:val="center"/>
                    <w:rPr>
                      <w:rFonts w:hint="eastAsia" w:eastAsia="宋体"/>
                      <w:color w:val="000000"/>
                      <w:szCs w:val="21"/>
                      <w:lang w:val="en-US" w:eastAsia="zh-CN"/>
                    </w:rPr>
                  </w:pPr>
                  <w:r>
                    <w:rPr>
                      <w:rFonts w:hint="eastAsia"/>
                      <w:color w:val="000000"/>
                      <w:szCs w:val="21"/>
                    </w:rPr>
                    <w:t>产品</w:t>
                  </w:r>
                  <w:r>
                    <w:rPr>
                      <w:rFonts w:hint="eastAsia"/>
                      <w:color w:val="000000"/>
                      <w:szCs w:val="21"/>
                      <w:lang w:val="en-US" w:eastAsia="zh-CN"/>
                    </w:rPr>
                    <w:t>名称</w:t>
                  </w:r>
                </w:p>
              </w:tc>
              <w:tc>
                <w:tcPr>
                  <w:tcW w:w="1140" w:type="dxa"/>
                  <w:vAlign w:val="center"/>
                </w:tcPr>
                <w:p w14:paraId="137B05BA">
                  <w:pPr>
                    <w:jc w:val="center"/>
                    <w:rPr>
                      <w:rFonts w:hint="eastAsia" w:eastAsia="宋体"/>
                      <w:color w:val="000000"/>
                      <w:szCs w:val="21"/>
                      <w:lang w:val="en-US" w:eastAsia="zh-CN"/>
                    </w:rPr>
                  </w:pPr>
                  <w:r>
                    <w:rPr>
                      <w:rFonts w:hint="eastAsia"/>
                      <w:color w:val="000000"/>
                      <w:szCs w:val="21"/>
                      <w:lang w:val="en-US" w:eastAsia="zh-CN"/>
                    </w:rPr>
                    <w:t>产量（t/a）</w:t>
                  </w:r>
                </w:p>
              </w:tc>
              <w:tc>
                <w:tcPr>
                  <w:tcW w:w="1994" w:type="dxa"/>
                  <w:vAlign w:val="center"/>
                </w:tcPr>
                <w:p w14:paraId="2F4C84D2">
                  <w:pPr>
                    <w:jc w:val="center"/>
                    <w:rPr>
                      <w:rFonts w:hint="default"/>
                      <w:color w:val="000000"/>
                      <w:szCs w:val="21"/>
                      <w:lang w:val="en-US" w:eastAsia="zh-CN"/>
                    </w:rPr>
                  </w:pPr>
                  <w:r>
                    <w:rPr>
                      <w:rFonts w:hint="eastAsia"/>
                      <w:color w:val="000000"/>
                      <w:szCs w:val="21"/>
                      <w:lang w:val="en-US" w:eastAsia="zh-CN"/>
                    </w:rPr>
                    <w:t>去向</w:t>
                  </w:r>
                </w:p>
              </w:tc>
              <w:tc>
                <w:tcPr>
                  <w:tcW w:w="1052" w:type="dxa"/>
                  <w:vAlign w:val="center"/>
                </w:tcPr>
                <w:p w14:paraId="621A2E95">
                  <w:pPr>
                    <w:jc w:val="center"/>
                    <w:rPr>
                      <w:rFonts w:hint="default"/>
                      <w:color w:val="000000"/>
                      <w:szCs w:val="21"/>
                      <w:lang w:val="en-US" w:eastAsia="zh-CN"/>
                    </w:rPr>
                  </w:pPr>
                  <w:r>
                    <w:rPr>
                      <w:rFonts w:hint="eastAsia"/>
                      <w:color w:val="000000"/>
                      <w:szCs w:val="21"/>
                      <w:lang w:val="en-US" w:eastAsia="zh-CN"/>
                    </w:rPr>
                    <w:t>备注</w:t>
                  </w:r>
                </w:p>
              </w:tc>
            </w:tr>
            <w:tr w14:paraId="7A8D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Merge w:val="restart"/>
                  <w:vAlign w:val="center"/>
                </w:tcPr>
                <w:p w14:paraId="6268BA59">
                  <w:pPr>
                    <w:jc w:val="center"/>
                    <w:rPr>
                      <w:rFonts w:hint="eastAsia" w:eastAsia="宋体"/>
                      <w:color w:val="000000"/>
                      <w:szCs w:val="21"/>
                      <w:lang w:val="en-US" w:eastAsia="zh-CN"/>
                    </w:rPr>
                  </w:pPr>
                  <w:r>
                    <w:rPr>
                      <w:rFonts w:hint="eastAsia"/>
                      <w:color w:val="000000"/>
                      <w:szCs w:val="21"/>
                      <w:lang w:val="en-US" w:eastAsia="zh-CN"/>
                    </w:rPr>
                    <w:t>1</w:t>
                  </w:r>
                </w:p>
              </w:tc>
              <w:tc>
                <w:tcPr>
                  <w:tcW w:w="862" w:type="dxa"/>
                  <w:vMerge w:val="restart"/>
                  <w:vAlign w:val="center"/>
                </w:tcPr>
                <w:p w14:paraId="3604801F">
                  <w:pPr>
                    <w:jc w:val="center"/>
                    <w:rPr>
                      <w:rFonts w:hint="eastAsia"/>
                      <w:color w:val="000000"/>
                      <w:szCs w:val="21"/>
                    </w:rPr>
                  </w:pPr>
                  <w:r>
                    <w:rPr>
                      <w:rFonts w:hint="eastAsia"/>
                      <w:color w:val="000000"/>
                      <w:szCs w:val="21"/>
                      <w:lang w:val="en-US" w:eastAsia="zh-CN"/>
                    </w:rPr>
                    <w:t>转窑脱锌生产线</w:t>
                  </w:r>
                </w:p>
              </w:tc>
              <w:tc>
                <w:tcPr>
                  <w:tcW w:w="1080" w:type="dxa"/>
                  <w:vMerge w:val="restart"/>
                  <w:vAlign w:val="center"/>
                </w:tcPr>
                <w:p w14:paraId="29C54221">
                  <w:pPr>
                    <w:jc w:val="center"/>
                    <w:rPr>
                      <w:rFonts w:hint="default" w:eastAsia="宋体"/>
                      <w:color w:val="000000"/>
                      <w:szCs w:val="21"/>
                      <w:lang w:val="en-US" w:eastAsia="zh-CN"/>
                    </w:rPr>
                  </w:pPr>
                  <w:r>
                    <w:rPr>
                      <w:rFonts w:hint="eastAsia"/>
                      <w:color w:val="000000"/>
                      <w:szCs w:val="21"/>
                      <w:lang w:val="en-US" w:eastAsia="zh-CN"/>
                    </w:rPr>
                    <w:t>20万</w:t>
                  </w:r>
                </w:p>
              </w:tc>
              <w:tc>
                <w:tcPr>
                  <w:tcW w:w="1530" w:type="dxa"/>
                  <w:vAlign w:val="center"/>
                </w:tcPr>
                <w:p w14:paraId="4D6A8662">
                  <w:pPr>
                    <w:jc w:val="center"/>
                    <w:rPr>
                      <w:rFonts w:hint="eastAsia" w:eastAsia="宋体"/>
                      <w:color w:val="000000"/>
                      <w:szCs w:val="21"/>
                      <w:lang w:val="en-US" w:eastAsia="zh-CN"/>
                    </w:rPr>
                  </w:pPr>
                  <w:r>
                    <w:rPr>
                      <w:rFonts w:hint="eastAsia"/>
                      <w:color w:val="000000"/>
                      <w:szCs w:val="21"/>
                      <w:lang w:val="en-US" w:eastAsia="zh-CN"/>
                    </w:rPr>
                    <w:t>窑渣</w:t>
                  </w:r>
                </w:p>
              </w:tc>
              <w:tc>
                <w:tcPr>
                  <w:tcW w:w="1140" w:type="dxa"/>
                  <w:vAlign w:val="center"/>
                </w:tcPr>
                <w:p w14:paraId="5499CB97">
                  <w:pPr>
                    <w:jc w:val="center"/>
                    <w:rPr>
                      <w:rFonts w:hint="default" w:eastAsia="宋体"/>
                      <w:color w:val="000000"/>
                      <w:szCs w:val="21"/>
                      <w:lang w:val="en-US" w:eastAsia="zh-CN"/>
                    </w:rPr>
                  </w:pPr>
                  <w:r>
                    <w:rPr>
                      <w:rFonts w:hint="eastAsia"/>
                      <w:color w:val="000000"/>
                      <w:szCs w:val="21"/>
                      <w:lang w:val="en-US" w:eastAsia="zh-CN"/>
                    </w:rPr>
                    <w:t>9.69万</w:t>
                  </w:r>
                </w:p>
              </w:tc>
              <w:tc>
                <w:tcPr>
                  <w:tcW w:w="1994" w:type="dxa"/>
                  <w:vAlign w:val="center"/>
                </w:tcPr>
                <w:p w14:paraId="24AF1296">
                  <w:pPr>
                    <w:jc w:val="center"/>
                    <w:rPr>
                      <w:rFonts w:hint="default"/>
                      <w:color w:val="000000"/>
                      <w:szCs w:val="21"/>
                      <w:lang w:val="en-US" w:eastAsia="zh-CN"/>
                    </w:rPr>
                  </w:pPr>
                  <w:r>
                    <w:rPr>
                      <w:rFonts w:hint="eastAsia"/>
                      <w:color w:val="000000"/>
                      <w:szCs w:val="21"/>
                      <w:lang w:val="en-US" w:eastAsia="zh-CN"/>
                    </w:rPr>
                    <w:t>返回盛隆综合利用</w:t>
                  </w:r>
                </w:p>
              </w:tc>
              <w:tc>
                <w:tcPr>
                  <w:tcW w:w="1052" w:type="dxa"/>
                  <w:vAlign w:val="center"/>
                </w:tcPr>
                <w:p w14:paraId="342F2564">
                  <w:pPr>
                    <w:jc w:val="center"/>
                    <w:rPr>
                      <w:rFonts w:hint="default"/>
                      <w:color w:val="000000"/>
                      <w:szCs w:val="21"/>
                      <w:lang w:val="en-US" w:eastAsia="zh-CN"/>
                    </w:rPr>
                  </w:pPr>
                  <w:r>
                    <w:rPr>
                      <w:rFonts w:hint="eastAsia"/>
                      <w:color w:val="000000"/>
                      <w:szCs w:val="21"/>
                      <w:lang w:val="en-US" w:eastAsia="zh-CN"/>
                    </w:rPr>
                    <w:t>主产品</w:t>
                  </w:r>
                </w:p>
              </w:tc>
            </w:tr>
            <w:tr w14:paraId="6810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Merge w:val="continue"/>
                  <w:vAlign w:val="center"/>
                </w:tcPr>
                <w:p w14:paraId="3B088F3F">
                  <w:pPr>
                    <w:jc w:val="center"/>
                    <w:rPr>
                      <w:rFonts w:hint="eastAsia"/>
                      <w:color w:val="000000"/>
                      <w:szCs w:val="21"/>
                      <w:lang w:val="en-US" w:eastAsia="zh-CN"/>
                    </w:rPr>
                  </w:pPr>
                </w:p>
              </w:tc>
              <w:tc>
                <w:tcPr>
                  <w:tcW w:w="862" w:type="dxa"/>
                  <w:vMerge w:val="continue"/>
                  <w:vAlign w:val="center"/>
                </w:tcPr>
                <w:p w14:paraId="436D3325">
                  <w:pPr>
                    <w:jc w:val="center"/>
                    <w:rPr>
                      <w:rFonts w:hint="eastAsia"/>
                      <w:color w:val="000000"/>
                      <w:szCs w:val="21"/>
                      <w:lang w:val="en-US" w:eastAsia="zh-CN"/>
                    </w:rPr>
                  </w:pPr>
                </w:p>
              </w:tc>
              <w:tc>
                <w:tcPr>
                  <w:tcW w:w="1080" w:type="dxa"/>
                  <w:vMerge w:val="continue"/>
                  <w:vAlign w:val="center"/>
                </w:tcPr>
                <w:p w14:paraId="70DAF8F0">
                  <w:pPr>
                    <w:jc w:val="center"/>
                    <w:rPr>
                      <w:rFonts w:hint="eastAsia"/>
                      <w:color w:val="000000"/>
                      <w:szCs w:val="21"/>
                      <w:lang w:val="en-US" w:eastAsia="zh-CN"/>
                    </w:rPr>
                  </w:pPr>
                </w:p>
              </w:tc>
              <w:tc>
                <w:tcPr>
                  <w:tcW w:w="1530" w:type="dxa"/>
                  <w:vAlign w:val="center"/>
                </w:tcPr>
                <w:p w14:paraId="290E7B9B">
                  <w:pPr>
                    <w:jc w:val="center"/>
                    <w:rPr>
                      <w:rFonts w:hint="default"/>
                      <w:color w:val="000000"/>
                      <w:szCs w:val="21"/>
                      <w:lang w:val="en-US" w:eastAsia="zh-CN"/>
                    </w:rPr>
                  </w:pPr>
                  <w:r>
                    <w:rPr>
                      <w:rFonts w:hint="eastAsia"/>
                      <w:color w:val="000000"/>
                      <w:szCs w:val="21"/>
                      <w:lang w:val="en-US" w:eastAsia="zh-CN"/>
                    </w:rPr>
                    <w:t>次氧化锌粉</w:t>
                  </w:r>
                </w:p>
              </w:tc>
              <w:tc>
                <w:tcPr>
                  <w:tcW w:w="1140" w:type="dxa"/>
                  <w:vAlign w:val="center"/>
                </w:tcPr>
                <w:p w14:paraId="7F29A988">
                  <w:pPr>
                    <w:jc w:val="center"/>
                    <w:rPr>
                      <w:rFonts w:hint="default" w:eastAsia="宋体"/>
                      <w:color w:val="000000"/>
                      <w:szCs w:val="21"/>
                      <w:lang w:val="en-US" w:eastAsia="zh-CN"/>
                    </w:rPr>
                  </w:pPr>
                  <w:r>
                    <w:rPr>
                      <w:rFonts w:hint="eastAsia"/>
                      <w:color w:val="000000"/>
                      <w:szCs w:val="21"/>
                      <w:lang w:val="en-US" w:eastAsia="zh-CN"/>
                    </w:rPr>
                    <w:t>0.76万</w:t>
                  </w:r>
                </w:p>
              </w:tc>
              <w:tc>
                <w:tcPr>
                  <w:tcW w:w="1994" w:type="dxa"/>
                  <w:vAlign w:val="center"/>
                </w:tcPr>
                <w:p w14:paraId="1BB2676E">
                  <w:pPr>
                    <w:jc w:val="center"/>
                    <w:rPr>
                      <w:rFonts w:hint="default"/>
                      <w:color w:val="000000"/>
                      <w:szCs w:val="21"/>
                      <w:lang w:val="en-US" w:eastAsia="zh-CN"/>
                    </w:rPr>
                  </w:pPr>
                  <w:r>
                    <w:rPr>
                      <w:rFonts w:hint="eastAsia"/>
                      <w:color w:val="000000"/>
                      <w:szCs w:val="21"/>
                      <w:lang w:val="en-US" w:eastAsia="zh-CN"/>
                    </w:rPr>
                    <w:t>外售</w:t>
                  </w:r>
                </w:p>
              </w:tc>
              <w:tc>
                <w:tcPr>
                  <w:tcW w:w="1052" w:type="dxa"/>
                  <w:vAlign w:val="center"/>
                </w:tcPr>
                <w:p w14:paraId="6A5C4EDA">
                  <w:pPr>
                    <w:jc w:val="center"/>
                    <w:rPr>
                      <w:rFonts w:hint="default"/>
                      <w:color w:val="000000"/>
                      <w:szCs w:val="21"/>
                      <w:lang w:val="en-US" w:eastAsia="zh-CN"/>
                    </w:rPr>
                  </w:pPr>
                  <w:r>
                    <w:rPr>
                      <w:rFonts w:hint="eastAsia"/>
                      <w:color w:val="000000"/>
                      <w:szCs w:val="21"/>
                      <w:lang w:val="en-US" w:eastAsia="zh-CN"/>
                    </w:rPr>
                    <w:t>副产品</w:t>
                  </w:r>
                </w:p>
              </w:tc>
            </w:tr>
            <w:tr w14:paraId="6048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vMerge w:val="continue"/>
                  <w:vAlign w:val="center"/>
                </w:tcPr>
                <w:p w14:paraId="53A52934">
                  <w:pPr>
                    <w:jc w:val="center"/>
                    <w:rPr>
                      <w:rFonts w:hint="eastAsia"/>
                      <w:color w:val="000000"/>
                      <w:szCs w:val="21"/>
                      <w:lang w:val="en-US" w:eastAsia="zh-CN"/>
                    </w:rPr>
                  </w:pPr>
                </w:p>
              </w:tc>
              <w:tc>
                <w:tcPr>
                  <w:tcW w:w="862" w:type="dxa"/>
                  <w:vMerge w:val="continue"/>
                  <w:vAlign w:val="center"/>
                </w:tcPr>
                <w:p w14:paraId="092ACCB6">
                  <w:pPr>
                    <w:jc w:val="center"/>
                    <w:rPr>
                      <w:rFonts w:hint="eastAsia"/>
                      <w:color w:val="000000"/>
                      <w:szCs w:val="21"/>
                      <w:lang w:val="en-US" w:eastAsia="zh-CN"/>
                    </w:rPr>
                  </w:pPr>
                </w:p>
              </w:tc>
              <w:tc>
                <w:tcPr>
                  <w:tcW w:w="1080" w:type="dxa"/>
                  <w:vMerge w:val="continue"/>
                  <w:vAlign w:val="center"/>
                </w:tcPr>
                <w:p w14:paraId="4E0E258A">
                  <w:pPr>
                    <w:jc w:val="center"/>
                    <w:rPr>
                      <w:rFonts w:hint="eastAsia"/>
                      <w:color w:val="000000"/>
                      <w:szCs w:val="21"/>
                      <w:lang w:val="en-US" w:eastAsia="zh-CN"/>
                    </w:rPr>
                  </w:pPr>
                </w:p>
              </w:tc>
              <w:tc>
                <w:tcPr>
                  <w:tcW w:w="1530" w:type="dxa"/>
                  <w:vAlign w:val="center"/>
                </w:tcPr>
                <w:p w14:paraId="3562A782">
                  <w:pPr>
                    <w:jc w:val="center"/>
                    <w:rPr>
                      <w:rFonts w:hint="default"/>
                      <w:color w:val="000000"/>
                      <w:szCs w:val="21"/>
                      <w:lang w:val="en-US" w:eastAsia="zh-CN"/>
                    </w:rPr>
                  </w:pPr>
                  <w:r>
                    <w:rPr>
                      <w:rFonts w:hint="eastAsia"/>
                      <w:color w:val="000000"/>
                      <w:szCs w:val="21"/>
                      <w:lang w:val="en-US" w:eastAsia="zh-CN"/>
                    </w:rPr>
                    <w:t>低压饱和蒸汽</w:t>
                  </w:r>
                </w:p>
              </w:tc>
              <w:tc>
                <w:tcPr>
                  <w:tcW w:w="1140" w:type="dxa"/>
                  <w:vAlign w:val="center"/>
                </w:tcPr>
                <w:p w14:paraId="0A52B8F1">
                  <w:pPr>
                    <w:jc w:val="center"/>
                    <w:rPr>
                      <w:rFonts w:hint="default" w:eastAsia="宋体"/>
                      <w:color w:val="000000"/>
                      <w:szCs w:val="21"/>
                      <w:lang w:val="en-US" w:eastAsia="zh-CN"/>
                    </w:rPr>
                  </w:pPr>
                  <w:r>
                    <w:rPr>
                      <w:rFonts w:hint="eastAsia"/>
                      <w:color w:val="000000"/>
                      <w:szCs w:val="21"/>
                      <w:lang w:val="en-US" w:eastAsia="zh-CN"/>
                    </w:rPr>
                    <w:t>11.16万</w:t>
                  </w:r>
                </w:p>
              </w:tc>
              <w:tc>
                <w:tcPr>
                  <w:tcW w:w="1994" w:type="dxa"/>
                  <w:vAlign w:val="center"/>
                </w:tcPr>
                <w:p w14:paraId="75D94B0B">
                  <w:pPr>
                    <w:jc w:val="center"/>
                    <w:rPr>
                      <w:rFonts w:hint="default"/>
                      <w:color w:val="000000"/>
                      <w:szCs w:val="21"/>
                      <w:lang w:val="en-US" w:eastAsia="zh-CN"/>
                    </w:rPr>
                  </w:pPr>
                  <w:r>
                    <w:rPr>
                      <w:rFonts w:hint="eastAsia"/>
                      <w:color w:val="000000"/>
                      <w:szCs w:val="21"/>
                      <w:lang w:val="en-US" w:eastAsia="zh-CN"/>
                    </w:rPr>
                    <w:t>返回厂区蒸汽管网使用及外售</w:t>
                  </w:r>
                </w:p>
              </w:tc>
              <w:tc>
                <w:tcPr>
                  <w:tcW w:w="1052" w:type="dxa"/>
                  <w:vAlign w:val="center"/>
                </w:tcPr>
                <w:p w14:paraId="509DC05E">
                  <w:pPr>
                    <w:jc w:val="center"/>
                    <w:rPr>
                      <w:rFonts w:hint="default"/>
                      <w:color w:val="000000"/>
                      <w:szCs w:val="21"/>
                      <w:lang w:val="en-US" w:eastAsia="zh-CN"/>
                    </w:rPr>
                  </w:pPr>
                  <w:r>
                    <w:rPr>
                      <w:rFonts w:hint="eastAsia"/>
                      <w:color w:val="000000"/>
                      <w:szCs w:val="21"/>
                      <w:lang w:val="en-US" w:eastAsia="zh-CN"/>
                    </w:rPr>
                    <w:t>副产品</w:t>
                  </w:r>
                </w:p>
              </w:tc>
            </w:tr>
          </w:tbl>
          <w:p w14:paraId="7D220FDB">
            <w:pPr>
              <w:spacing w:line="500" w:lineRule="atLeast"/>
              <w:ind w:firstLine="482" w:firstLineChars="200"/>
              <w:rPr>
                <w:b/>
                <w:sz w:val="24"/>
              </w:rPr>
            </w:pPr>
            <w:r>
              <w:rPr>
                <w:rFonts w:hint="eastAsia"/>
                <w:b/>
                <w:sz w:val="24"/>
                <w:lang w:val="en-US" w:eastAsia="zh-CN"/>
              </w:rPr>
              <w:t>5</w:t>
            </w:r>
            <w:r>
              <w:rPr>
                <w:rFonts w:hint="eastAsia"/>
                <w:b/>
                <w:sz w:val="24"/>
              </w:rPr>
              <w:t xml:space="preserve">、项目主要设备 </w:t>
            </w:r>
          </w:p>
          <w:p w14:paraId="739AAD4C">
            <w:pPr>
              <w:spacing w:line="500" w:lineRule="atLeast"/>
              <w:ind w:firstLine="480" w:firstLineChars="200"/>
              <w:rPr>
                <w:sz w:val="24"/>
              </w:rPr>
            </w:pPr>
            <w:r>
              <w:rPr>
                <w:rFonts w:hint="eastAsia"/>
                <w:sz w:val="24"/>
              </w:rPr>
              <w:t>项目主要设备清单详见表2-</w:t>
            </w:r>
            <w:r>
              <w:rPr>
                <w:rFonts w:hint="eastAsia"/>
                <w:sz w:val="24"/>
                <w:lang w:val="en-US" w:eastAsia="zh-CN"/>
              </w:rPr>
              <w:t>4</w:t>
            </w:r>
            <w:r>
              <w:rPr>
                <w:rFonts w:hint="eastAsia"/>
                <w:sz w:val="24"/>
              </w:rPr>
              <w:t>。</w:t>
            </w:r>
          </w:p>
          <w:p w14:paraId="7C7453B8">
            <w:pPr>
              <w:pStyle w:val="48"/>
              <w:numPr>
                <w:ilvl w:val="2"/>
                <w:numId w:val="2"/>
              </w:numPr>
              <w:spacing w:line="500" w:lineRule="atLeast"/>
              <w:ind w:firstLineChars="0"/>
              <w:jc w:val="center"/>
              <w:rPr>
                <w:b/>
                <w:sz w:val="24"/>
              </w:rPr>
            </w:pPr>
            <w:r>
              <w:rPr>
                <w:rFonts w:hint="eastAsia"/>
                <w:b/>
                <w:sz w:val="24"/>
              </w:rPr>
              <w:t>项目主要设备清单一览表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54"/>
              <w:gridCol w:w="1995"/>
              <w:gridCol w:w="855"/>
              <w:gridCol w:w="854"/>
              <w:gridCol w:w="1208"/>
            </w:tblGrid>
            <w:tr w14:paraId="3012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42F41C65">
                  <w:pPr>
                    <w:adjustRightInd w:val="0"/>
                    <w:snapToGrid w:val="0"/>
                    <w:jc w:val="center"/>
                    <w:rPr>
                      <w:bCs/>
                      <w:szCs w:val="21"/>
                    </w:rPr>
                  </w:pPr>
                  <w:r>
                    <w:rPr>
                      <w:bCs/>
                      <w:szCs w:val="21"/>
                    </w:rPr>
                    <w:t>序号</w:t>
                  </w:r>
                </w:p>
              </w:tc>
              <w:tc>
                <w:tcPr>
                  <w:tcW w:w="2454" w:type="dxa"/>
                  <w:vAlign w:val="center"/>
                </w:tcPr>
                <w:p w14:paraId="3112B2DB">
                  <w:pPr>
                    <w:adjustRightInd w:val="0"/>
                    <w:snapToGrid w:val="0"/>
                    <w:jc w:val="center"/>
                    <w:rPr>
                      <w:bCs/>
                      <w:szCs w:val="21"/>
                    </w:rPr>
                  </w:pPr>
                  <w:r>
                    <w:rPr>
                      <w:bCs/>
                      <w:szCs w:val="21"/>
                    </w:rPr>
                    <w:t>设备名称</w:t>
                  </w:r>
                </w:p>
              </w:tc>
              <w:tc>
                <w:tcPr>
                  <w:tcW w:w="1995" w:type="dxa"/>
                  <w:vAlign w:val="center"/>
                </w:tcPr>
                <w:p w14:paraId="553D846A">
                  <w:pPr>
                    <w:adjustRightInd w:val="0"/>
                    <w:snapToGrid w:val="0"/>
                    <w:jc w:val="center"/>
                    <w:rPr>
                      <w:bCs/>
                      <w:szCs w:val="21"/>
                    </w:rPr>
                  </w:pPr>
                  <w:r>
                    <w:rPr>
                      <w:bCs/>
                      <w:szCs w:val="21"/>
                    </w:rPr>
                    <w:t>型号</w:t>
                  </w:r>
                </w:p>
              </w:tc>
              <w:tc>
                <w:tcPr>
                  <w:tcW w:w="855" w:type="dxa"/>
                  <w:vAlign w:val="center"/>
                </w:tcPr>
                <w:p w14:paraId="2A1F5898">
                  <w:pPr>
                    <w:adjustRightInd w:val="0"/>
                    <w:snapToGrid w:val="0"/>
                    <w:jc w:val="center"/>
                    <w:rPr>
                      <w:bCs/>
                      <w:szCs w:val="21"/>
                    </w:rPr>
                  </w:pPr>
                  <w:r>
                    <w:rPr>
                      <w:bCs/>
                      <w:szCs w:val="21"/>
                    </w:rPr>
                    <w:t>单位</w:t>
                  </w:r>
                </w:p>
              </w:tc>
              <w:tc>
                <w:tcPr>
                  <w:tcW w:w="854" w:type="dxa"/>
                  <w:vAlign w:val="center"/>
                </w:tcPr>
                <w:p w14:paraId="464E278A">
                  <w:pPr>
                    <w:adjustRightInd w:val="0"/>
                    <w:snapToGrid w:val="0"/>
                    <w:jc w:val="center"/>
                    <w:rPr>
                      <w:bCs/>
                      <w:szCs w:val="21"/>
                    </w:rPr>
                  </w:pPr>
                  <w:r>
                    <w:rPr>
                      <w:bCs/>
                      <w:szCs w:val="21"/>
                    </w:rPr>
                    <w:t>数量</w:t>
                  </w:r>
                </w:p>
              </w:tc>
              <w:tc>
                <w:tcPr>
                  <w:tcW w:w="1208" w:type="dxa"/>
                  <w:vAlign w:val="center"/>
                </w:tcPr>
                <w:p w14:paraId="25A99169">
                  <w:pPr>
                    <w:adjustRightInd w:val="0"/>
                    <w:snapToGrid w:val="0"/>
                    <w:jc w:val="center"/>
                    <w:rPr>
                      <w:bCs/>
                      <w:szCs w:val="21"/>
                    </w:rPr>
                  </w:pPr>
                  <w:r>
                    <w:rPr>
                      <w:rFonts w:hint="eastAsia"/>
                      <w:bCs/>
                      <w:szCs w:val="21"/>
                    </w:rPr>
                    <w:t>备注</w:t>
                  </w:r>
                </w:p>
              </w:tc>
            </w:tr>
            <w:tr w14:paraId="4FD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75" w:type="dxa"/>
                  <w:gridSpan w:val="6"/>
                  <w:vAlign w:val="center"/>
                </w:tcPr>
                <w:p w14:paraId="3A026703">
                  <w:pPr>
                    <w:adjustRightInd w:val="0"/>
                    <w:snapToGrid w:val="0"/>
                    <w:jc w:val="center"/>
                    <w:rPr>
                      <w:rFonts w:hint="default" w:eastAsia="宋体"/>
                      <w:bCs/>
                      <w:szCs w:val="21"/>
                      <w:lang w:val="en-US" w:eastAsia="zh-CN"/>
                    </w:rPr>
                  </w:pPr>
                  <w:r>
                    <w:rPr>
                      <w:rFonts w:hint="eastAsia"/>
                      <w:b/>
                      <w:bCs w:val="0"/>
                      <w:szCs w:val="21"/>
                      <w:lang w:val="en-US" w:eastAsia="zh-CN"/>
                    </w:rPr>
                    <w:t>配料区</w:t>
                  </w:r>
                </w:p>
              </w:tc>
            </w:tr>
            <w:tr w14:paraId="518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7E4FE927">
                  <w:pPr>
                    <w:adjustRightInd w:val="0"/>
                    <w:snapToGrid w:val="0"/>
                    <w:jc w:val="center"/>
                    <w:rPr>
                      <w:bCs/>
                      <w:szCs w:val="21"/>
                    </w:rPr>
                  </w:pPr>
                  <w:r>
                    <w:rPr>
                      <w:bCs/>
                      <w:szCs w:val="21"/>
                    </w:rPr>
                    <w:t>1</w:t>
                  </w:r>
                </w:p>
              </w:tc>
              <w:tc>
                <w:tcPr>
                  <w:tcW w:w="2454" w:type="dxa"/>
                  <w:vAlign w:val="center"/>
                </w:tcPr>
                <w:p w14:paraId="61563165">
                  <w:pPr>
                    <w:widowControl/>
                    <w:jc w:val="center"/>
                    <w:textAlignment w:val="center"/>
                    <w:rPr>
                      <w:rFonts w:hint="default" w:eastAsia="宋体"/>
                      <w:color w:val="000000"/>
                      <w:sz w:val="22"/>
                      <w:szCs w:val="22"/>
                      <w:lang w:val="en-US" w:eastAsia="zh-CN"/>
                    </w:rPr>
                  </w:pPr>
                  <w:r>
                    <w:rPr>
                      <w:rFonts w:hint="eastAsia"/>
                      <w:color w:val="000000"/>
                      <w:sz w:val="22"/>
                      <w:szCs w:val="22"/>
                      <w:lang w:val="en-US" w:eastAsia="zh-CN"/>
                    </w:rPr>
                    <w:t>仓顶除尘器</w:t>
                  </w:r>
                </w:p>
              </w:tc>
              <w:tc>
                <w:tcPr>
                  <w:tcW w:w="1995" w:type="dxa"/>
                  <w:vAlign w:val="center"/>
                </w:tcPr>
                <w:p w14:paraId="48A5EA23">
                  <w:pPr>
                    <w:adjustRightInd w:val="0"/>
                    <w:snapToGrid w:val="0"/>
                    <w:jc w:val="center"/>
                    <w:rPr>
                      <w:rFonts w:hint="eastAsia" w:eastAsia="宋体"/>
                      <w:bCs/>
                      <w:szCs w:val="21"/>
                      <w:lang w:val="en-US" w:eastAsia="zh-CN"/>
                    </w:rPr>
                  </w:pPr>
                  <w:r>
                    <w:rPr>
                      <w:rFonts w:hint="eastAsia"/>
                      <w:bCs/>
                      <w:szCs w:val="21"/>
                      <w:lang w:val="en-US" w:eastAsia="zh-CN"/>
                    </w:rPr>
                    <w:t>/</w:t>
                  </w:r>
                </w:p>
              </w:tc>
              <w:tc>
                <w:tcPr>
                  <w:tcW w:w="855" w:type="dxa"/>
                  <w:vAlign w:val="center"/>
                </w:tcPr>
                <w:p w14:paraId="1A2E599A">
                  <w:pPr>
                    <w:adjustRightInd w:val="0"/>
                    <w:snapToGrid w:val="0"/>
                    <w:jc w:val="center"/>
                    <w:rPr>
                      <w:rFonts w:hint="default" w:eastAsia="宋体"/>
                      <w:bCs/>
                      <w:color w:val="000000"/>
                      <w:szCs w:val="21"/>
                      <w:lang w:val="en-US" w:eastAsia="zh-CN"/>
                    </w:rPr>
                  </w:pPr>
                  <w:r>
                    <w:rPr>
                      <w:rFonts w:hint="eastAsia"/>
                      <w:bCs/>
                      <w:color w:val="000000"/>
                      <w:szCs w:val="21"/>
                      <w:lang w:val="en-US" w:eastAsia="zh-CN"/>
                    </w:rPr>
                    <w:t>台</w:t>
                  </w:r>
                </w:p>
              </w:tc>
              <w:tc>
                <w:tcPr>
                  <w:tcW w:w="854" w:type="dxa"/>
                  <w:vAlign w:val="center"/>
                </w:tcPr>
                <w:p w14:paraId="46831DF8">
                  <w:pPr>
                    <w:adjustRightInd w:val="0"/>
                    <w:snapToGrid w:val="0"/>
                    <w:jc w:val="center"/>
                    <w:rPr>
                      <w:rFonts w:hint="eastAsia" w:eastAsia="宋体"/>
                      <w:bCs/>
                      <w:color w:val="000000"/>
                      <w:szCs w:val="21"/>
                      <w:lang w:val="en-US" w:eastAsia="zh-CN"/>
                    </w:rPr>
                  </w:pPr>
                  <w:r>
                    <w:rPr>
                      <w:rFonts w:hint="eastAsia"/>
                      <w:bCs/>
                      <w:color w:val="000000"/>
                      <w:szCs w:val="21"/>
                      <w:lang w:val="en-US" w:eastAsia="zh-CN"/>
                    </w:rPr>
                    <w:t>6</w:t>
                  </w:r>
                </w:p>
              </w:tc>
              <w:tc>
                <w:tcPr>
                  <w:tcW w:w="1208" w:type="dxa"/>
                  <w:vAlign w:val="center"/>
                </w:tcPr>
                <w:p w14:paraId="5AF413BE">
                  <w:pPr>
                    <w:adjustRightInd w:val="0"/>
                    <w:snapToGrid w:val="0"/>
                    <w:jc w:val="center"/>
                    <w:rPr>
                      <w:rFonts w:hint="eastAsia" w:eastAsia="宋体"/>
                      <w:bCs/>
                      <w:color w:val="000000"/>
                      <w:szCs w:val="21"/>
                      <w:lang w:val="en-US" w:eastAsia="zh-CN"/>
                    </w:rPr>
                  </w:pPr>
                  <w:r>
                    <w:rPr>
                      <w:rFonts w:hint="eastAsia"/>
                      <w:bCs/>
                      <w:color w:val="000000"/>
                      <w:szCs w:val="21"/>
                      <w:lang w:val="en-US" w:eastAsia="zh-CN"/>
                    </w:rPr>
                    <w:t>/</w:t>
                  </w:r>
                </w:p>
              </w:tc>
            </w:tr>
            <w:tr w14:paraId="45AE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30CB8435">
                  <w:pPr>
                    <w:adjustRightInd w:val="0"/>
                    <w:snapToGrid w:val="0"/>
                    <w:jc w:val="center"/>
                    <w:rPr>
                      <w:bCs/>
                      <w:szCs w:val="21"/>
                    </w:rPr>
                  </w:pPr>
                  <w:r>
                    <w:rPr>
                      <w:bCs/>
                      <w:szCs w:val="21"/>
                    </w:rPr>
                    <w:t>2</w:t>
                  </w:r>
                </w:p>
              </w:tc>
              <w:tc>
                <w:tcPr>
                  <w:tcW w:w="2454" w:type="dxa"/>
                  <w:vAlign w:val="center"/>
                </w:tcPr>
                <w:p w14:paraId="45691100">
                  <w:pPr>
                    <w:widowControl/>
                    <w:jc w:val="center"/>
                    <w:textAlignment w:val="center"/>
                    <w:rPr>
                      <w:rFonts w:hint="default" w:eastAsia="宋体"/>
                      <w:szCs w:val="21"/>
                      <w:lang w:val="en-US" w:eastAsia="zh-CN"/>
                    </w:rPr>
                  </w:pPr>
                  <w:r>
                    <w:rPr>
                      <w:rFonts w:hint="eastAsia"/>
                      <w:szCs w:val="21"/>
                      <w:lang w:val="en-US" w:eastAsia="zh-CN"/>
                    </w:rPr>
                    <w:t>配料储罐</w:t>
                  </w:r>
                </w:p>
              </w:tc>
              <w:tc>
                <w:tcPr>
                  <w:tcW w:w="1995" w:type="dxa"/>
                  <w:vAlign w:val="center"/>
                </w:tcPr>
                <w:p w14:paraId="52ED4D7E">
                  <w:pPr>
                    <w:adjustRightInd w:val="0"/>
                    <w:snapToGrid w:val="0"/>
                    <w:jc w:val="center"/>
                    <w:rPr>
                      <w:rFonts w:hint="default" w:eastAsia="宋体"/>
                      <w:bCs/>
                      <w:szCs w:val="21"/>
                      <w:lang w:val="en-US" w:eastAsia="zh-CN"/>
                    </w:rPr>
                  </w:pPr>
                  <w:r>
                    <w:rPr>
                      <w:rFonts w:hint="eastAsia"/>
                      <w:bCs/>
                      <w:szCs w:val="21"/>
                      <w:lang w:val="en-US" w:eastAsia="zh-CN"/>
                    </w:rPr>
                    <w:t>有效容积250m</w:t>
                  </w:r>
                  <w:r>
                    <w:rPr>
                      <w:rFonts w:hint="eastAsia"/>
                      <w:bCs/>
                      <w:szCs w:val="21"/>
                      <w:vertAlign w:val="superscript"/>
                      <w:lang w:val="en-US" w:eastAsia="zh-CN"/>
                    </w:rPr>
                    <w:t>3</w:t>
                  </w:r>
                </w:p>
              </w:tc>
              <w:tc>
                <w:tcPr>
                  <w:tcW w:w="855" w:type="dxa"/>
                  <w:vAlign w:val="center"/>
                </w:tcPr>
                <w:p w14:paraId="62800D71">
                  <w:pPr>
                    <w:adjustRightInd w:val="0"/>
                    <w:snapToGrid w:val="0"/>
                    <w:jc w:val="center"/>
                    <w:rPr>
                      <w:rFonts w:hint="eastAsia" w:eastAsia="宋体"/>
                      <w:bCs/>
                      <w:szCs w:val="21"/>
                      <w:lang w:val="en-US" w:eastAsia="zh-CN"/>
                    </w:rPr>
                  </w:pPr>
                  <w:r>
                    <w:rPr>
                      <w:rFonts w:hint="eastAsia"/>
                      <w:bCs/>
                      <w:szCs w:val="21"/>
                      <w:lang w:val="en-US" w:eastAsia="zh-CN"/>
                    </w:rPr>
                    <w:t>台</w:t>
                  </w:r>
                </w:p>
              </w:tc>
              <w:tc>
                <w:tcPr>
                  <w:tcW w:w="854" w:type="dxa"/>
                  <w:vAlign w:val="center"/>
                </w:tcPr>
                <w:p w14:paraId="2510A558">
                  <w:pPr>
                    <w:adjustRightInd w:val="0"/>
                    <w:snapToGrid w:val="0"/>
                    <w:jc w:val="center"/>
                    <w:rPr>
                      <w:rFonts w:hint="eastAsia" w:eastAsia="宋体"/>
                      <w:bCs/>
                      <w:szCs w:val="21"/>
                      <w:lang w:val="en-US" w:eastAsia="zh-CN"/>
                    </w:rPr>
                  </w:pPr>
                  <w:r>
                    <w:rPr>
                      <w:rFonts w:hint="eastAsia"/>
                      <w:bCs/>
                      <w:szCs w:val="21"/>
                      <w:lang w:val="en-US" w:eastAsia="zh-CN"/>
                    </w:rPr>
                    <w:t>6</w:t>
                  </w:r>
                </w:p>
              </w:tc>
              <w:tc>
                <w:tcPr>
                  <w:tcW w:w="1208" w:type="dxa"/>
                  <w:vAlign w:val="center"/>
                </w:tcPr>
                <w:p w14:paraId="64938596">
                  <w:pPr>
                    <w:adjustRightInd w:val="0"/>
                    <w:snapToGrid w:val="0"/>
                    <w:jc w:val="center"/>
                    <w:rPr>
                      <w:rFonts w:hint="eastAsia" w:eastAsia="宋体"/>
                      <w:bCs/>
                      <w:szCs w:val="21"/>
                      <w:lang w:val="en-US" w:eastAsia="zh-CN"/>
                    </w:rPr>
                  </w:pPr>
                  <w:r>
                    <w:rPr>
                      <w:rFonts w:hint="eastAsia"/>
                      <w:bCs/>
                      <w:szCs w:val="21"/>
                      <w:lang w:val="en-US" w:eastAsia="zh-CN"/>
                    </w:rPr>
                    <w:t>/</w:t>
                  </w:r>
                </w:p>
              </w:tc>
            </w:tr>
            <w:tr w14:paraId="1236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188E693E">
                  <w:pPr>
                    <w:adjustRightInd w:val="0"/>
                    <w:snapToGrid w:val="0"/>
                    <w:jc w:val="center"/>
                    <w:rPr>
                      <w:bCs/>
                      <w:szCs w:val="21"/>
                    </w:rPr>
                  </w:pPr>
                  <w:r>
                    <w:rPr>
                      <w:bCs/>
                      <w:szCs w:val="21"/>
                    </w:rPr>
                    <w:t>3</w:t>
                  </w:r>
                </w:p>
              </w:tc>
              <w:tc>
                <w:tcPr>
                  <w:tcW w:w="2454" w:type="dxa"/>
                  <w:vAlign w:val="center"/>
                </w:tcPr>
                <w:p w14:paraId="468316B4">
                  <w:pPr>
                    <w:widowControl/>
                    <w:jc w:val="center"/>
                    <w:textAlignment w:val="center"/>
                    <w:rPr>
                      <w:rFonts w:hint="default" w:eastAsia="宋体"/>
                      <w:szCs w:val="21"/>
                      <w:lang w:val="en-US" w:eastAsia="zh-CN"/>
                    </w:rPr>
                  </w:pPr>
                  <w:r>
                    <w:rPr>
                      <w:rFonts w:hint="eastAsia"/>
                      <w:szCs w:val="21"/>
                      <w:lang w:val="en-US" w:eastAsia="zh-CN"/>
                    </w:rPr>
                    <w:t>叶轮给料器</w:t>
                  </w:r>
                </w:p>
              </w:tc>
              <w:tc>
                <w:tcPr>
                  <w:tcW w:w="1995" w:type="dxa"/>
                  <w:vAlign w:val="center"/>
                </w:tcPr>
                <w:p w14:paraId="30DBB4CF">
                  <w:pPr>
                    <w:adjustRightInd w:val="0"/>
                    <w:snapToGrid w:val="0"/>
                    <w:jc w:val="center"/>
                    <w:rPr>
                      <w:rFonts w:hint="eastAsia" w:eastAsia="宋体"/>
                      <w:bCs/>
                      <w:szCs w:val="21"/>
                      <w:lang w:val="en-US" w:eastAsia="zh-CN"/>
                    </w:rPr>
                  </w:pPr>
                  <w:r>
                    <w:rPr>
                      <w:rFonts w:hint="eastAsia"/>
                      <w:bCs/>
                      <w:szCs w:val="21"/>
                      <w:lang w:val="en-US" w:eastAsia="zh-CN"/>
                    </w:rPr>
                    <w:t>/</w:t>
                  </w:r>
                </w:p>
              </w:tc>
              <w:tc>
                <w:tcPr>
                  <w:tcW w:w="855" w:type="dxa"/>
                  <w:vAlign w:val="center"/>
                </w:tcPr>
                <w:p w14:paraId="0441C615">
                  <w:pPr>
                    <w:adjustRightInd w:val="0"/>
                    <w:snapToGrid w:val="0"/>
                    <w:jc w:val="center"/>
                    <w:rPr>
                      <w:rFonts w:hint="eastAsia" w:eastAsia="宋体"/>
                      <w:bCs/>
                      <w:color w:val="000000"/>
                      <w:szCs w:val="21"/>
                      <w:lang w:val="en-US" w:eastAsia="zh-CN"/>
                    </w:rPr>
                  </w:pPr>
                  <w:r>
                    <w:rPr>
                      <w:rFonts w:hint="eastAsia"/>
                      <w:bCs/>
                      <w:color w:val="000000"/>
                      <w:szCs w:val="21"/>
                      <w:lang w:val="en-US" w:eastAsia="zh-CN"/>
                    </w:rPr>
                    <w:t>台</w:t>
                  </w:r>
                </w:p>
              </w:tc>
              <w:tc>
                <w:tcPr>
                  <w:tcW w:w="854" w:type="dxa"/>
                  <w:vAlign w:val="center"/>
                </w:tcPr>
                <w:p w14:paraId="05B7AC12">
                  <w:pPr>
                    <w:adjustRightInd w:val="0"/>
                    <w:snapToGrid w:val="0"/>
                    <w:jc w:val="center"/>
                    <w:rPr>
                      <w:rFonts w:hint="eastAsia" w:eastAsia="宋体"/>
                      <w:bCs/>
                      <w:szCs w:val="21"/>
                      <w:lang w:val="en-US" w:eastAsia="zh-CN"/>
                    </w:rPr>
                  </w:pPr>
                  <w:r>
                    <w:rPr>
                      <w:rFonts w:hint="eastAsia"/>
                      <w:bCs/>
                      <w:szCs w:val="21"/>
                      <w:lang w:val="en-US" w:eastAsia="zh-CN"/>
                    </w:rPr>
                    <w:t>8</w:t>
                  </w:r>
                </w:p>
              </w:tc>
              <w:tc>
                <w:tcPr>
                  <w:tcW w:w="1208" w:type="dxa"/>
                  <w:vAlign w:val="center"/>
                </w:tcPr>
                <w:p w14:paraId="41596C1B">
                  <w:pPr>
                    <w:adjustRightInd w:val="0"/>
                    <w:snapToGrid w:val="0"/>
                    <w:jc w:val="center"/>
                    <w:rPr>
                      <w:rFonts w:hint="eastAsia" w:eastAsia="宋体"/>
                      <w:bCs/>
                      <w:szCs w:val="21"/>
                      <w:lang w:val="en-US" w:eastAsia="zh-CN"/>
                    </w:rPr>
                  </w:pPr>
                  <w:r>
                    <w:rPr>
                      <w:rFonts w:hint="eastAsia"/>
                      <w:bCs/>
                      <w:szCs w:val="21"/>
                      <w:lang w:val="en-US" w:eastAsia="zh-CN"/>
                    </w:rPr>
                    <w:t>/</w:t>
                  </w:r>
                </w:p>
              </w:tc>
            </w:tr>
            <w:tr w14:paraId="6E93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01B3D381">
                  <w:pPr>
                    <w:adjustRightInd w:val="0"/>
                    <w:snapToGrid w:val="0"/>
                    <w:jc w:val="center"/>
                    <w:rPr>
                      <w:bCs/>
                      <w:szCs w:val="21"/>
                    </w:rPr>
                  </w:pPr>
                  <w:r>
                    <w:rPr>
                      <w:bCs/>
                      <w:szCs w:val="21"/>
                    </w:rPr>
                    <w:t>4</w:t>
                  </w:r>
                </w:p>
              </w:tc>
              <w:tc>
                <w:tcPr>
                  <w:tcW w:w="2454" w:type="dxa"/>
                  <w:vAlign w:val="center"/>
                </w:tcPr>
                <w:p w14:paraId="4ABF981A">
                  <w:pPr>
                    <w:widowControl/>
                    <w:jc w:val="center"/>
                    <w:textAlignment w:val="center"/>
                    <w:rPr>
                      <w:rFonts w:hint="default" w:eastAsia="宋体"/>
                      <w:szCs w:val="21"/>
                      <w:lang w:val="en-US" w:eastAsia="zh-CN"/>
                    </w:rPr>
                  </w:pPr>
                  <w:r>
                    <w:rPr>
                      <w:rFonts w:hint="eastAsia"/>
                      <w:szCs w:val="21"/>
                      <w:lang w:val="en-US" w:eastAsia="zh-CN"/>
                    </w:rPr>
                    <w:t>密封式皮带秤</w:t>
                  </w:r>
                </w:p>
              </w:tc>
              <w:tc>
                <w:tcPr>
                  <w:tcW w:w="1995" w:type="dxa"/>
                  <w:vAlign w:val="center"/>
                </w:tcPr>
                <w:p w14:paraId="00844B0D">
                  <w:pPr>
                    <w:adjustRightInd w:val="0"/>
                    <w:snapToGrid w:val="0"/>
                    <w:jc w:val="center"/>
                    <w:rPr>
                      <w:rFonts w:hint="eastAsia" w:eastAsia="宋体"/>
                      <w:bCs/>
                      <w:szCs w:val="21"/>
                      <w:lang w:val="en-US" w:eastAsia="zh-CN"/>
                    </w:rPr>
                  </w:pPr>
                  <w:r>
                    <w:rPr>
                      <w:rFonts w:hint="eastAsia"/>
                      <w:bCs/>
                      <w:szCs w:val="21"/>
                      <w:lang w:val="en-US" w:eastAsia="zh-CN"/>
                    </w:rPr>
                    <w:t>/</w:t>
                  </w:r>
                </w:p>
              </w:tc>
              <w:tc>
                <w:tcPr>
                  <w:tcW w:w="855" w:type="dxa"/>
                  <w:vAlign w:val="center"/>
                </w:tcPr>
                <w:p w14:paraId="2F8951D4">
                  <w:pPr>
                    <w:adjustRightInd w:val="0"/>
                    <w:snapToGrid w:val="0"/>
                    <w:jc w:val="center"/>
                    <w:rPr>
                      <w:rFonts w:hint="eastAsia" w:eastAsia="宋体"/>
                      <w:bCs/>
                      <w:szCs w:val="21"/>
                      <w:lang w:val="en-US" w:eastAsia="zh-CN"/>
                    </w:rPr>
                  </w:pPr>
                  <w:r>
                    <w:rPr>
                      <w:rFonts w:hint="eastAsia"/>
                      <w:bCs/>
                      <w:szCs w:val="21"/>
                      <w:lang w:val="en-US" w:eastAsia="zh-CN"/>
                    </w:rPr>
                    <w:t>套</w:t>
                  </w:r>
                </w:p>
              </w:tc>
              <w:tc>
                <w:tcPr>
                  <w:tcW w:w="854" w:type="dxa"/>
                  <w:vAlign w:val="center"/>
                </w:tcPr>
                <w:p w14:paraId="48FFA817">
                  <w:pPr>
                    <w:adjustRightInd w:val="0"/>
                    <w:snapToGrid w:val="0"/>
                    <w:jc w:val="center"/>
                    <w:rPr>
                      <w:rFonts w:hint="eastAsia" w:eastAsia="宋体"/>
                      <w:bCs/>
                      <w:szCs w:val="21"/>
                      <w:lang w:val="en-US" w:eastAsia="zh-CN"/>
                    </w:rPr>
                  </w:pPr>
                  <w:r>
                    <w:rPr>
                      <w:rFonts w:hint="eastAsia"/>
                      <w:bCs/>
                      <w:szCs w:val="21"/>
                      <w:lang w:val="en-US" w:eastAsia="zh-CN"/>
                    </w:rPr>
                    <w:t>8</w:t>
                  </w:r>
                </w:p>
              </w:tc>
              <w:tc>
                <w:tcPr>
                  <w:tcW w:w="1208" w:type="dxa"/>
                  <w:vAlign w:val="center"/>
                </w:tcPr>
                <w:p w14:paraId="687B8BE9">
                  <w:pPr>
                    <w:adjustRightInd w:val="0"/>
                    <w:snapToGrid w:val="0"/>
                    <w:jc w:val="center"/>
                    <w:rPr>
                      <w:rFonts w:hint="eastAsia" w:eastAsia="宋体"/>
                      <w:bCs/>
                      <w:szCs w:val="21"/>
                      <w:lang w:val="en-US" w:eastAsia="zh-CN"/>
                    </w:rPr>
                  </w:pPr>
                  <w:r>
                    <w:rPr>
                      <w:rFonts w:hint="eastAsia"/>
                      <w:bCs/>
                      <w:szCs w:val="21"/>
                      <w:lang w:val="en-US" w:eastAsia="zh-CN"/>
                    </w:rPr>
                    <w:t>/</w:t>
                  </w:r>
                </w:p>
              </w:tc>
            </w:tr>
            <w:tr w14:paraId="25C9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489DD965">
                  <w:pPr>
                    <w:adjustRightInd w:val="0"/>
                    <w:snapToGrid w:val="0"/>
                    <w:jc w:val="center"/>
                    <w:rPr>
                      <w:bCs/>
                      <w:szCs w:val="21"/>
                    </w:rPr>
                  </w:pPr>
                  <w:r>
                    <w:rPr>
                      <w:bCs/>
                      <w:szCs w:val="21"/>
                    </w:rPr>
                    <w:t>5</w:t>
                  </w:r>
                </w:p>
              </w:tc>
              <w:tc>
                <w:tcPr>
                  <w:tcW w:w="2454" w:type="dxa"/>
                  <w:vAlign w:val="center"/>
                </w:tcPr>
                <w:p w14:paraId="11FDB134">
                  <w:pPr>
                    <w:widowControl/>
                    <w:jc w:val="center"/>
                    <w:textAlignment w:val="center"/>
                    <w:rPr>
                      <w:rFonts w:hint="default" w:eastAsia="宋体"/>
                      <w:szCs w:val="21"/>
                      <w:lang w:val="en-US" w:eastAsia="zh-CN"/>
                    </w:rPr>
                  </w:pPr>
                  <w:r>
                    <w:rPr>
                      <w:rFonts w:hint="eastAsia"/>
                      <w:szCs w:val="21"/>
                      <w:lang w:val="en-US" w:eastAsia="zh-CN"/>
                    </w:rPr>
                    <w:t>加湿搅拌机</w:t>
                  </w:r>
                </w:p>
              </w:tc>
              <w:tc>
                <w:tcPr>
                  <w:tcW w:w="1995" w:type="dxa"/>
                  <w:vAlign w:val="center"/>
                </w:tcPr>
                <w:p w14:paraId="5BA10F42">
                  <w:pPr>
                    <w:adjustRightInd w:val="0"/>
                    <w:snapToGrid w:val="0"/>
                    <w:jc w:val="center"/>
                    <w:rPr>
                      <w:rFonts w:hint="default" w:eastAsia="宋体"/>
                      <w:bCs/>
                      <w:szCs w:val="21"/>
                      <w:lang w:val="en-US" w:eastAsia="zh-CN"/>
                    </w:rPr>
                  </w:pPr>
                  <w:r>
                    <w:rPr>
                      <w:rFonts w:hint="eastAsia"/>
                      <w:bCs/>
                      <w:szCs w:val="21"/>
                      <w:lang w:val="en-US" w:eastAsia="zh-CN"/>
                    </w:rPr>
                    <w:t>加湿能力40t/h</w:t>
                  </w:r>
                </w:p>
              </w:tc>
              <w:tc>
                <w:tcPr>
                  <w:tcW w:w="855" w:type="dxa"/>
                  <w:vAlign w:val="center"/>
                </w:tcPr>
                <w:p w14:paraId="0BC9C6C7">
                  <w:pPr>
                    <w:adjustRightInd w:val="0"/>
                    <w:snapToGrid w:val="0"/>
                    <w:jc w:val="center"/>
                    <w:rPr>
                      <w:rFonts w:hint="default" w:eastAsia="宋体"/>
                      <w:bCs/>
                      <w:color w:val="000000"/>
                      <w:szCs w:val="21"/>
                      <w:lang w:val="en-US" w:eastAsia="zh-CN"/>
                    </w:rPr>
                  </w:pPr>
                  <w:r>
                    <w:rPr>
                      <w:rFonts w:hint="eastAsia"/>
                      <w:bCs/>
                      <w:color w:val="000000"/>
                      <w:szCs w:val="21"/>
                      <w:lang w:val="en-US" w:eastAsia="zh-CN"/>
                    </w:rPr>
                    <w:t>台</w:t>
                  </w:r>
                </w:p>
              </w:tc>
              <w:tc>
                <w:tcPr>
                  <w:tcW w:w="854" w:type="dxa"/>
                  <w:vAlign w:val="center"/>
                </w:tcPr>
                <w:p w14:paraId="1496D487">
                  <w:pPr>
                    <w:adjustRightInd w:val="0"/>
                    <w:snapToGrid w:val="0"/>
                    <w:jc w:val="center"/>
                    <w:rPr>
                      <w:rFonts w:hint="eastAsia" w:eastAsia="宋体"/>
                      <w:bCs/>
                      <w:szCs w:val="21"/>
                      <w:lang w:val="en-US" w:eastAsia="zh-CN"/>
                    </w:rPr>
                  </w:pPr>
                  <w:r>
                    <w:rPr>
                      <w:rFonts w:hint="eastAsia"/>
                      <w:bCs/>
                      <w:szCs w:val="21"/>
                      <w:lang w:val="en-US" w:eastAsia="zh-CN"/>
                    </w:rPr>
                    <w:t>4</w:t>
                  </w:r>
                </w:p>
              </w:tc>
              <w:tc>
                <w:tcPr>
                  <w:tcW w:w="1208" w:type="dxa"/>
                  <w:vAlign w:val="center"/>
                </w:tcPr>
                <w:p w14:paraId="66A3D802">
                  <w:pPr>
                    <w:adjustRightInd w:val="0"/>
                    <w:snapToGrid w:val="0"/>
                    <w:jc w:val="center"/>
                    <w:rPr>
                      <w:rFonts w:hint="eastAsia" w:eastAsia="宋体"/>
                      <w:bCs/>
                      <w:szCs w:val="21"/>
                      <w:lang w:val="en-US" w:eastAsia="zh-CN"/>
                    </w:rPr>
                  </w:pPr>
                  <w:r>
                    <w:rPr>
                      <w:rFonts w:hint="eastAsia"/>
                      <w:bCs/>
                      <w:szCs w:val="21"/>
                      <w:lang w:val="en-US" w:eastAsia="zh-CN"/>
                    </w:rPr>
                    <w:t>/</w:t>
                  </w:r>
                </w:p>
              </w:tc>
            </w:tr>
            <w:tr w14:paraId="5C50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5FA6298E">
                  <w:pPr>
                    <w:adjustRightInd w:val="0"/>
                    <w:snapToGrid w:val="0"/>
                    <w:jc w:val="center"/>
                    <w:rPr>
                      <w:bCs/>
                      <w:szCs w:val="21"/>
                    </w:rPr>
                  </w:pPr>
                  <w:r>
                    <w:rPr>
                      <w:bCs/>
                      <w:szCs w:val="21"/>
                    </w:rPr>
                    <w:t>6</w:t>
                  </w:r>
                </w:p>
              </w:tc>
              <w:tc>
                <w:tcPr>
                  <w:tcW w:w="2454" w:type="dxa"/>
                  <w:vAlign w:val="center"/>
                </w:tcPr>
                <w:p w14:paraId="5F1FE18B">
                  <w:pPr>
                    <w:widowControl/>
                    <w:jc w:val="center"/>
                    <w:textAlignment w:val="center"/>
                    <w:rPr>
                      <w:rFonts w:hint="default" w:eastAsia="宋体"/>
                      <w:szCs w:val="21"/>
                      <w:lang w:val="en-US" w:eastAsia="zh-CN"/>
                    </w:rPr>
                  </w:pPr>
                  <w:r>
                    <w:rPr>
                      <w:rFonts w:hint="eastAsia"/>
                      <w:szCs w:val="21"/>
                      <w:lang w:val="en-US" w:eastAsia="zh-CN"/>
                    </w:rPr>
                    <w:t>料斗螺旋给料机</w:t>
                  </w:r>
                </w:p>
              </w:tc>
              <w:tc>
                <w:tcPr>
                  <w:tcW w:w="1995" w:type="dxa"/>
                  <w:vAlign w:val="center"/>
                </w:tcPr>
                <w:p w14:paraId="32B1A9F5">
                  <w:pPr>
                    <w:adjustRightInd w:val="0"/>
                    <w:snapToGrid w:val="0"/>
                    <w:jc w:val="center"/>
                    <w:rPr>
                      <w:rFonts w:hint="default" w:eastAsia="宋体"/>
                      <w:bCs/>
                      <w:szCs w:val="21"/>
                      <w:lang w:val="en-US" w:eastAsia="zh-CN"/>
                    </w:rPr>
                  </w:pPr>
                  <w:r>
                    <w:rPr>
                      <w:rFonts w:hint="eastAsia"/>
                      <w:bCs/>
                      <w:szCs w:val="21"/>
                      <w:lang w:val="en-US" w:eastAsia="zh-CN"/>
                    </w:rPr>
                    <w:t>输送量10—30t/h</w:t>
                  </w:r>
                </w:p>
              </w:tc>
              <w:tc>
                <w:tcPr>
                  <w:tcW w:w="855" w:type="dxa"/>
                  <w:vAlign w:val="center"/>
                </w:tcPr>
                <w:p w14:paraId="02D7D595">
                  <w:pPr>
                    <w:adjustRightInd w:val="0"/>
                    <w:snapToGrid w:val="0"/>
                    <w:jc w:val="center"/>
                    <w:rPr>
                      <w:rFonts w:hint="default" w:eastAsia="宋体"/>
                      <w:bCs/>
                      <w:szCs w:val="21"/>
                      <w:lang w:val="en-US" w:eastAsia="zh-CN"/>
                    </w:rPr>
                  </w:pPr>
                  <w:r>
                    <w:rPr>
                      <w:rFonts w:hint="eastAsia"/>
                      <w:bCs/>
                      <w:szCs w:val="21"/>
                      <w:lang w:val="en-US" w:eastAsia="zh-CN"/>
                    </w:rPr>
                    <w:t>套</w:t>
                  </w:r>
                </w:p>
              </w:tc>
              <w:tc>
                <w:tcPr>
                  <w:tcW w:w="854" w:type="dxa"/>
                  <w:vAlign w:val="center"/>
                </w:tcPr>
                <w:p w14:paraId="381CD74B">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5A6B1626">
                  <w:pPr>
                    <w:adjustRightInd w:val="0"/>
                    <w:snapToGrid w:val="0"/>
                    <w:jc w:val="center"/>
                    <w:rPr>
                      <w:rFonts w:hint="eastAsia" w:eastAsia="宋体"/>
                      <w:bCs/>
                      <w:szCs w:val="21"/>
                      <w:lang w:val="en-US" w:eastAsia="zh-CN"/>
                    </w:rPr>
                  </w:pPr>
                  <w:r>
                    <w:rPr>
                      <w:rFonts w:hint="eastAsia"/>
                      <w:bCs/>
                      <w:szCs w:val="21"/>
                      <w:lang w:val="en-US" w:eastAsia="zh-CN"/>
                    </w:rPr>
                    <w:t>/</w:t>
                  </w:r>
                </w:p>
              </w:tc>
            </w:tr>
            <w:tr w14:paraId="4DEC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75" w:type="dxa"/>
                  <w:gridSpan w:val="6"/>
                  <w:vAlign w:val="center"/>
                </w:tcPr>
                <w:p w14:paraId="1DC92B53">
                  <w:pPr>
                    <w:adjustRightInd w:val="0"/>
                    <w:snapToGrid w:val="0"/>
                    <w:jc w:val="center"/>
                    <w:rPr>
                      <w:rFonts w:hint="default" w:eastAsia="宋体"/>
                      <w:bCs/>
                      <w:szCs w:val="21"/>
                      <w:lang w:val="en-US" w:eastAsia="zh-CN"/>
                    </w:rPr>
                  </w:pPr>
                  <w:r>
                    <w:rPr>
                      <w:rFonts w:hint="eastAsia"/>
                      <w:b/>
                      <w:bCs w:val="0"/>
                      <w:szCs w:val="21"/>
                      <w:lang w:val="en-US" w:eastAsia="zh-CN"/>
                    </w:rPr>
                    <w:t>造球系统</w:t>
                  </w:r>
                </w:p>
              </w:tc>
            </w:tr>
            <w:tr w14:paraId="240E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6F880BA9">
                  <w:pPr>
                    <w:adjustRightInd w:val="0"/>
                    <w:snapToGrid w:val="0"/>
                    <w:jc w:val="center"/>
                    <w:rPr>
                      <w:rFonts w:hint="eastAsia" w:eastAsia="宋体"/>
                      <w:bCs/>
                      <w:szCs w:val="21"/>
                      <w:lang w:val="en-US" w:eastAsia="zh-CN"/>
                    </w:rPr>
                  </w:pPr>
                  <w:r>
                    <w:rPr>
                      <w:rFonts w:hint="eastAsia"/>
                      <w:bCs/>
                      <w:szCs w:val="21"/>
                      <w:lang w:val="en-US" w:eastAsia="zh-CN"/>
                    </w:rPr>
                    <w:t>1</w:t>
                  </w:r>
                </w:p>
              </w:tc>
              <w:tc>
                <w:tcPr>
                  <w:tcW w:w="2454" w:type="dxa"/>
                  <w:vAlign w:val="center"/>
                </w:tcPr>
                <w:p w14:paraId="707F03B0">
                  <w:pPr>
                    <w:widowControl/>
                    <w:jc w:val="center"/>
                    <w:textAlignment w:val="center"/>
                    <w:rPr>
                      <w:rFonts w:hint="default"/>
                      <w:szCs w:val="21"/>
                      <w:lang w:val="en-US" w:eastAsia="zh-CN"/>
                    </w:rPr>
                  </w:pPr>
                  <w:r>
                    <w:rPr>
                      <w:rFonts w:hint="eastAsia"/>
                      <w:szCs w:val="21"/>
                      <w:lang w:val="en-US" w:eastAsia="zh-CN"/>
                    </w:rPr>
                    <w:t>立式混合机</w:t>
                  </w:r>
                </w:p>
              </w:tc>
              <w:tc>
                <w:tcPr>
                  <w:tcW w:w="1995" w:type="dxa"/>
                  <w:vAlign w:val="center"/>
                </w:tcPr>
                <w:p w14:paraId="46CCBF08">
                  <w:pPr>
                    <w:adjustRightInd w:val="0"/>
                    <w:snapToGrid w:val="0"/>
                    <w:jc w:val="center"/>
                    <w:rPr>
                      <w:rFonts w:hint="default"/>
                      <w:bCs/>
                      <w:szCs w:val="21"/>
                      <w:lang w:val="en-US" w:eastAsia="zh-CN"/>
                    </w:rPr>
                  </w:pPr>
                  <w:r>
                    <w:rPr>
                      <w:rFonts w:hint="eastAsia"/>
                      <w:bCs/>
                      <w:szCs w:val="21"/>
                      <w:lang w:val="en-US" w:eastAsia="zh-CN"/>
                    </w:rPr>
                    <w:t>Q=60t/h</w:t>
                  </w:r>
                </w:p>
              </w:tc>
              <w:tc>
                <w:tcPr>
                  <w:tcW w:w="855" w:type="dxa"/>
                  <w:vAlign w:val="center"/>
                </w:tcPr>
                <w:p w14:paraId="4B50622A">
                  <w:pPr>
                    <w:adjustRightInd w:val="0"/>
                    <w:snapToGrid w:val="0"/>
                    <w:jc w:val="center"/>
                    <w:rPr>
                      <w:rFonts w:hint="default"/>
                      <w:bCs/>
                      <w:szCs w:val="21"/>
                      <w:lang w:val="en-US" w:eastAsia="zh-CN"/>
                    </w:rPr>
                  </w:pPr>
                  <w:r>
                    <w:rPr>
                      <w:rFonts w:hint="eastAsia"/>
                      <w:bCs/>
                      <w:szCs w:val="21"/>
                      <w:lang w:val="en-US" w:eastAsia="zh-CN"/>
                    </w:rPr>
                    <w:t>台</w:t>
                  </w:r>
                </w:p>
              </w:tc>
              <w:tc>
                <w:tcPr>
                  <w:tcW w:w="854" w:type="dxa"/>
                  <w:vAlign w:val="center"/>
                </w:tcPr>
                <w:p w14:paraId="008C8DA2">
                  <w:pPr>
                    <w:adjustRightInd w:val="0"/>
                    <w:snapToGrid w:val="0"/>
                    <w:jc w:val="center"/>
                    <w:rPr>
                      <w:rFonts w:hint="default"/>
                      <w:bCs/>
                      <w:szCs w:val="21"/>
                      <w:lang w:val="en-US" w:eastAsia="zh-CN"/>
                    </w:rPr>
                  </w:pPr>
                  <w:r>
                    <w:rPr>
                      <w:rFonts w:hint="eastAsia"/>
                      <w:bCs/>
                      <w:szCs w:val="21"/>
                      <w:lang w:val="en-US" w:eastAsia="zh-CN"/>
                    </w:rPr>
                    <w:t>1</w:t>
                  </w:r>
                </w:p>
              </w:tc>
              <w:tc>
                <w:tcPr>
                  <w:tcW w:w="1208" w:type="dxa"/>
                  <w:vAlign w:val="center"/>
                </w:tcPr>
                <w:p w14:paraId="5264B2BD">
                  <w:pPr>
                    <w:adjustRightInd w:val="0"/>
                    <w:snapToGrid w:val="0"/>
                    <w:jc w:val="center"/>
                    <w:rPr>
                      <w:rFonts w:hint="eastAsia" w:eastAsia="宋体"/>
                      <w:bCs/>
                      <w:szCs w:val="21"/>
                      <w:lang w:val="en-US" w:eastAsia="zh-CN"/>
                    </w:rPr>
                  </w:pPr>
                  <w:r>
                    <w:rPr>
                      <w:rFonts w:hint="eastAsia"/>
                      <w:bCs/>
                      <w:szCs w:val="21"/>
                      <w:lang w:val="en-US" w:eastAsia="zh-CN"/>
                    </w:rPr>
                    <w:t>/</w:t>
                  </w:r>
                </w:p>
              </w:tc>
            </w:tr>
            <w:tr w14:paraId="059F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61D22B9D">
                  <w:pPr>
                    <w:adjustRightInd w:val="0"/>
                    <w:snapToGrid w:val="0"/>
                    <w:jc w:val="center"/>
                    <w:rPr>
                      <w:rFonts w:hint="eastAsia" w:eastAsia="宋体"/>
                      <w:bCs/>
                      <w:szCs w:val="21"/>
                      <w:lang w:val="en-US" w:eastAsia="zh-CN"/>
                    </w:rPr>
                  </w:pPr>
                  <w:r>
                    <w:rPr>
                      <w:rFonts w:hint="eastAsia"/>
                      <w:bCs/>
                      <w:szCs w:val="21"/>
                      <w:lang w:val="en-US" w:eastAsia="zh-CN"/>
                    </w:rPr>
                    <w:t>2</w:t>
                  </w:r>
                </w:p>
              </w:tc>
              <w:tc>
                <w:tcPr>
                  <w:tcW w:w="2454" w:type="dxa"/>
                  <w:vAlign w:val="center"/>
                </w:tcPr>
                <w:p w14:paraId="41D26DA9">
                  <w:pPr>
                    <w:widowControl/>
                    <w:jc w:val="center"/>
                    <w:textAlignment w:val="center"/>
                    <w:rPr>
                      <w:rFonts w:hint="default"/>
                      <w:szCs w:val="21"/>
                      <w:lang w:val="en-US" w:eastAsia="zh-CN"/>
                    </w:rPr>
                  </w:pPr>
                  <w:r>
                    <w:rPr>
                      <w:rFonts w:hint="eastAsia"/>
                      <w:szCs w:val="21"/>
                      <w:lang w:val="en-US" w:eastAsia="zh-CN"/>
                    </w:rPr>
                    <w:t>圆盘造球机</w:t>
                  </w:r>
                </w:p>
              </w:tc>
              <w:tc>
                <w:tcPr>
                  <w:tcW w:w="1995" w:type="dxa"/>
                  <w:vAlign w:val="center"/>
                </w:tcPr>
                <w:p w14:paraId="4862E78D">
                  <w:pPr>
                    <w:adjustRightInd w:val="0"/>
                    <w:snapToGrid w:val="0"/>
                    <w:jc w:val="center"/>
                    <w:rPr>
                      <w:rFonts w:hint="eastAsia"/>
                      <w:bCs/>
                      <w:szCs w:val="21"/>
                      <w:lang w:val="en-US" w:eastAsia="zh-CN"/>
                    </w:rPr>
                  </w:pPr>
                  <w:r>
                    <w:rPr>
                      <w:rFonts w:hint="eastAsia"/>
                      <w:bCs/>
                      <w:szCs w:val="21"/>
                      <w:lang w:val="en-US" w:eastAsia="zh-CN"/>
                    </w:rPr>
                    <w:t>Ф7.5m</w:t>
                  </w:r>
                </w:p>
              </w:tc>
              <w:tc>
                <w:tcPr>
                  <w:tcW w:w="855" w:type="dxa"/>
                  <w:vAlign w:val="center"/>
                </w:tcPr>
                <w:p w14:paraId="1DABAF81">
                  <w:pPr>
                    <w:adjustRightInd w:val="0"/>
                    <w:snapToGrid w:val="0"/>
                    <w:jc w:val="center"/>
                    <w:rPr>
                      <w:rFonts w:hint="default"/>
                      <w:bCs/>
                      <w:szCs w:val="21"/>
                      <w:lang w:val="en-US" w:eastAsia="zh-CN"/>
                    </w:rPr>
                  </w:pPr>
                  <w:r>
                    <w:rPr>
                      <w:rFonts w:hint="eastAsia"/>
                      <w:bCs/>
                      <w:szCs w:val="21"/>
                      <w:lang w:val="en-US" w:eastAsia="zh-CN"/>
                    </w:rPr>
                    <w:t>台</w:t>
                  </w:r>
                </w:p>
              </w:tc>
              <w:tc>
                <w:tcPr>
                  <w:tcW w:w="854" w:type="dxa"/>
                  <w:vAlign w:val="center"/>
                </w:tcPr>
                <w:p w14:paraId="2C8A2C6F">
                  <w:pPr>
                    <w:adjustRightInd w:val="0"/>
                    <w:snapToGrid w:val="0"/>
                    <w:jc w:val="center"/>
                    <w:rPr>
                      <w:rFonts w:hint="default"/>
                      <w:bCs/>
                      <w:szCs w:val="21"/>
                      <w:lang w:val="en-US" w:eastAsia="zh-CN"/>
                    </w:rPr>
                  </w:pPr>
                  <w:r>
                    <w:rPr>
                      <w:rFonts w:hint="eastAsia"/>
                      <w:bCs/>
                      <w:szCs w:val="21"/>
                      <w:lang w:val="en-US" w:eastAsia="zh-CN"/>
                    </w:rPr>
                    <w:t>1</w:t>
                  </w:r>
                </w:p>
              </w:tc>
              <w:tc>
                <w:tcPr>
                  <w:tcW w:w="1208" w:type="dxa"/>
                  <w:vAlign w:val="center"/>
                </w:tcPr>
                <w:p w14:paraId="5B1D1FAD">
                  <w:pPr>
                    <w:adjustRightInd w:val="0"/>
                    <w:snapToGrid w:val="0"/>
                    <w:jc w:val="center"/>
                    <w:rPr>
                      <w:rFonts w:hint="eastAsia" w:eastAsia="宋体"/>
                      <w:bCs/>
                      <w:szCs w:val="21"/>
                      <w:lang w:val="en-US" w:eastAsia="zh-CN"/>
                    </w:rPr>
                  </w:pPr>
                  <w:r>
                    <w:rPr>
                      <w:rFonts w:hint="eastAsia"/>
                      <w:bCs/>
                      <w:szCs w:val="21"/>
                      <w:lang w:val="en-US" w:eastAsia="zh-CN"/>
                    </w:rPr>
                    <w:t>/</w:t>
                  </w:r>
                </w:p>
              </w:tc>
            </w:tr>
            <w:tr w14:paraId="015A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75" w:type="dxa"/>
                  <w:gridSpan w:val="6"/>
                  <w:vAlign w:val="center"/>
                </w:tcPr>
                <w:p w14:paraId="6D6CBE57">
                  <w:pPr>
                    <w:adjustRightInd w:val="0"/>
                    <w:snapToGrid w:val="0"/>
                    <w:jc w:val="center"/>
                    <w:rPr>
                      <w:rFonts w:hint="default" w:eastAsia="宋体"/>
                      <w:bCs/>
                      <w:szCs w:val="21"/>
                      <w:lang w:val="en-US" w:eastAsia="zh-CN"/>
                    </w:rPr>
                  </w:pPr>
                  <w:r>
                    <w:rPr>
                      <w:rFonts w:hint="eastAsia"/>
                      <w:bCs/>
                      <w:szCs w:val="21"/>
                      <w:lang w:val="en-US" w:eastAsia="zh-CN"/>
                    </w:rPr>
                    <w:t>回转窑焙烧系统</w:t>
                  </w:r>
                </w:p>
              </w:tc>
            </w:tr>
            <w:tr w14:paraId="3B07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06EB1174">
                  <w:pPr>
                    <w:adjustRightInd w:val="0"/>
                    <w:snapToGrid w:val="0"/>
                    <w:jc w:val="center"/>
                    <w:rPr>
                      <w:rFonts w:hint="eastAsia" w:eastAsia="宋体"/>
                      <w:bCs/>
                      <w:szCs w:val="21"/>
                      <w:lang w:eastAsia="zh-CN"/>
                    </w:rPr>
                  </w:pPr>
                  <w:r>
                    <w:rPr>
                      <w:rFonts w:hint="eastAsia"/>
                      <w:bCs/>
                      <w:szCs w:val="21"/>
                      <w:lang w:val="en-US" w:eastAsia="zh-CN"/>
                    </w:rPr>
                    <w:t>1</w:t>
                  </w:r>
                </w:p>
              </w:tc>
              <w:tc>
                <w:tcPr>
                  <w:tcW w:w="2454" w:type="dxa"/>
                  <w:vAlign w:val="center"/>
                </w:tcPr>
                <w:p w14:paraId="2E79DF3C">
                  <w:pPr>
                    <w:widowControl/>
                    <w:jc w:val="center"/>
                    <w:textAlignment w:val="center"/>
                    <w:rPr>
                      <w:rFonts w:hint="eastAsia" w:eastAsia="宋体"/>
                      <w:szCs w:val="21"/>
                      <w:lang w:val="en-US" w:eastAsia="zh-CN"/>
                    </w:rPr>
                  </w:pPr>
                  <w:r>
                    <w:rPr>
                      <w:rFonts w:hint="eastAsia"/>
                      <w:szCs w:val="21"/>
                      <w:lang w:val="en-US" w:eastAsia="zh-CN"/>
                    </w:rPr>
                    <w:t>回转窑</w:t>
                  </w:r>
                </w:p>
              </w:tc>
              <w:tc>
                <w:tcPr>
                  <w:tcW w:w="1995" w:type="dxa"/>
                  <w:vAlign w:val="center"/>
                </w:tcPr>
                <w:p w14:paraId="3622E7A7">
                  <w:pPr>
                    <w:adjustRightInd w:val="0"/>
                    <w:snapToGrid w:val="0"/>
                    <w:jc w:val="center"/>
                    <w:rPr>
                      <w:bCs/>
                      <w:szCs w:val="21"/>
                    </w:rPr>
                  </w:pPr>
                  <w:r>
                    <w:rPr>
                      <w:rFonts w:hint="eastAsia"/>
                      <w:bCs/>
                      <w:szCs w:val="21"/>
                    </w:rPr>
                    <w:t>φ4.3x68m</w:t>
                  </w:r>
                </w:p>
              </w:tc>
              <w:tc>
                <w:tcPr>
                  <w:tcW w:w="855" w:type="dxa"/>
                  <w:vAlign w:val="center"/>
                </w:tcPr>
                <w:p w14:paraId="20201E92">
                  <w:pPr>
                    <w:adjustRightInd w:val="0"/>
                    <w:snapToGrid w:val="0"/>
                    <w:jc w:val="center"/>
                    <w:rPr>
                      <w:bCs/>
                      <w:color w:val="000000"/>
                      <w:szCs w:val="21"/>
                    </w:rPr>
                  </w:pPr>
                  <w:r>
                    <w:rPr>
                      <w:rFonts w:hint="eastAsia"/>
                      <w:bCs/>
                      <w:color w:val="000000"/>
                      <w:szCs w:val="21"/>
                    </w:rPr>
                    <w:t>套</w:t>
                  </w:r>
                </w:p>
              </w:tc>
              <w:tc>
                <w:tcPr>
                  <w:tcW w:w="854" w:type="dxa"/>
                  <w:vAlign w:val="center"/>
                </w:tcPr>
                <w:p w14:paraId="25005AA4">
                  <w:pPr>
                    <w:adjustRightInd w:val="0"/>
                    <w:snapToGrid w:val="0"/>
                    <w:jc w:val="center"/>
                    <w:rPr>
                      <w:bCs/>
                      <w:szCs w:val="21"/>
                    </w:rPr>
                  </w:pPr>
                  <w:r>
                    <w:rPr>
                      <w:bCs/>
                      <w:szCs w:val="21"/>
                    </w:rPr>
                    <w:t>1</w:t>
                  </w:r>
                </w:p>
              </w:tc>
              <w:tc>
                <w:tcPr>
                  <w:tcW w:w="1208" w:type="dxa"/>
                  <w:vAlign w:val="center"/>
                </w:tcPr>
                <w:p w14:paraId="496B20D9">
                  <w:pPr>
                    <w:adjustRightInd w:val="0"/>
                    <w:snapToGrid w:val="0"/>
                    <w:jc w:val="center"/>
                    <w:rPr>
                      <w:rFonts w:hint="eastAsia" w:eastAsia="宋体"/>
                      <w:bCs/>
                      <w:szCs w:val="21"/>
                      <w:lang w:val="en-US" w:eastAsia="zh-CN"/>
                    </w:rPr>
                  </w:pPr>
                  <w:r>
                    <w:rPr>
                      <w:rFonts w:hint="eastAsia"/>
                      <w:bCs/>
                      <w:szCs w:val="21"/>
                      <w:lang w:val="en-US" w:eastAsia="zh-CN"/>
                    </w:rPr>
                    <w:t>/</w:t>
                  </w:r>
                </w:p>
              </w:tc>
            </w:tr>
            <w:tr w14:paraId="7F3C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16D65FDC">
                  <w:pPr>
                    <w:adjustRightInd w:val="0"/>
                    <w:snapToGrid w:val="0"/>
                    <w:jc w:val="center"/>
                    <w:rPr>
                      <w:rFonts w:hint="eastAsia" w:eastAsia="宋体"/>
                      <w:bCs/>
                      <w:szCs w:val="21"/>
                      <w:lang w:eastAsia="zh-CN"/>
                    </w:rPr>
                  </w:pPr>
                  <w:r>
                    <w:rPr>
                      <w:rFonts w:hint="eastAsia"/>
                      <w:bCs/>
                      <w:szCs w:val="21"/>
                      <w:lang w:val="en-US" w:eastAsia="zh-CN"/>
                    </w:rPr>
                    <w:t>2</w:t>
                  </w:r>
                </w:p>
              </w:tc>
              <w:tc>
                <w:tcPr>
                  <w:tcW w:w="2454" w:type="dxa"/>
                  <w:vAlign w:val="center"/>
                </w:tcPr>
                <w:p w14:paraId="10BDCA71">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冲渣泵</w:t>
                  </w:r>
                </w:p>
              </w:tc>
              <w:tc>
                <w:tcPr>
                  <w:tcW w:w="1995" w:type="dxa"/>
                  <w:vAlign w:val="center"/>
                </w:tcPr>
                <w:p w14:paraId="74218191">
                  <w:pPr>
                    <w:adjustRightInd w:val="0"/>
                    <w:snapToGrid w:val="0"/>
                    <w:jc w:val="center"/>
                    <w:rPr>
                      <w:bCs/>
                      <w:szCs w:val="21"/>
                    </w:rPr>
                  </w:pPr>
                  <w:r>
                    <w:rPr>
                      <w:rFonts w:hint="eastAsia"/>
                      <w:bCs/>
                      <w:szCs w:val="21"/>
                    </w:rPr>
                    <w:t>/</w:t>
                  </w:r>
                </w:p>
              </w:tc>
              <w:tc>
                <w:tcPr>
                  <w:tcW w:w="855" w:type="dxa"/>
                  <w:vAlign w:val="center"/>
                </w:tcPr>
                <w:p w14:paraId="311FF5D0">
                  <w:pPr>
                    <w:adjustRightInd w:val="0"/>
                    <w:snapToGrid w:val="0"/>
                    <w:jc w:val="center"/>
                    <w:rPr>
                      <w:bCs/>
                      <w:szCs w:val="21"/>
                    </w:rPr>
                  </w:pPr>
                  <w:r>
                    <w:rPr>
                      <w:rFonts w:hint="eastAsia"/>
                      <w:bCs/>
                      <w:szCs w:val="21"/>
                    </w:rPr>
                    <w:t>台</w:t>
                  </w:r>
                </w:p>
              </w:tc>
              <w:tc>
                <w:tcPr>
                  <w:tcW w:w="854" w:type="dxa"/>
                  <w:vAlign w:val="center"/>
                </w:tcPr>
                <w:p w14:paraId="024020D4">
                  <w:pPr>
                    <w:adjustRightInd w:val="0"/>
                    <w:snapToGrid w:val="0"/>
                    <w:jc w:val="center"/>
                    <w:rPr>
                      <w:rFonts w:hint="eastAsia" w:eastAsia="宋体"/>
                      <w:bCs/>
                      <w:szCs w:val="21"/>
                      <w:lang w:eastAsia="zh-CN"/>
                    </w:rPr>
                  </w:pPr>
                  <w:r>
                    <w:rPr>
                      <w:rFonts w:hint="eastAsia"/>
                      <w:bCs/>
                      <w:szCs w:val="21"/>
                      <w:lang w:val="en-US" w:eastAsia="zh-CN"/>
                    </w:rPr>
                    <w:t>2</w:t>
                  </w:r>
                </w:p>
              </w:tc>
              <w:tc>
                <w:tcPr>
                  <w:tcW w:w="1208" w:type="dxa"/>
                  <w:vAlign w:val="center"/>
                </w:tcPr>
                <w:p w14:paraId="778B777E">
                  <w:pPr>
                    <w:adjustRightInd w:val="0"/>
                    <w:snapToGrid w:val="0"/>
                    <w:jc w:val="center"/>
                    <w:rPr>
                      <w:rFonts w:hint="eastAsia" w:eastAsia="宋体"/>
                      <w:bCs/>
                      <w:szCs w:val="21"/>
                      <w:lang w:val="en-US" w:eastAsia="zh-CN"/>
                    </w:rPr>
                  </w:pPr>
                  <w:r>
                    <w:rPr>
                      <w:rFonts w:hint="eastAsia"/>
                      <w:bCs/>
                      <w:szCs w:val="21"/>
                      <w:lang w:val="en-US" w:eastAsia="zh-CN"/>
                    </w:rPr>
                    <w:t>/</w:t>
                  </w:r>
                </w:p>
              </w:tc>
            </w:tr>
            <w:tr w14:paraId="63EB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61875371">
                  <w:pPr>
                    <w:adjustRightInd w:val="0"/>
                    <w:snapToGrid w:val="0"/>
                    <w:jc w:val="center"/>
                    <w:rPr>
                      <w:rFonts w:hint="eastAsia" w:eastAsia="宋体"/>
                      <w:bCs/>
                      <w:szCs w:val="21"/>
                      <w:lang w:eastAsia="zh-CN"/>
                    </w:rPr>
                  </w:pPr>
                  <w:r>
                    <w:rPr>
                      <w:rFonts w:hint="eastAsia"/>
                      <w:bCs/>
                      <w:szCs w:val="21"/>
                      <w:lang w:val="en-US" w:eastAsia="zh-CN"/>
                    </w:rPr>
                    <w:t>3</w:t>
                  </w:r>
                </w:p>
              </w:tc>
              <w:tc>
                <w:tcPr>
                  <w:tcW w:w="2454" w:type="dxa"/>
                  <w:vAlign w:val="center"/>
                </w:tcPr>
                <w:p w14:paraId="5C5F2B2E">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煤气燃烧器</w:t>
                  </w:r>
                </w:p>
              </w:tc>
              <w:tc>
                <w:tcPr>
                  <w:tcW w:w="1995" w:type="dxa"/>
                  <w:vAlign w:val="center"/>
                </w:tcPr>
                <w:p w14:paraId="5239B672">
                  <w:pPr>
                    <w:adjustRightInd w:val="0"/>
                    <w:snapToGrid w:val="0"/>
                    <w:jc w:val="center"/>
                    <w:rPr>
                      <w:bCs/>
                      <w:szCs w:val="21"/>
                    </w:rPr>
                  </w:pPr>
                  <w:r>
                    <w:rPr>
                      <w:rFonts w:hint="eastAsia"/>
                      <w:bCs/>
                      <w:szCs w:val="21"/>
                    </w:rPr>
                    <w:t>/</w:t>
                  </w:r>
                </w:p>
              </w:tc>
              <w:tc>
                <w:tcPr>
                  <w:tcW w:w="855" w:type="dxa"/>
                  <w:vAlign w:val="center"/>
                </w:tcPr>
                <w:p w14:paraId="60CB6C64">
                  <w:pPr>
                    <w:adjustRightInd w:val="0"/>
                    <w:snapToGrid w:val="0"/>
                    <w:jc w:val="center"/>
                    <w:rPr>
                      <w:bCs/>
                      <w:szCs w:val="21"/>
                    </w:rPr>
                  </w:pPr>
                  <w:r>
                    <w:rPr>
                      <w:bCs/>
                      <w:szCs w:val="21"/>
                    </w:rPr>
                    <w:t>台</w:t>
                  </w:r>
                </w:p>
              </w:tc>
              <w:tc>
                <w:tcPr>
                  <w:tcW w:w="854" w:type="dxa"/>
                  <w:vAlign w:val="center"/>
                </w:tcPr>
                <w:p w14:paraId="11B45004">
                  <w:pPr>
                    <w:adjustRightInd w:val="0"/>
                    <w:snapToGrid w:val="0"/>
                    <w:jc w:val="center"/>
                    <w:rPr>
                      <w:rFonts w:hint="eastAsia" w:eastAsia="宋体"/>
                      <w:bCs/>
                      <w:szCs w:val="21"/>
                      <w:lang w:eastAsia="zh-CN"/>
                    </w:rPr>
                  </w:pPr>
                  <w:r>
                    <w:rPr>
                      <w:rFonts w:hint="eastAsia"/>
                      <w:bCs/>
                      <w:szCs w:val="21"/>
                      <w:lang w:val="en-US" w:eastAsia="zh-CN"/>
                    </w:rPr>
                    <w:t>1</w:t>
                  </w:r>
                </w:p>
              </w:tc>
              <w:tc>
                <w:tcPr>
                  <w:tcW w:w="1208" w:type="dxa"/>
                  <w:vAlign w:val="center"/>
                </w:tcPr>
                <w:p w14:paraId="37260051">
                  <w:pPr>
                    <w:adjustRightInd w:val="0"/>
                    <w:snapToGrid w:val="0"/>
                    <w:jc w:val="center"/>
                    <w:rPr>
                      <w:rFonts w:hint="eastAsia" w:eastAsia="宋体"/>
                      <w:bCs/>
                      <w:szCs w:val="21"/>
                      <w:lang w:val="en-US" w:eastAsia="zh-CN"/>
                    </w:rPr>
                  </w:pPr>
                  <w:r>
                    <w:rPr>
                      <w:rFonts w:hint="eastAsia"/>
                      <w:bCs/>
                      <w:szCs w:val="21"/>
                      <w:lang w:val="en-US" w:eastAsia="zh-CN"/>
                    </w:rPr>
                    <w:t>/</w:t>
                  </w:r>
                </w:p>
              </w:tc>
            </w:tr>
            <w:tr w14:paraId="4B74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4DBCB740">
                  <w:pPr>
                    <w:adjustRightInd w:val="0"/>
                    <w:snapToGrid w:val="0"/>
                    <w:jc w:val="center"/>
                    <w:rPr>
                      <w:rFonts w:hint="default"/>
                      <w:bCs/>
                      <w:szCs w:val="21"/>
                      <w:lang w:val="en-US" w:eastAsia="zh-CN"/>
                    </w:rPr>
                  </w:pPr>
                  <w:r>
                    <w:rPr>
                      <w:rFonts w:hint="eastAsia"/>
                      <w:bCs/>
                      <w:szCs w:val="21"/>
                      <w:lang w:val="en-US" w:eastAsia="zh-CN"/>
                    </w:rPr>
                    <w:t>4</w:t>
                  </w:r>
                </w:p>
              </w:tc>
              <w:tc>
                <w:tcPr>
                  <w:tcW w:w="2454" w:type="dxa"/>
                  <w:vAlign w:val="center"/>
                </w:tcPr>
                <w:p w14:paraId="3D6D814D">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离心风机</w:t>
                  </w:r>
                </w:p>
              </w:tc>
              <w:tc>
                <w:tcPr>
                  <w:tcW w:w="1995" w:type="dxa"/>
                  <w:vAlign w:val="center"/>
                </w:tcPr>
                <w:p w14:paraId="13EE26B7">
                  <w:pPr>
                    <w:adjustRightInd w:val="0"/>
                    <w:snapToGrid w:val="0"/>
                    <w:jc w:val="center"/>
                    <w:rPr>
                      <w:rFonts w:hint="default" w:eastAsia="宋体"/>
                      <w:bCs/>
                      <w:szCs w:val="21"/>
                      <w:lang w:val="en-US" w:eastAsia="zh-CN"/>
                    </w:rPr>
                  </w:pPr>
                  <w:r>
                    <w:rPr>
                      <w:rFonts w:hint="eastAsia"/>
                      <w:bCs/>
                      <w:szCs w:val="21"/>
                      <w:lang w:val="en-US" w:eastAsia="zh-CN"/>
                    </w:rPr>
                    <w:t>风量20000m</w:t>
                  </w:r>
                  <w:r>
                    <w:rPr>
                      <w:rFonts w:hint="eastAsia"/>
                      <w:bCs/>
                      <w:szCs w:val="21"/>
                      <w:vertAlign w:val="superscript"/>
                      <w:lang w:val="en-US" w:eastAsia="zh-CN"/>
                    </w:rPr>
                    <w:t>3</w:t>
                  </w:r>
                  <w:r>
                    <w:rPr>
                      <w:rFonts w:hint="eastAsia"/>
                      <w:bCs/>
                      <w:szCs w:val="21"/>
                      <w:lang w:val="en-US" w:eastAsia="zh-CN"/>
                    </w:rPr>
                    <w:t>/h</w:t>
                  </w:r>
                </w:p>
              </w:tc>
              <w:tc>
                <w:tcPr>
                  <w:tcW w:w="855" w:type="dxa"/>
                  <w:vAlign w:val="center"/>
                </w:tcPr>
                <w:p w14:paraId="1AB1624F">
                  <w:pPr>
                    <w:adjustRightInd w:val="0"/>
                    <w:snapToGrid w:val="0"/>
                    <w:jc w:val="center"/>
                    <w:rPr>
                      <w:rFonts w:hint="eastAsia" w:eastAsia="宋体"/>
                      <w:bCs/>
                      <w:szCs w:val="21"/>
                      <w:lang w:val="en-US" w:eastAsia="zh-CN"/>
                    </w:rPr>
                  </w:pPr>
                  <w:r>
                    <w:rPr>
                      <w:rFonts w:hint="eastAsia"/>
                      <w:bCs/>
                      <w:szCs w:val="21"/>
                      <w:lang w:val="en-US" w:eastAsia="zh-CN"/>
                    </w:rPr>
                    <w:t>台</w:t>
                  </w:r>
                </w:p>
              </w:tc>
              <w:tc>
                <w:tcPr>
                  <w:tcW w:w="854" w:type="dxa"/>
                  <w:vAlign w:val="center"/>
                </w:tcPr>
                <w:p w14:paraId="3B04B1F2">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525738E8">
                  <w:pPr>
                    <w:adjustRightInd w:val="0"/>
                    <w:snapToGrid w:val="0"/>
                    <w:jc w:val="center"/>
                    <w:rPr>
                      <w:rFonts w:hint="eastAsia" w:eastAsia="宋体"/>
                      <w:bCs/>
                      <w:szCs w:val="21"/>
                      <w:lang w:val="en-US" w:eastAsia="zh-CN"/>
                    </w:rPr>
                  </w:pPr>
                  <w:r>
                    <w:rPr>
                      <w:rFonts w:hint="eastAsia"/>
                      <w:bCs/>
                      <w:szCs w:val="21"/>
                      <w:lang w:val="en-US" w:eastAsia="zh-CN"/>
                    </w:rPr>
                    <w:t>/</w:t>
                  </w:r>
                </w:p>
              </w:tc>
            </w:tr>
            <w:tr w14:paraId="7E29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78A01DDD">
                  <w:pPr>
                    <w:adjustRightInd w:val="0"/>
                    <w:snapToGrid w:val="0"/>
                    <w:jc w:val="center"/>
                    <w:rPr>
                      <w:rFonts w:hint="default"/>
                      <w:bCs/>
                      <w:szCs w:val="21"/>
                      <w:lang w:val="en-US" w:eastAsia="zh-CN"/>
                    </w:rPr>
                  </w:pPr>
                  <w:r>
                    <w:rPr>
                      <w:rFonts w:hint="eastAsia"/>
                      <w:bCs/>
                      <w:szCs w:val="21"/>
                      <w:lang w:val="en-US" w:eastAsia="zh-CN"/>
                    </w:rPr>
                    <w:t>5</w:t>
                  </w:r>
                </w:p>
              </w:tc>
              <w:tc>
                <w:tcPr>
                  <w:tcW w:w="2454" w:type="dxa"/>
                  <w:vAlign w:val="center"/>
                </w:tcPr>
                <w:p w14:paraId="759E1718">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回转窑助燃风机</w:t>
                  </w:r>
                </w:p>
              </w:tc>
              <w:tc>
                <w:tcPr>
                  <w:tcW w:w="1995" w:type="dxa"/>
                  <w:vAlign w:val="center"/>
                </w:tcPr>
                <w:p w14:paraId="449C70EA">
                  <w:pPr>
                    <w:adjustRightInd w:val="0"/>
                    <w:snapToGrid w:val="0"/>
                    <w:jc w:val="center"/>
                    <w:rPr>
                      <w:rFonts w:hint="default"/>
                      <w:bCs/>
                      <w:szCs w:val="21"/>
                      <w:lang w:val="en-US"/>
                    </w:rPr>
                  </w:pPr>
                  <w:r>
                    <w:rPr>
                      <w:rFonts w:hint="eastAsia"/>
                      <w:bCs/>
                      <w:szCs w:val="21"/>
                      <w:lang w:val="en-US" w:eastAsia="zh-CN"/>
                    </w:rPr>
                    <w:t>风量340m</w:t>
                  </w:r>
                  <w:r>
                    <w:rPr>
                      <w:rFonts w:hint="eastAsia"/>
                      <w:bCs/>
                      <w:szCs w:val="21"/>
                      <w:vertAlign w:val="superscript"/>
                      <w:lang w:val="en-US" w:eastAsia="zh-CN"/>
                    </w:rPr>
                    <w:t>3</w:t>
                  </w:r>
                  <w:r>
                    <w:rPr>
                      <w:rFonts w:hint="eastAsia"/>
                      <w:bCs/>
                      <w:szCs w:val="21"/>
                      <w:lang w:val="en-US" w:eastAsia="zh-CN"/>
                    </w:rPr>
                    <w:t>/min</w:t>
                  </w:r>
                </w:p>
              </w:tc>
              <w:tc>
                <w:tcPr>
                  <w:tcW w:w="855" w:type="dxa"/>
                  <w:vAlign w:val="center"/>
                </w:tcPr>
                <w:p w14:paraId="75D9F334">
                  <w:pPr>
                    <w:adjustRightInd w:val="0"/>
                    <w:snapToGrid w:val="0"/>
                    <w:jc w:val="center"/>
                    <w:rPr>
                      <w:rFonts w:hint="eastAsia" w:eastAsia="宋体"/>
                      <w:bCs/>
                      <w:szCs w:val="21"/>
                      <w:lang w:val="en-US" w:eastAsia="zh-CN"/>
                    </w:rPr>
                  </w:pPr>
                  <w:r>
                    <w:rPr>
                      <w:rFonts w:hint="eastAsia"/>
                      <w:bCs/>
                      <w:szCs w:val="21"/>
                      <w:lang w:val="en-US" w:eastAsia="zh-CN"/>
                    </w:rPr>
                    <w:t>台</w:t>
                  </w:r>
                </w:p>
              </w:tc>
              <w:tc>
                <w:tcPr>
                  <w:tcW w:w="854" w:type="dxa"/>
                  <w:vAlign w:val="center"/>
                </w:tcPr>
                <w:p w14:paraId="7C0203C3">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0AC981DC">
                  <w:pPr>
                    <w:adjustRightInd w:val="0"/>
                    <w:snapToGrid w:val="0"/>
                    <w:jc w:val="center"/>
                    <w:rPr>
                      <w:rFonts w:hint="eastAsia" w:eastAsia="宋体"/>
                      <w:bCs/>
                      <w:szCs w:val="21"/>
                      <w:lang w:val="en-US" w:eastAsia="zh-CN"/>
                    </w:rPr>
                  </w:pPr>
                  <w:r>
                    <w:rPr>
                      <w:rFonts w:hint="eastAsia"/>
                      <w:bCs/>
                      <w:szCs w:val="21"/>
                      <w:lang w:val="en-US" w:eastAsia="zh-CN"/>
                    </w:rPr>
                    <w:t>/</w:t>
                  </w:r>
                </w:p>
              </w:tc>
            </w:tr>
            <w:tr w14:paraId="1FBB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4CF792D3">
                  <w:pPr>
                    <w:adjustRightInd w:val="0"/>
                    <w:snapToGrid w:val="0"/>
                    <w:jc w:val="center"/>
                    <w:rPr>
                      <w:rFonts w:hint="default"/>
                      <w:bCs/>
                      <w:szCs w:val="21"/>
                      <w:lang w:val="en-US" w:eastAsia="zh-CN"/>
                    </w:rPr>
                  </w:pPr>
                  <w:r>
                    <w:rPr>
                      <w:rFonts w:hint="eastAsia"/>
                      <w:bCs/>
                      <w:szCs w:val="21"/>
                      <w:lang w:val="en-US" w:eastAsia="zh-CN"/>
                    </w:rPr>
                    <w:t>6</w:t>
                  </w:r>
                </w:p>
              </w:tc>
              <w:tc>
                <w:tcPr>
                  <w:tcW w:w="2454" w:type="dxa"/>
                  <w:vAlign w:val="center"/>
                </w:tcPr>
                <w:p w14:paraId="0180EEA7">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窑尾压风机</w:t>
                  </w:r>
                </w:p>
              </w:tc>
              <w:tc>
                <w:tcPr>
                  <w:tcW w:w="1995" w:type="dxa"/>
                  <w:vAlign w:val="center"/>
                </w:tcPr>
                <w:p w14:paraId="0F841331">
                  <w:pPr>
                    <w:adjustRightInd w:val="0"/>
                    <w:snapToGrid w:val="0"/>
                    <w:jc w:val="center"/>
                    <w:rPr>
                      <w:rFonts w:hint="eastAsia"/>
                      <w:bCs/>
                      <w:szCs w:val="21"/>
                    </w:rPr>
                  </w:pPr>
                  <w:r>
                    <w:rPr>
                      <w:rFonts w:hint="eastAsia"/>
                      <w:bCs/>
                      <w:szCs w:val="21"/>
                      <w:lang w:val="en-US" w:eastAsia="zh-CN"/>
                    </w:rPr>
                    <w:t>风量8500m</w:t>
                  </w:r>
                  <w:r>
                    <w:rPr>
                      <w:rFonts w:hint="eastAsia"/>
                      <w:bCs/>
                      <w:szCs w:val="21"/>
                      <w:vertAlign w:val="superscript"/>
                      <w:lang w:val="en-US" w:eastAsia="zh-CN"/>
                    </w:rPr>
                    <w:t>3</w:t>
                  </w:r>
                  <w:r>
                    <w:rPr>
                      <w:rFonts w:hint="eastAsia"/>
                      <w:bCs/>
                      <w:szCs w:val="21"/>
                      <w:lang w:val="en-US" w:eastAsia="zh-CN"/>
                    </w:rPr>
                    <w:t>/h</w:t>
                  </w:r>
                </w:p>
              </w:tc>
              <w:tc>
                <w:tcPr>
                  <w:tcW w:w="855" w:type="dxa"/>
                  <w:vAlign w:val="center"/>
                </w:tcPr>
                <w:p w14:paraId="63856BEA">
                  <w:pPr>
                    <w:adjustRightInd w:val="0"/>
                    <w:snapToGrid w:val="0"/>
                    <w:jc w:val="center"/>
                    <w:rPr>
                      <w:rFonts w:hint="eastAsia" w:eastAsia="宋体"/>
                      <w:bCs/>
                      <w:szCs w:val="21"/>
                      <w:lang w:val="en-US" w:eastAsia="zh-CN"/>
                    </w:rPr>
                  </w:pPr>
                  <w:r>
                    <w:rPr>
                      <w:rFonts w:hint="eastAsia"/>
                      <w:bCs/>
                      <w:szCs w:val="21"/>
                      <w:lang w:val="en-US" w:eastAsia="zh-CN"/>
                    </w:rPr>
                    <w:t>台</w:t>
                  </w:r>
                </w:p>
              </w:tc>
              <w:tc>
                <w:tcPr>
                  <w:tcW w:w="854" w:type="dxa"/>
                  <w:vAlign w:val="center"/>
                </w:tcPr>
                <w:p w14:paraId="657FFAB1">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3C11DA7B">
                  <w:pPr>
                    <w:adjustRightInd w:val="0"/>
                    <w:snapToGrid w:val="0"/>
                    <w:jc w:val="center"/>
                    <w:rPr>
                      <w:rFonts w:hint="eastAsia" w:eastAsia="宋体"/>
                      <w:bCs/>
                      <w:szCs w:val="21"/>
                      <w:lang w:val="en-US" w:eastAsia="zh-CN"/>
                    </w:rPr>
                  </w:pPr>
                  <w:r>
                    <w:rPr>
                      <w:rFonts w:hint="eastAsia"/>
                      <w:bCs/>
                      <w:szCs w:val="21"/>
                      <w:lang w:val="en-US" w:eastAsia="zh-CN"/>
                    </w:rPr>
                    <w:t>/</w:t>
                  </w:r>
                </w:p>
              </w:tc>
            </w:tr>
            <w:tr w14:paraId="41B6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75" w:type="dxa"/>
                  <w:gridSpan w:val="6"/>
                  <w:vAlign w:val="center"/>
                </w:tcPr>
                <w:p w14:paraId="322353A1">
                  <w:pPr>
                    <w:adjustRightInd w:val="0"/>
                    <w:snapToGrid w:val="0"/>
                    <w:jc w:val="center"/>
                    <w:rPr>
                      <w:rFonts w:hint="default" w:eastAsia="宋体"/>
                      <w:bCs/>
                      <w:szCs w:val="21"/>
                      <w:lang w:val="en-US" w:eastAsia="zh-CN"/>
                    </w:rPr>
                  </w:pPr>
                  <w:r>
                    <w:rPr>
                      <w:rFonts w:hint="eastAsia"/>
                      <w:b/>
                      <w:bCs w:val="0"/>
                      <w:szCs w:val="21"/>
                      <w:lang w:val="en-US" w:eastAsia="zh-CN"/>
                    </w:rPr>
                    <w:t>烟风系统</w:t>
                  </w:r>
                </w:p>
              </w:tc>
            </w:tr>
            <w:tr w14:paraId="6838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37C9D82B">
                  <w:pPr>
                    <w:adjustRightInd w:val="0"/>
                    <w:snapToGrid w:val="0"/>
                    <w:jc w:val="center"/>
                    <w:rPr>
                      <w:rFonts w:hint="eastAsia" w:eastAsia="宋体"/>
                      <w:bCs/>
                      <w:szCs w:val="21"/>
                      <w:lang w:val="en-US" w:eastAsia="zh-CN"/>
                    </w:rPr>
                  </w:pPr>
                  <w:r>
                    <w:rPr>
                      <w:rFonts w:hint="eastAsia"/>
                      <w:bCs/>
                      <w:szCs w:val="21"/>
                      <w:lang w:val="en-US" w:eastAsia="zh-CN"/>
                    </w:rPr>
                    <w:t>1</w:t>
                  </w:r>
                </w:p>
              </w:tc>
              <w:tc>
                <w:tcPr>
                  <w:tcW w:w="2454" w:type="dxa"/>
                  <w:vAlign w:val="center"/>
                </w:tcPr>
                <w:p w14:paraId="05F1B102">
                  <w:pPr>
                    <w:widowControl/>
                    <w:jc w:val="center"/>
                    <w:textAlignment w:val="center"/>
                    <w:rPr>
                      <w:rFonts w:hint="eastAsia" w:eastAsia="宋体"/>
                      <w:color w:val="000000"/>
                      <w:kern w:val="0"/>
                      <w:sz w:val="22"/>
                      <w:szCs w:val="22"/>
                      <w:lang w:val="en-US" w:eastAsia="zh-CN" w:bidi="ar"/>
                    </w:rPr>
                  </w:pPr>
                  <w:r>
                    <w:rPr>
                      <w:rFonts w:hint="eastAsia"/>
                      <w:color w:val="000000"/>
                      <w:kern w:val="0"/>
                      <w:sz w:val="22"/>
                      <w:szCs w:val="22"/>
                      <w:lang w:val="en-US" w:eastAsia="zh-CN" w:bidi="ar"/>
                    </w:rPr>
                    <w:t>余热锅炉</w:t>
                  </w:r>
                </w:p>
              </w:tc>
              <w:tc>
                <w:tcPr>
                  <w:tcW w:w="1995" w:type="dxa"/>
                  <w:vAlign w:val="center"/>
                </w:tcPr>
                <w:p w14:paraId="2B0AB743">
                  <w:pPr>
                    <w:adjustRightInd w:val="0"/>
                    <w:snapToGrid w:val="0"/>
                    <w:jc w:val="center"/>
                    <w:rPr>
                      <w:rFonts w:hint="eastAsia"/>
                      <w:bCs/>
                      <w:szCs w:val="21"/>
                    </w:rPr>
                  </w:pPr>
                  <w:r>
                    <w:rPr>
                      <w:rFonts w:hint="eastAsia"/>
                      <w:bCs/>
                      <w:szCs w:val="21"/>
                    </w:rPr>
                    <w:t>锅炉额定蒸发量</w:t>
                  </w:r>
                  <w:r>
                    <w:rPr>
                      <w:rFonts w:hint="eastAsia"/>
                      <w:bCs/>
                      <w:szCs w:val="21"/>
                      <w:lang w:eastAsia="zh-CN"/>
                    </w:rPr>
                    <w:t>：</w:t>
                  </w:r>
                  <w:r>
                    <w:rPr>
                      <w:rFonts w:hint="eastAsia"/>
                      <w:bCs/>
                      <w:szCs w:val="21"/>
                    </w:rPr>
                    <w:t>15t/h、压力</w:t>
                  </w:r>
                  <w:r>
                    <w:rPr>
                      <w:rFonts w:hint="eastAsia"/>
                      <w:bCs/>
                      <w:szCs w:val="21"/>
                      <w:lang w:eastAsia="zh-CN"/>
                    </w:rPr>
                    <w:t>：</w:t>
                  </w:r>
                  <w:r>
                    <w:rPr>
                      <w:rFonts w:hint="eastAsia"/>
                      <w:bCs/>
                      <w:szCs w:val="21"/>
                    </w:rPr>
                    <w:t>1.6MPa、温度</w:t>
                  </w:r>
                  <w:r>
                    <w:rPr>
                      <w:rFonts w:hint="eastAsia"/>
                      <w:bCs/>
                      <w:szCs w:val="21"/>
                      <w:lang w:eastAsia="zh-CN"/>
                    </w:rPr>
                    <w:t>：</w:t>
                  </w:r>
                  <w:r>
                    <w:rPr>
                      <w:rFonts w:hint="eastAsia"/>
                      <w:bCs/>
                      <w:szCs w:val="21"/>
                    </w:rPr>
                    <w:t>204.3°C</w:t>
                  </w:r>
                </w:p>
              </w:tc>
              <w:tc>
                <w:tcPr>
                  <w:tcW w:w="855" w:type="dxa"/>
                  <w:vAlign w:val="center"/>
                </w:tcPr>
                <w:p w14:paraId="70380F10">
                  <w:pPr>
                    <w:adjustRightInd w:val="0"/>
                    <w:snapToGrid w:val="0"/>
                    <w:jc w:val="center"/>
                    <w:rPr>
                      <w:rFonts w:hint="eastAsia" w:eastAsia="宋体"/>
                      <w:bCs/>
                      <w:szCs w:val="21"/>
                      <w:lang w:val="en-US" w:eastAsia="zh-CN"/>
                    </w:rPr>
                  </w:pPr>
                  <w:r>
                    <w:rPr>
                      <w:rFonts w:hint="eastAsia"/>
                      <w:bCs/>
                      <w:szCs w:val="21"/>
                      <w:lang w:val="en-US" w:eastAsia="zh-CN"/>
                    </w:rPr>
                    <w:t>台</w:t>
                  </w:r>
                </w:p>
              </w:tc>
              <w:tc>
                <w:tcPr>
                  <w:tcW w:w="854" w:type="dxa"/>
                  <w:vAlign w:val="center"/>
                </w:tcPr>
                <w:p w14:paraId="03F30981">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43013374">
                  <w:pPr>
                    <w:adjustRightInd w:val="0"/>
                    <w:snapToGrid w:val="0"/>
                    <w:jc w:val="center"/>
                    <w:rPr>
                      <w:rFonts w:hint="eastAsia" w:eastAsia="宋体"/>
                      <w:bCs/>
                      <w:szCs w:val="21"/>
                      <w:lang w:val="en-US" w:eastAsia="zh-CN"/>
                    </w:rPr>
                  </w:pPr>
                  <w:r>
                    <w:rPr>
                      <w:rFonts w:hint="eastAsia"/>
                      <w:bCs/>
                      <w:szCs w:val="21"/>
                      <w:lang w:val="en-US" w:eastAsia="zh-CN"/>
                    </w:rPr>
                    <w:t>/</w:t>
                  </w:r>
                </w:p>
              </w:tc>
            </w:tr>
            <w:tr w14:paraId="7058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121BD8FB">
                  <w:pPr>
                    <w:adjustRightInd w:val="0"/>
                    <w:snapToGrid w:val="0"/>
                    <w:jc w:val="center"/>
                    <w:rPr>
                      <w:rFonts w:hint="eastAsia" w:eastAsia="宋体"/>
                      <w:bCs/>
                      <w:szCs w:val="21"/>
                      <w:lang w:val="en-US" w:eastAsia="zh-CN"/>
                    </w:rPr>
                  </w:pPr>
                  <w:r>
                    <w:rPr>
                      <w:rFonts w:hint="eastAsia"/>
                      <w:bCs/>
                      <w:szCs w:val="21"/>
                      <w:lang w:val="en-US" w:eastAsia="zh-CN"/>
                    </w:rPr>
                    <w:t>2</w:t>
                  </w:r>
                </w:p>
              </w:tc>
              <w:tc>
                <w:tcPr>
                  <w:tcW w:w="2454" w:type="dxa"/>
                  <w:vAlign w:val="center"/>
                </w:tcPr>
                <w:p w14:paraId="5CC5BD4C">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主布袋除尘器</w:t>
                  </w:r>
                </w:p>
              </w:tc>
              <w:tc>
                <w:tcPr>
                  <w:tcW w:w="1995" w:type="dxa"/>
                  <w:vAlign w:val="center"/>
                </w:tcPr>
                <w:p w14:paraId="290B49CA">
                  <w:pPr>
                    <w:adjustRightInd w:val="0"/>
                    <w:snapToGrid w:val="0"/>
                    <w:jc w:val="center"/>
                    <w:rPr>
                      <w:rFonts w:hint="eastAsia"/>
                      <w:bCs/>
                      <w:szCs w:val="21"/>
                    </w:rPr>
                  </w:pPr>
                  <w:r>
                    <w:rPr>
                      <w:rFonts w:hint="eastAsia"/>
                      <w:bCs/>
                      <w:szCs w:val="21"/>
                      <w:lang w:val="en-US" w:eastAsia="zh-CN"/>
                    </w:rPr>
                    <w:t>风</w:t>
                  </w:r>
                  <w:r>
                    <w:rPr>
                      <w:rFonts w:hint="eastAsia"/>
                      <w:bCs/>
                      <w:szCs w:val="21"/>
                    </w:rPr>
                    <w:t>量</w:t>
                  </w:r>
                  <w:r>
                    <w:rPr>
                      <w:rFonts w:hint="eastAsia"/>
                      <w:bCs/>
                      <w:szCs w:val="21"/>
                      <w:lang w:eastAsia="zh-CN"/>
                    </w:rPr>
                    <w:t>：</w:t>
                  </w:r>
                  <w:r>
                    <w:rPr>
                      <w:rFonts w:hint="eastAsia"/>
                      <w:bCs/>
                      <w:szCs w:val="21"/>
                    </w:rPr>
                    <w:t>2000000m</w:t>
                  </w:r>
                  <w:r>
                    <w:rPr>
                      <w:rFonts w:hint="eastAsia"/>
                      <w:bCs/>
                      <w:szCs w:val="21"/>
                      <w:vertAlign w:val="superscript"/>
                    </w:rPr>
                    <w:t>3</w:t>
                  </w:r>
                  <w:r>
                    <w:rPr>
                      <w:rFonts w:hint="eastAsia"/>
                      <w:bCs/>
                      <w:szCs w:val="21"/>
                    </w:rPr>
                    <w:t>/h</w:t>
                  </w:r>
                </w:p>
                <w:p w14:paraId="10375EDF">
                  <w:pPr>
                    <w:adjustRightInd w:val="0"/>
                    <w:snapToGrid w:val="0"/>
                    <w:jc w:val="center"/>
                    <w:rPr>
                      <w:rFonts w:hint="eastAsia"/>
                      <w:bCs/>
                      <w:szCs w:val="21"/>
                    </w:rPr>
                  </w:pPr>
                  <w:r>
                    <w:rPr>
                      <w:rFonts w:hint="eastAsia"/>
                      <w:bCs/>
                      <w:szCs w:val="21"/>
                    </w:rPr>
                    <w:t>(工</w:t>
                  </w:r>
                  <w:r>
                    <w:rPr>
                      <w:rFonts w:hint="eastAsia"/>
                      <w:bCs/>
                      <w:szCs w:val="21"/>
                      <w:lang w:val="en-US" w:eastAsia="zh-CN"/>
                    </w:rPr>
                    <w:t>况</w:t>
                  </w:r>
                  <w:r>
                    <w:rPr>
                      <w:rFonts w:hint="eastAsia"/>
                      <w:bCs/>
                      <w:szCs w:val="21"/>
                    </w:rPr>
                    <w:t>160°C)</w:t>
                  </w:r>
                </w:p>
              </w:tc>
              <w:tc>
                <w:tcPr>
                  <w:tcW w:w="855" w:type="dxa"/>
                  <w:vAlign w:val="center"/>
                </w:tcPr>
                <w:p w14:paraId="5A5E8A2E">
                  <w:pPr>
                    <w:adjustRightInd w:val="0"/>
                    <w:snapToGrid w:val="0"/>
                    <w:jc w:val="center"/>
                    <w:rPr>
                      <w:rFonts w:hint="eastAsia" w:eastAsia="宋体"/>
                      <w:bCs/>
                      <w:szCs w:val="21"/>
                      <w:lang w:val="en-US" w:eastAsia="zh-CN"/>
                    </w:rPr>
                  </w:pPr>
                  <w:r>
                    <w:rPr>
                      <w:rFonts w:hint="eastAsia"/>
                      <w:bCs/>
                      <w:szCs w:val="21"/>
                      <w:lang w:val="en-US" w:eastAsia="zh-CN"/>
                    </w:rPr>
                    <w:t>台</w:t>
                  </w:r>
                </w:p>
              </w:tc>
              <w:tc>
                <w:tcPr>
                  <w:tcW w:w="854" w:type="dxa"/>
                  <w:vAlign w:val="center"/>
                </w:tcPr>
                <w:p w14:paraId="28634A8D">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2B0F72F7">
                  <w:pPr>
                    <w:adjustRightInd w:val="0"/>
                    <w:snapToGrid w:val="0"/>
                    <w:jc w:val="center"/>
                    <w:rPr>
                      <w:rFonts w:hint="eastAsia"/>
                      <w:bCs/>
                      <w:szCs w:val="21"/>
                    </w:rPr>
                  </w:pPr>
                  <w:r>
                    <w:rPr>
                      <w:rFonts w:hint="eastAsia"/>
                      <w:bCs/>
                      <w:szCs w:val="21"/>
                    </w:rPr>
                    <w:t>滤袋耐温</w:t>
                  </w:r>
                </w:p>
                <w:p w14:paraId="19C9A35D">
                  <w:pPr>
                    <w:adjustRightInd w:val="0"/>
                    <w:snapToGrid w:val="0"/>
                    <w:jc w:val="center"/>
                    <w:rPr>
                      <w:rFonts w:hint="eastAsia"/>
                      <w:bCs/>
                      <w:szCs w:val="21"/>
                    </w:rPr>
                  </w:pPr>
                  <w:r>
                    <w:rPr>
                      <w:rFonts w:hint="eastAsia"/>
                      <w:bCs/>
                      <w:szCs w:val="21"/>
                    </w:rPr>
                    <w:t>240</w:t>
                  </w:r>
                  <w:r>
                    <w:rPr>
                      <w:rFonts w:hint="eastAsia"/>
                      <w:bCs/>
                      <w:szCs w:val="21"/>
                      <w:lang w:val="en-US" w:eastAsia="zh-CN"/>
                    </w:rPr>
                    <w:t>℃，</w:t>
                  </w:r>
                  <w:r>
                    <w:rPr>
                      <w:rFonts w:hint="eastAsia"/>
                      <w:bCs/>
                      <w:szCs w:val="21"/>
                    </w:rPr>
                    <w:t>PTFE+PTF</w:t>
                  </w:r>
                </w:p>
                <w:p w14:paraId="3BA2E590">
                  <w:pPr>
                    <w:adjustRightInd w:val="0"/>
                    <w:snapToGrid w:val="0"/>
                    <w:jc w:val="center"/>
                    <w:rPr>
                      <w:bCs/>
                      <w:szCs w:val="21"/>
                    </w:rPr>
                  </w:pPr>
                  <w:r>
                    <w:rPr>
                      <w:rFonts w:hint="eastAsia"/>
                      <w:bCs/>
                      <w:szCs w:val="21"/>
                    </w:rPr>
                    <w:t>E覆膜</w:t>
                  </w:r>
                </w:p>
              </w:tc>
            </w:tr>
            <w:tr w14:paraId="5027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2C96EC13">
                  <w:pPr>
                    <w:adjustRightInd w:val="0"/>
                    <w:snapToGrid w:val="0"/>
                    <w:jc w:val="center"/>
                    <w:rPr>
                      <w:rFonts w:hint="eastAsia" w:eastAsia="宋体"/>
                      <w:bCs/>
                      <w:szCs w:val="21"/>
                      <w:lang w:val="en-US" w:eastAsia="zh-CN"/>
                    </w:rPr>
                  </w:pPr>
                  <w:r>
                    <w:rPr>
                      <w:rFonts w:hint="eastAsia"/>
                      <w:bCs/>
                      <w:szCs w:val="21"/>
                      <w:lang w:val="en-US" w:eastAsia="zh-CN"/>
                    </w:rPr>
                    <w:t>3</w:t>
                  </w:r>
                </w:p>
              </w:tc>
              <w:tc>
                <w:tcPr>
                  <w:tcW w:w="2454" w:type="dxa"/>
                  <w:vAlign w:val="center"/>
                </w:tcPr>
                <w:p w14:paraId="082D1F93">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主引风机</w:t>
                  </w:r>
                </w:p>
              </w:tc>
              <w:tc>
                <w:tcPr>
                  <w:tcW w:w="1995" w:type="dxa"/>
                  <w:vAlign w:val="center"/>
                </w:tcPr>
                <w:p w14:paraId="12F9E852">
                  <w:pPr>
                    <w:adjustRightInd w:val="0"/>
                    <w:snapToGrid w:val="0"/>
                    <w:jc w:val="center"/>
                    <w:rPr>
                      <w:rFonts w:hint="eastAsia"/>
                      <w:bCs/>
                      <w:szCs w:val="21"/>
                    </w:rPr>
                  </w:pPr>
                  <w:r>
                    <w:rPr>
                      <w:rFonts w:hint="eastAsia"/>
                      <w:bCs/>
                      <w:szCs w:val="21"/>
                      <w:lang w:val="en-US" w:eastAsia="zh-CN"/>
                    </w:rPr>
                    <w:t>/</w:t>
                  </w:r>
                </w:p>
              </w:tc>
              <w:tc>
                <w:tcPr>
                  <w:tcW w:w="855" w:type="dxa"/>
                  <w:vAlign w:val="center"/>
                </w:tcPr>
                <w:p w14:paraId="74B02E63">
                  <w:pPr>
                    <w:adjustRightInd w:val="0"/>
                    <w:snapToGrid w:val="0"/>
                    <w:jc w:val="center"/>
                    <w:rPr>
                      <w:rFonts w:hint="eastAsia" w:eastAsia="宋体"/>
                      <w:bCs/>
                      <w:szCs w:val="21"/>
                      <w:lang w:val="en-US" w:eastAsia="zh-CN"/>
                    </w:rPr>
                  </w:pPr>
                  <w:r>
                    <w:rPr>
                      <w:rFonts w:hint="eastAsia"/>
                      <w:bCs/>
                      <w:szCs w:val="21"/>
                      <w:lang w:val="en-US" w:eastAsia="zh-CN"/>
                    </w:rPr>
                    <w:t>台</w:t>
                  </w:r>
                </w:p>
              </w:tc>
              <w:tc>
                <w:tcPr>
                  <w:tcW w:w="854" w:type="dxa"/>
                  <w:vAlign w:val="center"/>
                </w:tcPr>
                <w:p w14:paraId="52CBB3F0">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4D749081">
                  <w:pPr>
                    <w:adjustRightInd w:val="0"/>
                    <w:snapToGrid w:val="0"/>
                    <w:jc w:val="center"/>
                    <w:rPr>
                      <w:rFonts w:hint="eastAsia" w:eastAsia="宋体"/>
                      <w:bCs/>
                      <w:szCs w:val="21"/>
                      <w:lang w:val="en-US" w:eastAsia="zh-CN"/>
                    </w:rPr>
                  </w:pPr>
                  <w:r>
                    <w:rPr>
                      <w:rFonts w:hint="eastAsia"/>
                      <w:bCs/>
                      <w:szCs w:val="21"/>
                      <w:lang w:val="en-US" w:eastAsia="zh-CN"/>
                    </w:rPr>
                    <w:t>/</w:t>
                  </w:r>
                </w:p>
              </w:tc>
            </w:tr>
            <w:tr w14:paraId="091A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75" w:type="dxa"/>
                  <w:gridSpan w:val="6"/>
                  <w:vAlign w:val="center"/>
                </w:tcPr>
                <w:p w14:paraId="011028C0">
                  <w:pPr>
                    <w:adjustRightInd w:val="0"/>
                    <w:snapToGrid w:val="0"/>
                    <w:jc w:val="center"/>
                    <w:rPr>
                      <w:rFonts w:hint="default" w:eastAsia="宋体"/>
                      <w:bCs/>
                      <w:szCs w:val="21"/>
                      <w:lang w:val="en-US" w:eastAsia="zh-CN"/>
                    </w:rPr>
                  </w:pPr>
                  <w:r>
                    <w:rPr>
                      <w:rFonts w:hint="eastAsia"/>
                      <w:b/>
                      <w:bCs w:val="0"/>
                      <w:szCs w:val="21"/>
                      <w:lang w:val="en-US" w:eastAsia="zh-CN"/>
                    </w:rPr>
                    <w:t>次氧化锌粉</w:t>
                  </w:r>
                </w:p>
              </w:tc>
            </w:tr>
            <w:tr w14:paraId="64E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2E29752E">
                  <w:pPr>
                    <w:adjustRightInd w:val="0"/>
                    <w:snapToGrid w:val="0"/>
                    <w:jc w:val="center"/>
                    <w:rPr>
                      <w:rFonts w:hint="eastAsia" w:eastAsia="宋体"/>
                      <w:bCs/>
                      <w:szCs w:val="21"/>
                      <w:lang w:val="en-US" w:eastAsia="zh-CN"/>
                    </w:rPr>
                  </w:pPr>
                  <w:r>
                    <w:rPr>
                      <w:rFonts w:hint="eastAsia"/>
                      <w:bCs/>
                      <w:szCs w:val="21"/>
                      <w:lang w:val="en-US" w:eastAsia="zh-CN"/>
                    </w:rPr>
                    <w:t>1</w:t>
                  </w:r>
                </w:p>
              </w:tc>
              <w:tc>
                <w:tcPr>
                  <w:tcW w:w="2454" w:type="dxa"/>
                  <w:vAlign w:val="center"/>
                </w:tcPr>
                <w:p w14:paraId="59F4F2A8">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锅炉卸灰装置</w:t>
                  </w:r>
                </w:p>
              </w:tc>
              <w:tc>
                <w:tcPr>
                  <w:tcW w:w="1995" w:type="dxa"/>
                  <w:vAlign w:val="center"/>
                </w:tcPr>
                <w:p w14:paraId="1C13340C">
                  <w:pPr>
                    <w:adjustRightInd w:val="0"/>
                    <w:snapToGrid w:val="0"/>
                    <w:jc w:val="center"/>
                    <w:rPr>
                      <w:rFonts w:hint="eastAsia"/>
                      <w:bCs/>
                      <w:szCs w:val="21"/>
                    </w:rPr>
                  </w:pPr>
                  <w:r>
                    <w:rPr>
                      <w:rFonts w:hint="eastAsia"/>
                      <w:bCs/>
                      <w:szCs w:val="21"/>
                    </w:rPr>
                    <w:t>含阀门、输送机、补偿器等</w:t>
                  </w:r>
                </w:p>
              </w:tc>
              <w:tc>
                <w:tcPr>
                  <w:tcW w:w="855" w:type="dxa"/>
                  <w:shd w:val="clear" w:color="auto" w:fill="auto"/>
                  <w:vAlign w:val="center"/>
                </w:tcPr>
                <w:p w14:paraId="15DD0599">
                  <w:pPr>
                    <w:adjustRightInd w:val="0"/>
                    <w:snapToGrid w:val="0"/>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台</w:t>
                  </w:r>
                </w:p>
              </w:tc>
              <w:tc>
                <w:tcPr>
                  <w:tcW w:w="854" w:type="dxa"/>
                  <w:vAlign w:val="center"/>
                </w:tcPr>
                <w:p w14:paraId="6913D776">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4804CF8E">
                  <w:pPr>
                    <w:adjustRightInd w:val="0"/>
                    <w:snapToGrid w:val="0"/>
                    <w:jc w:val="center"/>
                    <w:rPr>
                      <w:rFonts w:hint="eastAsia" w:eastAsia="宋体"/>
                      <w:bCs/>
                      <w:szCs w:val="21"/>
                      <w:lang w:val="en-US" w:eastAsia="zh-CN"/>
                    </w:rPr>
                  </w:pPr>
                  <w:r>
                    <w:rPr>
                      <w:rFonts w:hint="eastAsia"/>
                      <w:bCs/>
                      <w:szCs w:val="21"/>
                      <w:lang w:val="en-US" w:eastAsia="zh-CN"/>
                    </w:rPr>
                    <w:t>/</w:t>
                  </w:r>
                </w:p>
              </w:tc>
            </w:tr>
            <w:tr w14:paraId="5656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5B09D41A">
                  <w:pPr>
                    <w:adjustRightInd w:val="0"/>
                    <w:snapToGrid w:val="0"/>
                    <w:jc w:val="center"/>
                    <w:rPr>
                      <w:rFonts w:hint="eastAsia" w:eastAsia="宋体"/>
                      <w:bCs/>
                      <w:szCs w:val="21"/>
                      <w:lang w:val="en-US" w:eastAsia="zh-CN"/>
                    </w:rPr>
                  </w:pPr>
                  <w:r>
                    <w:rPr>
                      <w:rFonts w:hint="eastAsia"/>
                      <w:bCs/>
                      <w:szCs w:val="21"/>
                      <w:lang w:val="en-US" w:eastAsia="zh-CN"/>
                    </w:rPr>
                    <w:t>2</w:t>
                  </w:r>
                </w:p>
              </w:tc>
              <w:tc>
                <w:tcPr>
                  <w:tcW w:w="2454" w:type="dxa"/>
                  <w:vAlign w:val="center"/>
                </w:tcPr>
                <w:p w14:paraId="358E1ED2">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表冷器卸灰装置</w:t>
                  </w:r>
                </w:p>
              </w:tc>
              <w:tc>
                <w:tcPr>
                  <w:tcW w:w="1995" w:type="dxa"/>
                  <w:vAlign w:val="center"/>
                </w:tcPr>
                <w:p w14:paraId="7A054620">
                  <w:pPr>
                    <w:adjustRightInd w:val="0"/>
                    <w:snapToGrid w:val="0"/>
                    <w:jc w:val="center"/>
                    <w:rPr>
                      <w:rFonts w:hint="eastAsia"/>
                      <w:bCs/>
                      <w:szCs w:val="21"/>
                    </w:rPr>
                  </w:pPr>
                  <w:r>
                    <w:rPr>
                      <w:rFonts w:hint="eastAsia"/>
                      <w:bCs/>
                      <w:szCs w:val="21"/>
                    </w:rPr>
                    <w:t>含阀门、输送机、补偿器等</w:t>
                  </w:r>
                </w:p>
              </w:tc>
              <w:tc>
                <w:tcPr>
                  <w:tcW w:w="855" w:type="dxa"/>
                  <w:shd w:val="clear" w:color="auto" w:fill="auto"/>
                  <w:vAlign w:val="center"/>
                </w:tcPr>
                <w:p w14:paraId="4BF9FB8C">
                  <w:pPr>
                    <w:adjustRightInd w:val="0"/>
                    <w:snapToGrid w:val="0"/>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台</w:t>
                  </w:r>
                </w:p>
              </w:tc>
              <w:tc>
                <w:tcPr>
                  <w:tcW w:w="854" w:type="dxa"/>
                  <w:vAlign w:val="center"/>
                </w:tcPr>
                <w:p w14:paraId="714BFD18">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2A02FB06">
                  <w:pPr>
                    <w:adjustRightInd w:val="0"/>
                    <w:snapToGrid w:val="0"/>
                    <w:jc w:val="center"/>
                    <w:rPr>
                      <w:rFonts w:hint="eastAsia" w:eastAsia="宋体"/>
                      <w:bCs/>
                      <w:szCs w:val="21"/>
                      <w:lang w:val="en-US" w:eastAsia="zh-CN"/>
                    </w:rPr>
                  </w:pPr>
                  <w:r>
                    <w:rPr>
                      <w:rFonts w:hint="eastAsia"/>
                      <w:bCs/>
                      <w:szCs w:val="21"/>
                      <w:lang w:val="en-US" w:eastAsia="zh-CN"/>
                    </w:rPr>
                    <w:t>/</w:t>
                  </w:r>
                </w:p>
              </w:tc>
            </w:tr>
            <w:tr w14:paraId="2B95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7BE8B8B4">
                  <w:pPr>
                    <w:adjustRightInd w:val="0"/>
                    <w:snapToGrid w:val="0"/>
                    <w:jc w:val="center"/>
                    <w:rPr>
                      <w:rFonts w:hint="eastAsia" w:eastAsia="宋体"/>
                      <w:bCs/>
                      <w:szCs w:val="21"/>
                      <w:lang w:val="en-US" w:eastAsia="zh-CN"/>
                    </w:rPr>
                  </w:pPr>
                  <w:r>
                    <w:rPr>
                      <w:rFonts w:hint="eastAsia"/>
                      <w:bCs/>
                      <w:szCs w:val="21"/>
                      <w:lang w:val="en-US" w:eastAsia="zh-CN"/>
                    </w:rPr>
                    <w:t>3</w:t>
                  </w:r>
                </w:p>
              </w:tc>
              <w:tc>
                <w:tcPr>
                  <w:tcW w:w="2454" w:type="dxa"/>
                  <w:vAlign w:val="center"/>
                </w:tcPr>
                <w:p w14:paraId="71126B97">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除尘器卸灰装置</w:t>
                  </w:r>
                </w:p>
              </w:tc>
              <w:tc>
                <w:tcPr>
                  <w:tcW w:w="1995" w:type="dxa"/>
                  <w:vAlign w:val="center"/>
                </w:tcPr>
                <w:p w14:paraId="493E75FE">
                  <w:pPr>
                    <w:adjustRightInd w:val="0"/>
                    <w:snapToGrid w:val="0"/>
                    <w:jc w:val="center"/>
                    <w:rPr>
                      <w:rFonts w:hint="eastAsia"/>
                      <w:bCs/>
                      <w:szCs w:val="21"/>
                    </w:rPr>
                  </w:pPr>
                  <w:r>
                    <w:rPr>
                      <w:rFonts w:hint="eastAsia"/>
                      <w:bCs/>
                      <w:szCs w:val="21"/>
                    </w:rPr>
                    <w:t>含阀门、输送机、补偿器等</w:t>
                  </w:r>
                </w:p>
              </w:tc>
              <w:tc>
                <w:tcPr>
                  <w:tcW w:w="855" w:type="dxa"/>
                  <w:shd w:val="clear" w:color="auto" w:fill="auto"/>
                  <w:vAlign w:val="center"/>
                </w:tcPr>
                <w:p w14:paraId="38B2A01E">
                  <w:pPr>
                    <w:adjustRightInd w:val="0"/>
                    <w:snapToGrid w:val="0"/>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台</w:t>
                  </w:r>
                </w:p>
              </w:tc>
              <w:tc>
                <w:tcPr>
                  <w:tcW w:w="854" w:type="dxa"/>
                  <w:vAlign w:val="center"/>
                </w:tcPr>
                <w:p w14:paraId="177CAAB3">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7EFD158D">
                  <w:pPr>
                    <w:adjustRightInd w:val="0"/>
                    <w:snapToGrid w:val="0"/>
                    <w:jc w:val="center"/>
                    <w:rPr>
                      <w:rFonts w:hint="eastAsia" w:eastAsia="宋体"/>
                      <w:bCs/>
                      <w:szCs w:val="21"/>
                      <w:lang w:val="en-US" w:eastAsia="zh-CN"/>
                    </w:rPr>
                  </w:pPr>
                  <w:r>
                    <w:rPr>
                      <w:rFonts w:hint="eastAsia"/>
                      <w:bCs/>
                      <w:szCs w:val="21"/>
                      <w:lang w:val="en-US" w:eastAsia="zh-CN"/>
                    </w:rPr>
                    <w:t>/</w:t>
                  </w:r>
                </w:p>
              </w:tc>
            </w:tr>
            <w:tr w14:paraId="3C9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7C3B3FBC">
                  <w:pPr>
                    <w:adjustRightInd w:val="0"/>
                    <w:snapToGrid w:val="0"/>
                    <w:jc w:val="center"/>
                    <w:rPr>
                      <w:rFonts w:hint="eastAsia" w:eastAsia="宋体"/>
                      <w:bCs/>
                      <w:szCs w:val="21"/>
                      <w:lang w:val="en-US" w:eastAsia="zh-CN"/>
                    </w:rPr>
                  </w:pPr>
                  <w:r>
                    <w:rPr>
                      <w:rFonts w:hint="eastAsia"/>
                      <w:bCs/>
                      <w:szCs w:val="21"/>
                      <w:lang w:val="en-US" w:eastAsia="zh-CN"/>
                    </w:rPr>
                    <w:t>4</w:t>
                  </w:r>
                </w:p>
              </w:tc>
              <w:tc>
                <w:tcPr>
                  <w:tcW w:w="2454" w:type="dxa"/>
                  <w:vAlign w:val="center"/>
                </w:tcPr>
                <w:p w14:paraId="56FF9939">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吨袋打包机</w:t>
                  </w:r>
                </w:p>
              </w:tc>
              <w:tc>
                <w:tcPr>
                  <w:tcW w:w="1995" w:type="dxa"/>
                  <w:vAlign w:val="center"/>
                </w:tcPr>
                <w:p w14:paraId="6AFE4660">
                  <w:pPr>
                    <w:adjustRightInd w:val="0"/>
                    <w:snapToGrid w:val="0"/>
                    <w:jc w:val="center"/>
                    <w:rPr>
                      <w:rFonts w:hint="default" w:eastAsia="宋体"/>
                      <w:bCs/>
                      <w:szCs w:val="21"/>
                      <w:lang w:val="en-US" w:eastAsia="zh-CN"/>
                    </w:rPr>
                  </w:pPr>
                  <w:r>
                    <w:rPr>
                      <w:rFonts w:hint="eastAsia"/>
                      <w:bCs/>
                      <w:szCs w:val="21"/>
                      <w:lang w:val="en-US" w:eastAsia="zh-CN"/>
                    </w:rPr>
                    <w:t>/</w:t>
                  </w:r>
                </w:p>
              </w:tc>
              <w:tc>
                <w:tcPr>
                  <w:tcW w:w="855" w:type="dxa"/>
                  <w:shd w:val="clear" w:color="auto" w:fill="auto"/>
                  <w:vAlign w:val="center"/>
                </w:tcPr>
                <w:p w14:paraId="77EA4CD6">
                  <w:pPr>
                    <w:adjustRightInd w:val="0"/>
                    <w:snapToGrid w:val="0"/>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台</w:t>
                  </w:r>
                </w:p>
              </w:tc>
              <w:tc>
                <w:tcPr>
                  <w:tcW w:w="854" w:type="dxa"/>
                  <w:vAlign w:val="center"/>
                </w:tcPr>
                <w:p w14:paraId="4F24DD97">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32EB1DFF">
                  <w:pPr>
                    <w:adjustRightInd w:val="0"/>
                    <w:snapToGrid w:val="0"/>
                    <w:jc w:val="center"/>
                    <w:rPr>
                      <w:rFonts w:hint="eastAsia" w:eastAsia="宋体"/>
                      <w:bCs/>
                      <w:szCs w:val="21"/>
                      <w:lang w:val="en-US" w:eastAsia="zh-CN"/>
                    </w:rPr>
                  </w:pPr>
                  <w:r>
                    <w:rPr>
                      <w:rFonts w:hint="eastAsia"/>
                      <w:bCs/>
                      <w:szCs w:val="21"/>
                      <w:lang w:val="en-US" w:eastAsia="zh-CN"/>
                    </w:rPr>
                    <w:t>/</w:t>
                  </w:r>
                </w:p>
              </w:tc>
            </w:tr>
            <w:tr w14:paraId="690B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75" w:type="dxa"/>
                  <w:gridSpan w:val="6"/>
                  <w:vAlign w:val="center"/>
                </w:tcPr>
                <w:p w14:paraId="39962E37">
                  <w:pPr>
                    <w:adjustRightInd w:val="0"/>
                    <w:snapToGrid w:val="0"/>
                    <w:jc w:val="center"/>
                    <w:rPr>
                      <w:rFonts w:hint="default" w:eastAsia="宋体"/>
                      <w:bCs/>
                      <w:szCs w:val="21"/>
                      <w:lang w:val="en-US" w:eastAsia="zh-CN"/>
                    </w:rPr>
                  </w:pPr>
                  <w:r>
                    <w:rPr>
                      <w:rFonts w:hint="eastAsia"/>
                      <w:b/>
                      <w:bCs w:val="0"/>
                      <w:szCs w:val="21"/>
                      <w:lang w:val="en-US" w:eastAsia="zh-CN"/>
                    </w:rPr>
                    <w:t>其他</w:t>
                  </w:r>
                </w:p>
              </w:tc>
            </w:tr>
            <w:tr w14:paraId="611A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4445783F">
                  <w:pPr>
                    <w:adjustRightInd w:val="0"/>
                    <w:snapToGrid w:val="0"/>
                    <w:jc w:val="center"/>
                    <w:rPr>
                      <w:rFonts w:hint="eastAsia" w:eastAsia="宋体"/>
                      <w:bCs/>
                      <w:szCs w:val="21"/>
                      <w:lang w:val="en-US" w:eastAsia="zh-CN"/>
                    </w:rPr>
                  </w:pPr>
                  <w:r>
                    <w:rPr>
                      <w:rFonts w:hint="eastAsia"/>
                      <w:bCs/>
                      <w:szCs w:val="21"/>
                      <w:lang w:val="en-US" w:eastAsia="zh-CN"/>
                    </w:rPr>
                    <w:t>1</w:t>
                  </w:r>
                </w:p>
              </w:tc>
              <w:tc>
                <w:tcPr>
                  <w:tcW w:w="2454" w:type="dxa"/>
                  <w:vAlign w:val="center"/>
                </w:tcPr>
                <w:p w14:paraId="2F7AB082">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布袋除尘器</w:t>
                  </w:r>
                </w:p>
              </w:tc>
              <w:tc>
                <w:tcPr>
                  <w:tcW w:w="1995" w:type="dxa"/>
                  <w:vAlign w:val="center"/>
                </w:tcPr>
                <w:p w14:paraId="6D364217">
                  <w:pPr>
                    <w:adjustRightInd w:val="0"/>
                    <w:snapToGrid w:val="0"/>
                    <w:jc w:val="center"/>
                    <w:rPr>
                      <w:rFonts w:hint="default" w:eastAsia="宋体"/>
                      <w:bCs/>
                      <w:szCs w:val="21"/>
                      <w:lang w:val="en-US" w:eastAsia="zh-CN"/>
                    </w:rPr>
                  </w:pPr>
                  <w:r>
                    <w:rPr>
                      <w:rFonts w:hint="eastAsia"/>
                      <w:bCs/>
                      <w:szCs w:val="21"/>
                      <w:lang w:val="en-US" w:eastAsia="zh-CN"/>
                    </w:rPr>
                    <w:t>/</w:t>
                  </w:r>
                </w:p>
              </w:tc>
              <w:tc>
                <w:tcPr>
                  <w:tcW w:w="855" w:type="dxa"/>
                  <w:shd w:val="clear" w:color="auto" w:fill="auto"/>
                  <w:vAlign w:val="center"/>
                </w:tcPr>
                <w:p w14:paraId="51A0016E">
                  <w:pPr>
                    <w:adjustRightInd w:val="0"/>
                    <w:snapToGrid w:val="0"/>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台</w:t>
                  </w:r>
                </w:p>
              </w:tc>
              <w:tc>
                <w:tcPr>
                  <w:tcW w:w="854" w:type="dxa"/>
                  <w:vAlign w:val="center"/>
                </w:tcPr>
                <w:p w14:paraId="2A864085">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51E879DC">
                  <w:pPr>
                    <w:adjustRightInd w:val="0"/>
                    <w:snapToGrid w:val="0"/>
                    <w:jc w:val="center"/>
                    <w:rPr>
                      <w:rFonts w:hint="eastAsia" w:eastAsia="宋体"/>
                      <w:bCs/>
                      <w:szCs w:val="21"/>
                      <w:lang w:val="en-US" w:eastAsia="zh-CN"/>
                    </w:rPr>
                  </w:pPr>
                  <w:r>
                    <w:rPr>
                      <w:rFonts w:hint="eastAsia"/>
                      <w:bCs/>
                      <w:szCs w:val="21"/>
                      <w:lang w:val="en-US" w:eastAsia="zh-CN"/>
                    </w:rPr>
                    <w:t>/</w:t>
                  </w:r>
                </w:p>
              </w:tc>
            </w:tr>
            <w:tr w14:paraId="1496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09" w:type="dxa"/>
                  <w:vAlign w:val="center"/>
                </w:tcPr>
                <w:p w14:paraId="0DC964C4">
                  <w:pPr>
                    <w:adjustRightInd w:val="0"/>
                    <w:snapToGrid w:val="0"/>
                    <w:jc w:val="center"/>
                    <w:rPr>
                      <w:rFonts w:hint="eastAsia" w:eastAsia="宋体"/>
                      <w:bCs/>
                      <w:szCs w:val="21"/>
                      <w:lang w:val="en-US" w:eastAsia="zh-CN"/>
                    </w:rPr>
                  </w:pPr>
                  <w:r>
                    <w:rPr>
                      <w:rFonts w:hint="eastAsia"/>
                      <w:bCs/>
                      <w:szCs w:val="21"/>
                      <w:lang w:val="en-US" w:eastAsia="zh-CN"/>
                    </w:rPr>
                    <w:t>2</w:t>
                  </w:r>
                </w:p>
              </w:tc>
              <w:tc>
                <w:tcPr>
                  <w:tcW w:w="2454" w:type="dxa"/>
                  <w:vAlign w:val="center"/>
                </w:tcPr>
                <w:p w14:paraId="705B5613">
                  <w:pPr>
                    <w:widowControl/>
                    <w:jc w:val="center"/>
                    <w:textAlignment w:val="center"/>
                    <w:rPr>
                      <w:rFonts w:hint="default" w:eastAsia="宋体"/>
                      <w:color w:val="000000"/>
                      <w:kern w:val="0"/>
                      <w:sz w:val="22"/>
                      <w:szCs w:val="22"/>
                      <w:lang w:val="en-US" w:eastAsia="zh-CN" w:bidi="ar"/>
                    </w:rPr>
                  </w:pPr>
                  <w:r>
                    <w:rPr>
                      <w:rFonts w:hint="eastAsia"/>
                      <w:color w:val="000000"/>
                      <w:kern w:val="0"/>
                      <w:sz w:val="22"/>
                      <w:szCs w:val="22"/>
                      <w:lang w:val="en-US" w:eastAsia="zh-CN" w:bidi="ar"/>
                    </w:rPr>
                    <w:t>除尘风机</w:t>
                  </w:r>
                </w:p>
              </w:tc>
              <w:tc>
                <w:tcPr>
                  <w:tcW w:w="1995" w:type="dxa"/>
                  <w:vAlign w:val="center"/>
                </w:tcPr>
                <w:p w14:paraId="508A923A">
                  <w:pPr>
                    <w:adjustRightInd w:val="0"/>
                    <w:snapToGrid w:val="0"/>
                    <w:jc w:val="center"/>
                    <w:rPr>
                      <w:rFonts w:hint="eastAsia"/>
                      <w:bCs/>
                      <w:szCs w:val="21"/>
                    </w:rPr>
                  </w:pPr>
                  <w:r>
                    <w:rPr>
                      <w:rFonts w:hint="eastAsia"/>
                      <w:bCs/>
                      <w:szCs w:val="21"/>
                      <w:lang w:val="en-US" w:eastAsia="zh-CN"/>
                    </w:rPr>
                    <w:t>风量：180000m</w:t>
                  </w:r>
                  <w:r>
                    <w:rPr>
                      <w:rFonts w:hint="eastAsia"/>
                      <w:bCs/>
                      <w:szCs w:val="21"/>
                      <w:vertAlign w:val="superscript"/>
                      <w:lang w:val="en-US" w:eastAsia="zh-CN"/>
                    </w:rPr>
                    <w:t>3</w:t>
                  </w:r>
                  <w:r>
                    <w:rPr>
                      <w:rFonts w:hint="eastAsia"/>
                      <w:bCs/>
                      <w:szCs w:val="21"/>
                      <w:lang w:val="en-US" w:eastAsia="zh-CN"/>
                    </w:rPr>
                    <w:t>/h</w:t>
                  </w:r>
                </w:p>
              </w:tc>
              <w:tc>
                <w:tcPr>
                  <w:tcW w:w="855" w:type="dxa"/>
                  <w:shd w:val="clear" w:color="auto" w:fill="auto"/>
                  <w:vAlign w:val="center"/>
                </w:tcPr>
                <w:p w14:paraId="4EA2E0A7">
                  <w:pPr>
                    <w:adjustRightInd w:val="0"/>
                    <w:snapToGrid w:val="0"/>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台</w:t>
                  </w:r>
                </w:p>
              </w:tc>
              <w:tc>
                <w:tcPr>
                  <w:tcW w:w="854" w:type="dxa"/>
                  <w:vAlign w:val="center"/>
                </w:tcPr>
                <w:p w14:paraId="4C00B933">
                  <w:pPr>
                    <w:adjustRightInd w:val="0"/>
                    <w:snapToGrid w:val="0"/>
                    <w:jc w:val="center"/>
                    <w:rPr>
                      <w:rFonts w:hint="eastAsia" w:eastAsia="宋体"/>
                      <w:bCs/>
                      <w:szCs w:val="21"/>
                      <w:lang w:val="en-US" w:eastAsia="zh-CN"/>
                    </w:rPr>
                  </w:pPr>
                  <w:r>
                    <w:rPr>
                      <w:rFonts w:hint="eastAsia"/>
                      <w:bCs/>
                      <w:szCs w:val="21"/>
                      <w:lang w:val="en-US" w:eastAsia="zh-CN"/>
                    </w:rPr>
                    <w:t>1</w:t>
                  </w:r>
                </w:p>
              </w:tc>
              <w:tc>
                <w:tcPr>
                  <w:tcW w:w="1208" w:type="dxa"/>
                  <w:vAlign w:val="center"/>
                </w:tcPr>
                <w:p w14:paraId="2C729B40">
                  <w:pPr>
                    <w:adjustRightInd w:val="0"/>
                    <w:snapToGrid w:val="0"/>
                    <w:jc w:val="center"/>
                    <w:rPr>
                      <w:rFonts w:hint="eastAsia" w:eastAsia="宋体"/>
                      <w:bCs/>
                      <w:szCs w:val="21"/>
                      <w:lang w:val="en-US" w:eastAsia="zh-CN"/>
                    </w:rPr>
                  </w:pPr>
                  <w:r>
                    <w:rPr>
                      <w:rFonts w:hint="eastAsia"/>
                      <w:bCs/>
                      <w:szCs w:val="21"/>
                      <w:lang w:val="en-US" w:eastAsia="zh-CN"/>
                    </w:rPr>
                    <w:t>/</w:t>
                  </w:r>
                </w:p>
              </w:tc>
            </w:tr>
          </w:tbl>
          <w:p w14:paraId="1DCE1E6A">
            <w:pPr>
              <w:spacing w:line="500" w:lineRule="atLeast"/>
              <w:ind w:firstLine="482" w:firstLineChars="200"/>
              <w:rPr>
                <w:b/>
                <w:sz w:val="24"/>
              </w:rPr>
            </w:pPr>
            <w:r>
              <w:rPr>
                <w:rFonts w:hint="eastAsia"/>
                <w:b/>
                <w:sz w:val="24"/>
                <w:lang w:val="en-US" w:eastAsia="zh-CN"/>
              </w:rPr>
              <w:t>6</w:t>
            </w:r>
            <w:r>
              <w:rPr>
                <w:rFonts w:hint="eastAsia"/>
                <w:b/>
                <w:sz w:val="24"/>
              </w:rPr>
              <w:t>、项目主要原辅料用量情况</w:t>
            </w:r>
          </w:p>
          <w:p w14:paraId="27DB4D16">
            <w:pPr>
              <w:spacing w:line="500" w:lineRule="atLeast"/>
              <w:ind w:firstLine="480" w:firstLineChars="200"/>
              <w:rPr>
                <w:sz w:val="24"/>
              </w:rPr>
            </w:pPr>
            <w:r>
              <w:rPr>
                <w:rFonts w:hint="eastAsia"/>
                <w:sz w:val="24"/>
              </w:rPr>
              <w:t>本项目主要原辅料用量情况详见表2-</w:t>
            </w:r>
            <w:r>
              <w:rPr>
                <w:rFonts w:hint="eastAsia"/>
                <w:sz w:val="24"/>
                <w:lang w:val="en-US" w:eastAsia="zh-CN"/>
              </w:rPr>
              <w:t>5</w:t>
            </w:r>
            <w:r>
              <w:rPr>
                <w:rFonts w:hint="eastAsia"/>
                <w:sz w:val="24"/>
              </w:rPr>
              <w:t>。</w:t>
            </w:r>
          </w:p>
          <w:p w14:paraId="2E237C28">
            <w:pPr>
              <w:pStyle w:val="48"/>
              <w:numPr>
                <w:ilvl w:val="2"/>
                <w:numId w:val="2"/>
              </w:numPr>
              <w:spacing w:line="500" w:lineRule="atLeast"/>
              <w:ind w:firstLineChars="0"/>
              <w:jc w:val="center"/>
              <w:rPr>
                <w:b/>
                <w:sz w:val="24"/>
              </w:rPr>
            </w:pPr>
            <w:r>
              <w:rPr>
                <w:rFonts w:hint="eastAsia"/>
                <w:b/>
                <w:sz w:val="24"/>
              </w:rPr>
              <w:t>项目主要原辅料用量情况一览表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655"/>
              <w:gridCol w:w="1302"/>
              <w:gridCol w:w="1231"/>
              <w:gridCol w:w="3046"/>
            </w:tblGrid>
            <w:tr w14:paraId="782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Align w:val="center"/>
                </w:tcPr>
                <w:p w14:paraId="1D95EEB8">
                  <w:pPr>
                    <w:spacing w:line="0" w:lineRule="atLeast"/>
                    <w:ind w:left="0" w:leftChars="0" w:right="0" w:rightChars="0" w:firstLine="0" w:firstLineChars="0"/>
                    <w:jc w:val="center"/>
                    <w:rPr>
                      <w:b/>
                      <w:bCs/>
                      <w:sz w:val="21"/>
                      <w:szCs w:val="21"/>
                    </w:rPr>
                  </w:pPr>
                  <w:r>
                    <w:rPr>
                      <w:b/>
                      <w:bCs/>
                      <w:sz w:val="21"/>
                      <w:szCs w:val="21"/>
                    </w:rPr>
                    <w:t>序号</w:t>
                  </w:r>
                </w:p>
              </w:tc>
              <w:tc>
                <w:tcPr>
                  <w:tcW w:w="1025" w:type="pct"/>
                  <w:vAlign w:val="center"/>
                </w:tcPr>
                <w:p w14:paraId="68A33664">
                  <w:pPr>
                    <w:spacing w:line="0" w:lineRule="atLeast"/>
                    <w:ind w:left="0" w:leftChars="0" w:right="0" w:rightChars="0" w:firstLine="0" w:firstLineChars="0"/>
                    <w:jc w:val="center"/>
                    <w:rPr>
                      <w:b/>
                      <w:bCs/>
                      <w:sz w:val="21"/>
                      <w:szCs w:val="21"/>
                    </w:rPr>
                  </w:pPr>
                  <w:r>
                    <w:rPr>
                      <w:b/>
                      <w:bCs/>
                      <w:sz w:val="21"/>
                      <w:szCs w:val="21"/>
                    </w:rPr>
                    <w:t>名称</w:t>
                  </w:r>
                </w:p>
              </w:tc>
              <w:tc>
                <w:tcPr>
                  <w:tcW w:w="806" w:type="pct"/>
                  <w:vAlign w:val="center"/>
                </w:tcPr>
                <w:p w14:paraId="57C335B9">
                  <w:pPr>
                    <w:spacing w:line="0" w:lineRule="atLeast"/>
                    <w:ind w:left="0" w:leftChars="0" w:right="0" w:rightChars="0" w:firstLine="0" w:firstLineChars="0"/>
                    <w:jc w:val="center"/>
                    <w:rPr>
                      <w:b/>
                      <w:bCs/>
                      <w:sz w:val="21"/>
                      <w:szCs w:val="21"/>
                    </w:rPr>
                  </w:pPr>
                  <w:r>
                    <w:rPr>
                      <w:b/>
                      <w:bCs/>
                      <w:sz w:val="21"/>
                      <w:szCs w:val="21"/>
                    </w:rPr>
                    <w:t>单位</w:t>
                  </w:r>
                </w:p>
              </w:tc>
              <w:tc>
                <w:tcPr>
                  <w:tcW w:w="762" w:type="pct"/>
                  <w:vAlign w:val="center"/>
                </w:tcPr>
                <w:p w14:paraId="4768194C">
                  <w:pPr>
                    <w:spacing w:line="0" w:lineRule="atLeast"/>
                    <w:ind w:left="0" w:leftChars="0" w:right="0" w:rightChars="0" w:firstLine="0" w:firstLineChars="0"/>
                    <w:jc w:val="center"/>
                    <w:rPr>
                      <w:b/>
                      <w:bCs/>
                      <w:sz w:val="21"/>
                      <w:szCs w:val="21"/>
                    </w:rPr>
                  </w:pPr>
                  <w:r>
                    <w:rPr>
                      <w:b/>
                      <w:bCs/>
                      <w:sz w:val="21"/>
                      <w:szCs w:val="21"/>
                    </w:rPr>
                    <w:t>年消耗量</w:t>
                  </w:r>
                </w:p>
              </w:tc>
              <w:tc>
                <w:tcPr>
                  <w:tcW w:w="1886" w:type="pct"/>
                  <w:vAlign w:val="center"/>
                </w:tcPr>
                <w:p w14:paraId="139CBEA9">
                  <w:pPr>
                    <w:spacing w:line="0" w:lineRule="atLeast"/>
                    <w:ind w:left="0" w:leftChars="0" w:right="0" w:rightChars="0" w:firstLine="0" w:firstLineChars="0"/>
                    <w:jc w:val="center"/>
                    <w:rPr>
                      <w:rFonts w:hint="eastAsia" w:eastAsia="宋体"/>
                      <w:b/>
                      <w:bCs/>
                      <w:sz w:val="21"/>
                      <w:szCs w:val="21"/>
                      <w:lang w:val="en-US" w:eastAsia="zh-CN"/>
                    </w:rPr>
                  </w:pPr>
                  <w:r>
                    <w:rPr>
                      <w:rFonts w:hint="eastAsia"/>
                      <w:b/>
                      <w:bCs/>
                      <w:sz w:val="21"/>
                      <w:szCs w:val="21"/>
                      <w:lang w:val="en-US" w:eastAsia="zh-CN"/>
                    </w:rPr>
                    <w:t>来源</w:t>
                  </w:r>
                </w:p>
              </w:tc>
            </w:tr>
            <w:tr w14:paraId="7525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Align w:val="center"/>
                </w:tcPr>
                <w:p w14:paraId="48BE6C91">
                  <w:pPr>
                    <w:spacing w:line="0" w:lineRule="atLeast"/>
                    <w:jc w:val="center"/>
                    <w:rPr>
                      <w:sz w:val="21"/>
                      <w:szCs w:val="21"/>
                    </w:rPr>
                  </w:pPr>
                  <w:r>
                    <w:rPr>
                      <w:sz w:val="21"/>
                      <w:szCs w:val="21"/>
                    </w:rPr>
                    <w:t>1</w:t>
                  </w:r>
                </w:p>
              </w:tc>
              <w:tc>
                <w:tcPr>
                  <w:tcW w:w="1025" w:type="pct"/>
                  <w:vAlign w:val="center"/>
                </w:tcPr>
                <w:p w14:paraId="731BB088">
                  <w:pPr>
                    <w:jc w:val="center"/>
                    <w:rPr>
                      <w:rFonts w:hint="default" w:eastAsia="宋体" w:cs="Arial"/>
                      <w:sz w:val="21"/>
                      <w:szCs w:val="21"/>
                      <w:lang w:val="en-US" w:eastAsia="zh-CN"/>
                    </w:rPr>
                  </w:pPr>
                  <w:r>
                    <w:rPr>
                      <w:rFonts w:hint="eastAsia" w:cs="Arial"/>
                      <w:sz w:val="21"/>
                      <w:szCs w:val="21"/>
                      <w:lang w:val="en-US" w:eastAsia="zh-CN"/>
                    </w:rPr>
                    <w:t>高炉重力灰</w:t>
                  </w:r>
                </w:p>
              </w:tc>
              <w:tc>
                <w:tcPr>
                  <w:tcW w:w="806" w:type="pct"/>
                  <w:vAlign w:val="center"/>
                </w:tcPr>
                <w:p w14:paraId="1C49822C">
                  <w:pPr>
                    <w:spacing w:line="0" w:lineRule="atLeast"/>
                    <w:jc w:val="center"/>
                    <w:rPr>
                      <w:sz w:val="21"/>
                      <w:szCs w:val="21"/>
                    </w:rPr>
                  </w:pPr>
                  <w:r>
                    <w:rPr>
                      <w:rFonts w:hint="eastAsia"/>
                      <w:sz w:val="21"/>
                      <w:szCs w:val="21"/>
                    </w:rPr>
                    <w:t>吨</w:t>
                  </w:r>
                </w:p>
              </w:tc>
              <w:tc>
                <w:tcPr>
                  <w:tcW w:w="762" w:type="pct"/>
                  <w:vAlign w:val="center"/>
                </w:tcPr>
                <w:p w14:paraId="4C25A818">
                  <w:pPr>
                    <w:jc w:val="center"/>
                    <w:rPr>
                      <w:rFonts w:hint="default" w:eastAsia="宋体" w:cs="Arial"/>
                      <w:sz w:val="21"/>
                      <w:szCs w:val="21"/>
                      <w:lang w:val="en-US" w:eastAsia="zh-CN"/>
                    </w:rPr>
                  </w:pPr>
                  <w:r>
                    <w:rPr>
                      <w:rFonts w:hint="eastAsia" w:cs="Arial"/>
                      <w:sz w:val="21"/>
                      <w:szCs w:val="21"/>
                      <w:lang w:val="en-US" w:eastAsia="zh-CN"/>
                    </w:rPr>
                    <w:t>64000</w:t>
                  </w:r>
                </w:p>
              </w:tc>
              <w:tc>
                <w:tcPr>
                  <w:tcW w:w="1886" w:type="pct"/>
                  <w:vMerge w:val="restart"/>
                  <w:vAlign w:val="center"/>
                </w:tcPr>
                <w:p w14:paraId="0EC7F313">
                  <w:pPr>
                    <w:jc w:val="center"/>
                    <w:rPr>
                      <w:rFonts w:hint="default" w:cs="Arial"/>
                      <w:sz w:val="21"/>
                      <w:szCs w:val="21"/>
                      <w:lang w:val="en-US" w:eastAsia="zh-CN"/>
                    </w:rPr>
                  </w:pPr>
                  <w:r>
                    <w:rPr>
                      <w:rFonts w:hint="eastAsia" w:cs="Arial"/>
                      <w:sz w:val="21"/>
                      <w:szCs w:val="21"/>
                      <w:lang w:val="en-US" w:eastAsia="zh-CN"/>
                    </w:rPr>
                    <w:t>盛隆公司生产工序产生</w:t>
                  </w:r>
                </w:p>
              </w:tc>
            </w:tr>
            <w:tr w14:paraId="4E81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Align w:val="center"/>
                </w:tcPr>
                <w:p w14:paraId="0F289588">
                  <w:pPr>
                    <w:spacing w:line="0" w:lineRule="atLeast"/>
                    <w:jc w:val="center"/>
                    <w:rPr>
                      <w:sz w:val="21"/>
                      <w:szCs w:val="21"/>
                    </w:rPr>
                  </w:pPr>
                  <w:r>
                    <w:rPr>
                      <w:sz w:val="21"/>
                      <w:szCs w:val="21"/>
                    </w:rPr>
                    <w:t>2</w:t>
                  </w:r>
                </w:p>
              </w:tc>
              <w:tc>
                <w:tcPr>
                  <w:tcW w:w="1025" w:type="pct"/>
                  <w:vAlign w:val="center"/>
                </w:tcPr>
                <w:p w14:paraId="54FE5733">
                  <w:pPr>
                    <w:jc w:val="center"/>
                    <w:rPr>
                      <w:rFonts w:hint="default" w:ascii="宋体" w:hAnsi="宋体" w:eastAsia="宋体"/>
                      <w:sz w:val="21"/>
                      <w:szCs w:val="21"/>
                      <w:lang w:val="en-US" w:eastAsia="zh-CN"/>
                    </w:rPr>
                  </w:pPr>
                  <w:r>
                    <w:rPr>
                      <w:rFonts w:hint="eastAsia" w:ascii="宋体" w:hAnsi="宋体"/>
                      <w:sz w:val="21"/>
                      <w:szCs w:val="21"/>
                      <w:lang w:val="en-US" w:eastAsia="zh-CN"/>
                    </w:rPr>
                    <w:t>转炉除尘灰</w:t>
                  </w:r>
                </w:p>
              </w:tc>
              <w:tc>
                <w:tcPr>
                  <w:tcW w:w="806" w:type="pct"/>
                  <w:vAlign w:val="center"/>
                </w:tcPr>
                <w:p w14:paraId="209838BD">
                  <w:pPr>
                    <w:spacing w:line="0" w:lineRule="atLeast"/>
                    <w:jc w:val="center"/>
                    <w:rPr>
                      <w:sz w:val="21"/>
                      <w:szCs w:val="21"/>
                    </w:rPr>
                  </w:pPr>
                  <w:r>
                    <w:rPr>
                      <w:rFonts w:hint="eastAsia"/>
                      <w:sz w:val="21"/>
                      <w:szCs w:val="21"/>
                    </w:rPr>
                    <w:t>吨</w:t>
                  </w:r>
                </w:p>
              </w:tc>
              <w:tc>
                <w:tcPr>
                  <w:tcW w:w="762" w:type="pct"/>
                  <w:vAlign w:val="center"/>
                </w:tcPr>
                <w:p w14:paraId="51204D80">
                  <w:pPr>
                    <w:jc w:val="center"/>
                    <w:rPr>
                      <w:rFonts w:hint="default" w:eastAsia="宋体" w:cs="Arial"/>
                      <w:sz w:val="21"/>
                      <w:szCs w:val="21"/>
                      <w:lang w:val="en-US" w:eastAsia="zh-CN"/>
                    </w:rPr>
                  </w:pPr>
                  <w:r>
                    <w:rPr>
                      <w:rFonts w:hint="eastAsia" w:cs="Arial"/>
                      <w:sz w:val="21"/>
                      <w:szCs w:val="21"/>
                      <w:lang w:val="en-US" w:eastAsia="zh-CN"/>
                    </w:rPr>
                    <w:t>128000</w:t>
                  </w:r>
                </w:p>
              </w:tc>
              <w:tc>
                <w:tcPr>
                  <w:tcW w:w="1886" w:type="pct"/>
                  <w:vMerge w:val="continue"/>
                  <w:vAlign w:val="center"/>
                </w:tcPr>
                <w:p w14:paraId="2CDA73CD">
                  <w:pPr>
                    <w:jc w:val="center"/>
                    <w:rPr>
                      <w:rFonts w:hint="eastAsia" w:cs="Arial"/>
                      <w:sz w:val="21"/>
                      <w:szCs w:val="21"/>
                      <w:lang w:val="en-US" w:eastAsia="zh-CN"/>
                    </w:rPr>
                  </w:pPr>
                </w:p>
              </w:tc>
            </w:tr>
            <w:tr w14:paraId="5AA1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Align w:val="center"/>
                </w:tcPr>
                <w:p w14:paraId="62175188">
                  <w:pPr>
                    <w:spacing w:line="0" w:lineRule="atLeast"/>
                    <w:jc w:val="center"/>
                    <w:rPr>
                      <w:sz w:val="21"/>
                      <w:szCs w:val="21"/>
                    </w:rPr>
                  </w:pPr>
                  <w:r>
                    <w:rPr>
                      <w:sz w:val="21"/>
                      <w:szCs w:val="21"/>
                    </w:rPr>
                    <w:t>3</w:t>
                  </w:r>
                </w:p>
              </w:tc>
              <w:tc>
                <w:tcPr>
                  <w:tcW w:w="1025" w:type="pct"/>
                  <w:vAlign w:val="center"/>
                </w:tcPr>
                <w:p w14:paraId="1524640C">
                  <w:pPr>
                    <w:jc w:val="center"/>
                    <w:rPr>
                      <w:rFonts w:hint="eastAsia" w:eastAsia="宋体" w:cs="Arial"/>
                      <w:sz w:val="21"/>
                      <w:szCs w:val="21"/>
                      <w:lang w:eastAsia="zh-CN"/>
                    </w:rPr>
                  </w:pPr>
                  <w:r>
                    <w:rPr>
                      <w:rFonts w:hint="eastAsia" w:ascii="宋体" w:hAnsi="宋体"/>
                      <w:sz w:val="21"/>
                      <w:szCs w:val="21"/>
                      <w:lang w:val="en-US" w:eastAsia="zh-CN"/>
                    </w:rPr>
                    <w:t>焦粉</w:t>
                  </w:r>
                </w:p>
              </w:tc>
              <w:tc>
                <w:tcPr>
                  <w:tcW w:w="806" w:type="pct"/>
                  <w:vAlign w:val="center"/>
                </w:tcPr>
                <w:p w14:paraId="6B0F9FE8">
                  <w:pPr>
                    <w:spacing w:line="0" w:lineRule="atLeast"/>
                    <w:jc w:val="center"/>
                    <w:rPr>
                      <w:sz w:val="21"/>
                      <w:szCs w:val="21"/>
                    </w:rPr>
                  </w:pPr>
                  <w:r>
                    <w:rPr>
                      <w:rFonts w:hint="eastAsia"/>
                      <w:sz w:val="21"/>
                      <w:szCs w:val="21"/>
                    </w:rPr>
                    <w:t>吨</w:t>
                  </w:r>
                </w:p>
              </w:tc>
              <w:tc>
                <w:tcPr>
                  <w:tcW w:w="762" w:type="pct"/>
                  <w:vAlign w:val="center"/>
                </w:tcPr>
                <w:p w14:paraId="49C72D5B">
                  <w:pPr>
                    <w:jc w:val="center"/>
                    <w:rPr>
                      <w:rFonts w:hint="default" w:eastAsia="宋体" w:cs="Arial"/>
                      <w:sz w:val="21"/>
                      <w:szCs w:val="21"/>
                      <w:lang w:val="en-US" w:eastAsia="zh-CN"/>
                    </w:rPr>
                  </w:pPr>
                  <w:r>
                    <w:rPr>
                      <w:rFonts w:hint="eastAsia" w:cs="Arial"/>
                      <w:sz w:val="21"/>
                      <w:szCs w:val="21"/>
                      <w:lang w:val="en-US" w:eastAsia="zh-CN"/>
                    </w:rPr>
                    <w:t>8000</w:t>
                  </w:r>
                </w:p>
              </w:tc>
              <w:tc>
                <w:tcPr>
                  <w:tcW w:w="1886" w:type="pct"/>
                  <w:vMerge w:val="continue"/>
                  <w:vAlign w:val="center"/>
                </w:tcPr>
                <w:p w14:paraId="04598F09">
                  <w:pPr>
                    <w:jc w:val="center"/>
                    <w:rPr>
                      <w:rFonts w:hint="eastAsia" w:cs="Arial"/>
                      <w:sz w:val="21"/>
                      <w:szCs w:val="21"/>
                      <w:lang w:val="en-US" w:eastAsia="zh-CN"/>
                    </w:rPr>
                  </w:pPr>
                </w:p>
              </w:tc>
            </w:tr>
            <w:tr w14:paraId="4A34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Align w:val="center"/>
                </w:tcPr>
                <w:p w14:paraId="74C5D3A7">
                  <w:pPr>
                    <w:spacing w:line="0" w:lineRule="atLeast"/>
                    <w:jc w:val="center"/>
                    <w:rPr>
                      <w:rFonts w:hint="eastAsia" w:eastAsia="宋体"/>
                      <w:sz w:val="21"/>
                      <w:szCs w:val="21"/>
                      <w:lang w:val="en-US" w:eastAsia="zh-CN"/>
                    </w:rPr>
                  </w:pPr>
                  <w:r>
                    <w:rPr>
                      <w:rFonts w:hint="eastAsia"/>
                      <w:sz w:val="21"/>
                      <w:szCs w:val="21"/>
                      <w:lang w:val="en-US" w:eastAsia="zh-CN"/>
                    </w:rPr>
                    <w:t>4</w:t>
                  </w:r>
                </w:p>
              </w:tc>
              <w:tc>
                <w:tcPr>
                  <w:tcW w:w="1025" w:type="pct"/>
                  <w:shd w:val="clear" w:color="auto" w:fill="auto"/>
                  <w:vAlign w:val="center"/>
                </w:tcPr>
                <w:p w14:paraId="66EB24C9">
                  <w:pPr>
                    <w:jc w:val="center"/>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水</w:t>
                  </w:r>
                </w:p>
              </w:tc>
              <w:tc>
                <w:tcPr>
                  <w:tcW w:w="806" w:type="pct"/>
                  <w:shd w:val="clear" w:color="auto" w:fill="auto"/>
                  <w:vAlign w:val="center"/>
                </w:tcPr>
                <w:p w14:paraId="28A8C2BE">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吨</w:t>
                  </w:r>
                </w:p>
              </w:tc>
              <w:tc>
                <w:tcPr>
                  <w:tcW w:w="762" w:type="pct"/>
                  <w:shd w:val="clear" w:color="auto" w:fill="auto"/>
                  <w:vAlign w:val="center"/>
                </w:tcPr>
                <w:p w14:paraId="4F793AF4">
                  <w:pPr>
                    <w:jc w:val="center"/>
                    <w:rPr>
                      <w:rFonts w:hint="default" w:ascii="Times New Roman" w:hAnsi="Times New Roman" w:eastAsia="宋体" w:cs="Arial"/>
                      <w:kern w:val="2"/>
                      <w:sz w:val="21"/>
                      <w:szCs w:val="21"/>
                      <w:lang w:val="en-US" w:eastAsia="zh-CN" w:bidi="ar-SA"/>
                    </w:rPr>
                  </w:pPr>
                  <w:r>
                    <w:rPr>
                      <w:rFonts w:hint="eastAsia" w:cs="Arial"/>
                      <w:sz w:val="21"/>
                      <w:szCs w:val="21"/>
                      <w:lang w:val="en-US" w:eastAsia="zh-CN"/>
                    </w:rPr>
                    <w:t>236065</w:t>
                  </w:r>
                </w:p>
              </w:tc>
              <w:tc>
                <w:tcPr>
                  <w:tcW w:w="1886" w:type="pct"/>
                  <w:shd w:val="clear" w:color="auto" w:fill="auto"/>
                  <w:vAlign w:val="center"/>
                </w:tcPr>
                <w:p w14:paraId="091ED127">
                  <w:pPr>
                    <w:jc w:val="center"/>
                    <w:rPr>
                      <w:rFonts w:hint="eastAsia" w:ascii="Times New Roman" w:hAnsi="Times New Roman" w:eastAsia="宋体" w:cs="Arial"/>
                      <w:kern w:val="2"/>
                      <w:sz w:val="21"/>
                      <w:szCs w:val="21"/>
                      <w:lang w:val="en-US" w:eastAsia="zh-CN" w:bidi="ar-SA"/>
                    </w:rPr>
                  </w:pPr>
                  <w:r>
                    <w:rPr>
                      <w:rFonts w:hint="eastAsia" w:cs="Arial"/>
                      <w:sz w:val="21"/>
                      <w:szCs w:val="21"/>
                      <w:lang w:val="en-US" w:eastAsia="zh-CN"/>
                    </w:rPr>
                    <w:t>供水管网供应</w:t>
                  </w:r>
                </w:p>
              </w:tc>
            </w:tr>
            <w:tr w14:paraId="717D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Align w:val="center"/>
                </w:tcPr>
                <w:p w14:paraId="1AEBAAD3">
                  <w:pPr>
                    <w:spacing w:line="0" w:lineRule="atLeast"/>
                    <w:jc w:val="center"/>
                    <w:rPr>
                      <w:rFonts w:hint="eastAsia" w:eastAsia="宋体"/>
                      <w:sz w:val="21"/>
                      <w:szCs w:val="21"/>
                      <w:lang w:val="en-US" w:eastAsia="zh-CN"/>
                    </w:rPr>
                  </w:pPr>
                  <w:r>
                    <w:rPr>
                      <w:rFonts w:hint="eastAsia"/>
                      <w:sz w:val="21"/>
                      <w:szCs w:val="21"/>
                      <w:lang w:val="en-US" w:eastAsia="zh-CN"/>
                    </w:rPr>
                    <w:t>5</w:t>
                  </w:r>
                </w:p>
              </w:tc>
              <w:tc>
                <w:tcPr>
                  <w:tcW w:w="1025" w:type="pct"/>
                  <w:shd w:val="clear" w:color="auto" w:fill="auto"/>
                  <w:vAlign w:val="center"/>
                </w:tcPr>
                <w:p w14:paraId="62EEBC88">
                  <w:pPr>
                    <w:jc w:val="center"/>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高炉煤气</w:t>
                  </w:r>
                </w:p>
              </w:tc>
              <w:tc>
                <w:tcPr>
                  <w:tcW w:w="806" w:type="pct"/>
                  <w:shd w:val="clear" w:color="auto" w:fill="auto"/>
                  <w:vAlign w:val="center"/>
                </w:tcPr>
                <w:p w14:paraId="266D0C92">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万m</w:t>
                  </w:r>
                  <w:r>
                    <w:rPr>
                      <w:rFonts w:hint="eastAsia"/>
                      <w:sz w:val="21"/>
                      <w:szCs w:val="21"/>
                      <w:vertAlign w:val="superscript"/>
                      <w:lang w:val="en-US" w:eastAsia="zh-CN"/>
                    </w:rPr>
                    <w:t>3</w:t>
                  </w:r>
                </w:p>
              </w:tc>
              <w:tc>
                <w:tcPr>
                  <w:tcW w:w="762" w:type="pct"/>
                  <w:shd w:val="clear" w:color="auto" w:fill="auto"/>
                  <w:vAlign w:val="center"/>
                </w:tcPr>
                <w:p w14:paraId="406F7924">
                  <w:pPr>
                    <w:jc w:val="center"/>
                    <w:rPr>
                      <w:rFonts w:hint="default" w:ascii="Times New Roman" w:hAnsi="Times New Roman" w:eastAsia="宋体" w:cs="Arial"/>
                      <w:kern w:val="2"/>
                      <w:sz w:val="21"/>
                      <w:szCs w:val="21"/>
                      <w:lang w:val="en-US" w:eastAsia="zh-CN" w:bidi="ar-SA"/>
                    </w:rPr>
                  </w:pPr>
                  <w:r>
                    <w:rPr>
                      <w:rFonts w:hint="eastAsia" w:cs="Arial"/>
                      <w:sz w:val="21"/>
                      <w:szCs w:val="21"/>
                      <w:lang w:val="en-US" w:eastAsia="zh-CN"/>
                    </w:rPr>
                    <w:t>11160</w:t>
                  </w:r>
                </w:p>
              </w:tc>
              <w:tc>
                <w:tcPr>
                  <w:tcW w:w="1886" w:type="pct"/>
                  <w:shd w:val="clear" w:color="auto" w:fill="auto"/>
                  <w:vAlign w:val="center"/>
                </w:tcPr>
                <w:p w14:paraId="6670E368">
                  <w:pPr>
                    <w:jc w:val="center"/>
                    <w:rPr>
                      <w:rFonts w:hint="eastAsia" w:ascii="Times New Roman" w:hAnsi="Times New Roman" w:eastAsia="宋体" w:cs="Arial"/>
                      <w:kern w:val="2"/>
                      <w:sz w:val="21"/>
                      <w:szCs w:val="21"/>
                      <w:lang w:val="en-US" w:eastAsia="zh-CN" w:bidi="ar-SA"/>
                    </w:rPr>
                  </w:pPr>
                  <w:r>
                    <w:rPr>
                      <w:rFonts w:hint="eastAsia"/>
                      <w:szCs w:val="21"/>
                    </w:rPr>
                    <w:t>盛隆公司供气管道供应</w:t>
                  </w:r>
                </w:p>
              </w:tc>
            </w:tr>
            <w:tr w14:paraId="48B4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shd w:val="clear" w:color="auto" w:fill="auto"/>
                  <w:vAlign w:val="center"/>
                </w:tcPr>
                <w:p w14:paraId="549F2F35">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6</w:t>
                  </w:r>
                </w:p>
              </w:tc>
              <w:tc>
                <w:tcPr>
                  <w:tcW w:w="1025" w:type="pct"/>
                  <w:shd w:val="clear" w:color="auto" w:fill="auto"/>
                  <w:vAlign w:val="center"/>
                </w:tcPr>
                <w:p w14:paraId="508C7B5C">
                  <w:pPr>
                    <w:jc w:val="center"/>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压缩空气</w:t>
                  </w:r>
                </w:p>
              </w:tc>
              <w:tc>
                <w:tcPr>
                  <w:tcW w:w="806" w:type="pct"/>
                  <w:shd w:val="clear" w:color="auto" w:fill="auto"/>
                  <w:vAlign w:val="center"/>
                </w:tcPr>
                <w:p w14:paraId="07C151F5">
                  <w:pPr>
                    <w:spacing w:line="0" w:lineRule="atLeast"/>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万m</w:t>
                  </w:r>
                  <w:r>
                    <w:rPr>
                      <w:rFonts w:hint="eastAsia"/>
                      <w:sz w:val="21"/>
                      <w:szCs w:val="21"/>
                      <w:vertAlign w:val="superscript"/>
                      <w:lang w:val="en-US" w:eastAsia="zh-CN"/>
                    </w:rPr>
                    <w:t>3</w:t>
                  </w:r>
                </w:p>
              </w:tc>
              <w:tc>
                <w:tcPr>
                  <w:tcW w:w="762" w:type="pct"/>
                  <w:shd w:val="clear" w:color="auto" w:fill="auto"/>
                  <w:vAlign w:val="center"/>
                </w:tcPr>
                <w:p w14:paraId="27283A67">
                  <w:pPr>
                    <w:jc w:val="center"/>
                    <w:rPr>
                      <w:rFonts w:hint="default" w:ascii="Times New Roman" w:hAnsi="Times New Roman" w:eastAsia="宋体" w:cs="Arial"/>
                      <w:kern w:val="2"/>
                      <w:sz w:val="21"/>
                      <w:szCs w:val="21"/>
                      <w:lang w:val="en-US" w:eastAsia="zh-CN" w:bidi="ar-SA"/>
                    </w:rPr>
                  </w:pPr>
                  <w:r>
                    <w:rPr>
                      <w:rFonts w:hint="eastAsia" w:cs="Arial"/>
                      <w:sz w:val="21"/>
                      <w:szCs w:val="21"/>
                      <w:lang w:val="en-US" w:eastAsia="zh-CN"/>
                    </w:rPr>
                    <w:t>446.4</w:t>
                  </w:r>
                </w:p>
              </w:tc>
              <w:tc>
                <w:tcPr>
                  <w:tcW w:w="1886" w:type="pct"/>
                  <w:shd w:val="clear" w:color="auto" w:fill="auto"/>
                  <w:vAlign w:val="center"/>
                </w:tcPr>
                <w:p w14:paraId="5DBB7557">
                  <w:pPr>
                    <w:jc w:val="center"/>
                    <w:rPr>
                      <w:rFonts w:hint="default" w:ascii="Times New Roman" w:hAnsi="Times New Roman" w:eastAsia="宋体" w:cs="Arial"/>
                      <w:kern w:val="2"/>
                      <w:sz w:val="21"/>
                      <w:szCs w:val="21"/>
                      <w:lang w:val="en-US" w:eastAsia="zh-CN" w:bidi="ar-SA"/>
                    </w:rPr>
                  </w:pPr>
                  <w:r>
                    <w:rPr>
                      <w:rFonts w:hint="eastAsia" w:cs="Arial"/>
                      <w:sz w:val="21"/>
                      <w:szCs w:val="21"/>
                      <w:lang w:val="en-US" w:eastAsia="zh-CN"/>
                    </w:rPr>
                    <w:t>/</w:t>
                  </w:r>
                </w:p>
              </w:tc>
            </w:tr>
            <w:tr w14:paraId="0367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shd w:val="clear" w:color="auto" w:fill="auto"/>
                  <w:vAlign w:val="center"/>
                </w:tcPr>
                <w:p w14:paraId="5E65A85E">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7</w:t>
                  </w:r>
                </w:p>
              </w:tc>
              <w:tc>
                <w:tcPr>
                  <w:tcW w:w="1025" w:type="pct"/>
                  <w:shd w:val="clear" w:color="auto" w:fill="auto"/>
                  <w:vAlign w:val="center"/>
                </w:tcPr>
                <w:p w14:paraId="4354E8D2">
                  <w:pPr>
                    <w:jc w:val="center"/>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氮气</w:t>
                  </w:r>
                </w:p>
              </w:tc>
              <w:tc>
                <w:tcPr>
                  <w:tcW w:w="806" w:type="pct"/>
                  <w:shd w:val="clear" w:color="auto" w:fill="auto"/>
                  <w:vAlign w:val="center"/>
                </w:tcPr>
                <w:p w14:paraId="32B2DE60">
                  <w:pPr>
                    <w:spacing w:line="0" w:lineRule="atLeast"/>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万m</w:t>
                  </w:r>
                  <w:r>
                    <w:rPr>
                      <w:rFonts w:hint="eastAsia"/>
                      <w:sz w:val="21"/>
                      <w:szCs w:val="21"/>
                      <w:vertAlign w:val="superscript"/>
                      <w:lang w:val="en-US" w:eastAsia="zh-CN"/>
                    </w:rPr>
                    <w:t>3</w:t>
                  </w:r>
                </w:p>
              </w:tc>
              <w:tc>
                <w:tcPr>
                  <w:tcW w:w="762" w:type="pct"/>
                  <w:shd w:val="clear" w:color="auto" w:fill="auto"/>
                  <w:vAlign w:val="center"/>
                </w:tcPr>
                <w:p w14:paraId="55A838DE">
                  <w:pPr>
                    <w:jc w:val="center"/>
                    <w:rPr>
                      <w:rFonts w:hint="default" w:ascii="Times New Roman" w:hAnsi="Times New Roman" w:eastAsia="宋体" w:cs="Arial"/>
                      <w:kern w:val="2"/>
                      <w:sz w:val="21"/>
                      <w:szCs w:val="21"/>
                      <w:lang w:val="en-US" w:eastAsia="zh-CN" w:bidi="ar-SA"/>
                    </w:rPr>
                  </w:pPr>
                  <w:r>
                    <w:rPr>
                      <w:rFonts w:hint="eastAsia" w:cs="Arial"/>
                      <w:sz w:val="21"/>
                      <w:szCs w:val="21"/>
                      <w:lang w:val="en-US" w:eastAsia="zh-CN"/>
                    </w:rPr>
                    <w:t>2232</w:t>
                  </w:r>
                </w:p>
              </w:tc>
              <w:tc>
                <w:tcPr>
                  <w:tcW w:w="1886" w:type="pct"/>
                  <w:shd w:val="clear" w:color="auto" w:fill="auto"/>
                  <w:vAlign w:val="center"/>
                </w:tcPr>
                <w:p w14:paraId="7488B02F">
                  <w:pPr>
                    <w:jc w:val="center"/>
                    <w:rPr>
                      <w:rFonts w:hint="eastAsia" w:ascii="Times New Roman" w:hAnsi="Times New Roman" w:eastAsia="宋体" w:cs="Arial"/>
                      <w:kern w:val="2"/>
                      <w:sz w:val="21"/>
                      <w:szCs w:val="21"/>
                      <w:lang w:val="en-US" w:eastAsia="zh-CN" w:bidi="ar-SA"/>
                    </w:rPr>
                  </w:pPr>
                  <w:r>
                    <w:rPr>
                      <w:rFonts w:hint="eastAsia" w:cs="Arial"/>
                      <w:sz w:val="21"/>
                      <w:szCs w:val="21"/>
                      <w:lang w:val="en-US" w:eastAsia="zh-CN"/>
                    </w:rPr>
                    <w:t>/</w:t>
                  </w:r>
                </w:p>
              </w:tc>
            </w:tr>
            <w:tr w14:paraId="2D9E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shd w:val="clear" w:color="auto" w:fill="auto"/>
                  <w:vAlign w:val="center"/>
                </w:tcPr>
                <w:p w14:paraId="082FED8E">
                  <w:pPr>
                    <w:spacing w:line="0" w:lineRule="atLeast"/>
                    <w:jc w:val="center"/>
                    <w:rPr>
                      <w:rFonts w:hint="default"/>
                      <w:sz w:val="21"/>
                      <w:szCs w:val="21"/>
                      <w:lang w:val="en-US" w:eastAsia="zh-CN"/>
                    </w:rPr>
                  </w:pPr>
                  <w:r>
                    <w:rPr>
                      <w:rFonts w:hint="eastAsia"/>
                      <w:sz w:val="21"/>
                      <w:szCs w:val="21"/>
                      <w:lang w:val="en-US" w:eastAsia="zh-CN"/>
                    </w:rPr>
                    <w:t>8</w:t>
                  </w:r>
                </w:p>
              </w:tc>
              <w:tc>
                <w:tcPr>
                  <w:tcW w:w="1025" w:type="pct"/>
                  <w:shd w:val="clear" w:color="auto" w:fill="auto"/>
                  <w:vAlign w:val="center"/>
                </w:tcPr>
                <w:p w14:paraId="4605AB74">
                  <w:pPr>
                    <w:jc w:val="center"/>
                    <w:rPr>
                      <w:rFonts w:hint="default" w:ascii="宋体" w:hAnsi="宋体" w:eastAsia="宋体" w:cs="Times New Roman"/>
                      <w:kern w:val="2"/>
                      <w:sz w:val="21"/>
                      <w:szCs w:val="21"/>
                      <w:lang w:val="en-US" w:eastAsia="zh-CN" w:bidi="ar-SA"/>
                    </w:rPr>
                  </w:pPr>
                  <w:r>
                    <w:rPr>
                      <w:rFonts w:hint="eastAsia" w:cs="Arial"/>
                      <w:sz w:val="21"/>
                      <w:szCs w:val="21"/>
                    </w:rPr>
                    <w:t>电</w:t>
                  </w:r>
                </w:p>
              </w:tc>
              <w:tc>
                <w:tcPr>
                  <w:tcW w:w="806" w:type="pct"/>
                  <w:shd w:val="clear" w:color="auto" w:fill="auto"/>
                  <w:vAlign w:val="center"/>
                </w:tcPr>
                <w:p w14:paraId="0759553D">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bidi="ar"/>
                    </w:rPr>
                    <w:t>万</w:t>
                  </w:r>
                  <w:r>
                    <w:rPr>
                      <w:sz w:val="21"/>
                      <w:szCs w:val="21"/>
                      <w:lang w:bidi="ar"/>
                    </w:rPr>
                    <w:t>kW</w:t>
                  </w:r>
                  <w:r>
                    <w:rPr>
                      <w:rFonts w:hint="eastAsia" w:ascii="宋体" w:hAnsi="宋体"/>
                      <w:sz w:val="21"/>
                      <w:szCs w:val="21"/>
                      <w:lang w:bidi="ar"/>
                    </w:rPr>
                    <w:t>•</w:t>
                  </w:r>
                  <w:r>
                    <w:rPr>
                      <w:sz w:val="21"/>
                      <w:szCs w:val="21"/>
                      <w:lang w:bidi="ar"/>
                    </w:rPr>
                    <w:t>h/</w:t>
                  </w:r>
                  <w:r>
                    <w:rPr>
                      <w:rFonts w:hint="eastAsia"/>
                      <w:sz w:val="21"/>
                      <w:szCs w:val="21"/>
                      <w:lang w:val="en-US" w:eastAsia="zh-CN" w:bidi="ar"/>
                    </w:rPr>
                    <w:t>a</w:t>
                  </w:r>
                </w:p>
              </w:tc>
              <w:tc>
                <w:tcPr>
                  <w:tcW w:w="762" w:type="pct"/>
                  <w:shd w:val="clear" w:color="auto" w:fill="auto"/>
                  <w:vAlign w:val="center"/>
                </w:tcPr>
                <w:p w14:paraId="37C982F7">
                  <w:pPr>
                    <w:jc w:val="center"/>
                    <w:rPr>
                      <w:rFonts w:hint="default" w:ascii="Times New Roman" w:hAnsi="Times New Roman" w:eastAsia="宋体" w:cs="Arial"/>
                      <w:kern w:val="2"/>
                      <w:sz w:val="21"/>
                      <w:szCs w:val="21"/>
                      <w:lang w:val="en-US" w:eastAsia="zh-CN" w:bidi="ar-SA"/>
                    </w:rPr>
                  </w:pPr>
                  <w:r>
                    <w:rPr>
                      <w:rFonts w:hint="eastAsia" w:cs="Arial"/>
                      <w:sz w:val="21"/>
                      <w:szCs w:val="21"/>
                      <w:lang w:val="en-US" w:eastAsia="zh-CN"/>
                    </w:rPr>
                    <w:t>2160</w:t>
                  </w:r>
                </w:p>
              </w:tc>
              <w:tc>
                <w:tcPr>
                  <w:tcW w:w="1886" w:type="pct"/>
                  <w:shd w:val="clear" w:color="auto" w:fill="auto"/>
                  <w:vAlign w:val="center"/>
                </w:tcPr>
                <w:p w14:paraId="571394FE">
                  <w:pPr>
                    <w:jc w:val="center"/>
                    <w:rPr>
                      <w:rFonts w:hint="default" w:ascii="Times New Roman" w:hAnsi="Times New Roman" w:eastAsia="宋体" w:cs="Arial"/>
                      <w:kern w:val="2"/>
                      <w:sz w:val="21"/>
                      <w:szCs w:val="21"/>
                      <w:lang w:val="en-US" w:eastAsia="zh-CN" w:bidi="ar-SA"/>
                    </w:rPr>
                  </w:pPr>
                  <w:r>
                    <w:rPr>
                      <w:rFonts w:hint="eastAsia"/>
                      <w:szCs w:val="21"/>
                    </w:rPr>
                    <w:t>盛隆公司发电厂变电所接入</w:t>
                  </w:r>
                </w:p>
              </w:tc>
            </w:tr>
          </w:tbl>
          <w:p w14:paraId="2D6ABA1A">
            <w:pPr>
              <w:spacing w:line="500" w:lineRule="atLeast"/>
              <w:ind w:firstLine="480" w:firstLineChars="200"/>
              <w:rPr>
                <w:rFonts w:hint="eastAsia"/>
                <w:b w:val="0"/>
                <w:bCs/>
                <w:sz w:val="24"/>
                <w:lang w:val="en-US" w:eastAsia="zh-CN"/>
              </w:rPr>
            </w:pPr>
            <w:r>
              <w:rPr>
                <w:rFonts w:hint="eastAsia"/>
                <w:b w:val="0"/>
                <w:bCs/>
                <w:sz w:val="24"/>
              </w:rPr>
              <w:t>本工程生产主要原料为高炉重力灰、转炉除尘灰，均</w:t>
            </w:r>
            <w:r>
              <w:rPr>
                <w:rFonts w:hint="eastAsia"/>
                <w:b w:val="0"/>
                <w:bCs/>
                <w:sz w:val="24"/>
                <w:lang w:eastAsia="zh-CN"/>
              </w:rPr>
              <w:t>来自</w:t>
            </w:r>
            <w:r>
              <w:rPr>
                <w:rFonts w:hint="eastAsia"/>
                <w:b w:val="0"/>
                <w:bCs/>
                <w:sz w:val="24"/>
              </w:rPr>
              <w:t>广西盛隆冶金有限公司生产工序</w:t>
            </w:r>
            <w:r>
              <w:rPr>
                <w:rFonts w:hint="eastAsia"/>
                <w:b w:val="0"/>
                <w:bCs/>
                <w:sz w:val="24"/>
                <w:lang w:eastAsia="zh-CN"/>
              </w:rPr>
              <w:t>，</w:t>
            </w:r>
            <w:r>
              <w:rPr>
                <w:rFonts w:hint="eastAsia"/>
                <w:b w:val="0"/>
                <w:bCs/>
                <w:sz w:val="24"/>
                <w:lang w:val="en-US" w:eastAsia="zh-CN"/>
              </w:rPr>
              <w:t>属于一般工业固体废物，高炉重力灰代码为311-004-S01，转炉除尘灰代码为312-002-S01</w:t>
            </w:r>
            <w:r>
              <w:rPr>
                <w:rFonts w:hint="eastAsia"/>
                <w:b w:val="0"/>
                <w:bCs/>
                <w:sz w:val="24"/>
              </w:rPr>
              <w:t>。</w:t>
            </w:r>
            <w:r>
              <w:rPr>
                <w:rFonts w:hint="eastAsia"/>
                <w:b w:val="0"/>
                <w:bCs/>
                <w:sz w:val="24"/>
                <w:lang w:val="en-US" w:eastAsia="zh-CN"/>
              </w:rPr>
              <w:t>根据建设单位提供资料，焦粉成分及原料成分情况详见表2-6和2-7。</w:t>
            </w:r>
          </w:p>
          <w:p w14:paraId="78904C63">
            <w:pPr>
              <w:pStyle w:val="48"/>
              <w:numPr>
                <w:ilvl w:val="2"/>
                <w:numId w:val="2"/>
              </w:numPr>
              <w:spacing w:line="500" w:lineRule="atLeast"/>
              <w:ind w:firstLineChars="0"/>
              <w:jc w:val="center"/>
              <w:rPr>
                <w:rFonts w:hint="default" w:eastAsia="宋体"/>
                <w:sz w:val="24"/>
                <w:lang w:val="en-US" w:eastAsia="zh-CN"/>
              </w:rPr>
            </w:pPr>
            <w:r>
              <w:rPr>
                <w:rFonts w:hint="eastAsia"/>
                <w:b/>
                <w:sz w:val="24"/>
                <w:lang w:val="en-US" w:eastAsia="zh-CN"/>
              </w:rPr>
              <w:t>焦粉成分一览表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33"/>
              <w:gridCol w:w="1134"/>
              <w:gridCol w:w="1135"/>
              <w:gridCol w:w="1135"/>
              <w:gridCol w:w="1135"/>
              <w:gridCol w:w="1135"/>
            </w:tblGrid>
            <w:tr w14:paraId="1353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vAlign w:val="center"/>
                </w:tcPr>
                <w:p w14:paraId="15EBE638">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全水分</w:t>
                  </w:r>
                </w:p>
              </w:tc>
              <w:tc>
                <w:tcPr>
                  <w:tcW w:w="1133" w:type="dxa"/>
                  <w:vAlign w:val="center"/>
                </w:tcPr>
                <w:p w14:paraId="3B133EA0">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空干基低位</w:t>
                  </w:r>
                </w:p>
              </w:tc>
              <w:tc>
                <w:tcPr>
                  <w:tcW w:w="1134" w:type="dxa"/>
                  <w:vAlign w:val="center"/>
                </w:tcPr>
                <w:p w14:paraId="2D9802E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空干基灰分</w:t>
                  </w:r>
                </w:p>
              </w:tc>
              <w:tc>
                <w:tcPr>
                  <w:tcW w:w="1135" w:type="dxa"/>
                  <w:vAlign w:val="center"/>
                </w:tcPr>
                <w:p w14:paraId="42EAD482">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空干基挥发分</w:t>
                  </w:r>
                </w:p>
              </w:tc>
              <w:tc>
                <w:tcPr>
                  <w:tcW w:w="1135" w:type="dxa"/>
                  <w:vAlign w:val="center"/>
                </w:tcPr>
                <w:p w14:paraId="30C0C74E">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空干基固定碳</w:t>
                  </w:r>
                </w:p>
              </w:tc>
              <w:tc>
                <w:tcPr>
                  <w:tcW w:w="1135" w:type="dxa"/>
                  <w:vAlign w:val="center"/>
                </w:tcPr>
                <w:p w14:paraId="207E878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空干基硫分</w:t>
                  </w:r>
                </w:p>
              </w:tc>
              <w:tc>
                <w:tcPr>
                  <w:tcW w:w="1135" w:type="dxa"/>
                  <w:vAlign w:val="center"/>
                </w:tcPr>
                <w:p w14:paraId="5282C8F1">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空干基水分</w:t>
                  </w:r>
                </w:p>
              </w:tc>
            </w:tr>
            <w:tr w14:paraId="1E81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vAlign w:val="center"/>
                </w:tcPr>
                <w:p w14:paraId="5E44CAEF">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c>
                <w:tcPr>
                  <w:tcW w:w="1133" w:type="dxa"/>
                  <w:vAlign w:val="center"/>
                </w:tcPr>
                <w:p w14:paraId="766CCB8E">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Kcal/kg</w:t>
                  </w:r>
                </w:p>
              </w:tc>
              <w:tc>
                <w:tcPr>
                  <w:tcW w:w="1134" w:type="dxa"/>
                  <w:vAlign w:val="center"/>
                </w:tcPr>
                <w:p w14:paraId="50FA88E1">
                  <w:pPr>
                    <w:spacing w:line="0" w:lineRule="atLeast"/>
                    <w:ind w:left="0" w:leftChars="0" w:right="0" w:rightChars="0" w:firstLine="0" w:firstLineChars="0"/>
                    <w:jc w:val="center"/>
                    <w:rPr>
                      <w:rFonts w:hint="eastAsia"/>
                      <w:sz w:val="21"/>
                      <w:szCs w:val="21"/>
                      <w:lang w:val="en-US" w:eastAsia="zh-CN"/>
                    </w:rPr>
                  </w:pPr>
                  <w:r>
                    <w:rPr>
                      <w:rFonts w:hint="eastAsia"/>
                      <w:sz w:val="21"/>
                      <w:szCs w:val="21"/>
                      <w:lang w:val="en-US" w:eastAsia="zh-CN"/>
                    </w:rPr>
                    <w:t>%</w:t>
                  </w:r>
                </w:p>
              </w:tc>
              <w:tc>
                <w:tcPr>
                  <w:tcW w:w="1135" w:type="dxa"/>
                  <w:vAlign w:val="center"/>
                </w:tcPr>
                <w:p w14:paraId="6097FDB4">
                  <w:pPr>
                    <w:spacing w:line="0" w:lineRule="atLeast"/>
                    <w:ind w:left="0" w:leftChars="0" w:right="0" w:rightChars="0" w:firstLine="0" w:firstLineChars="0"/>
                    <w:jc w:val="center"/>
                    <w:rPr>
                      <w:rFonts w:hint="eastAsia"/>
                      <w:sz w:val="21"/>
                      <w:szCs w:val="21"/>
                      <w:lang w:val="en-US" w:eastAsia="zh-CN"/>
                    </w:rPr>
                  </w:pPr>
                  <w:r>
                    <w:rPr>
                      <w:rFonts w:hint="eastAsia"/>
                      <w:sz w:val="21"/>
                      <w:szCs w:val="21"/>
                      <w:lang w:val="en-US" w:eastAsia="zh-CN"/>
                    </w:rPr>
                    <w:t>%</w:t>
                  </w:r>
                </w:p>
              </w:tc>
              <w:tc>
                <w:tcPr>
                  <w:tcW w:w="1135" w:type="dxa"/>
                  <w:vAlign w:val="center"/>
                </w:tcPr>
                <w:p w14:paraId="2B2AFDB4">
                  <w:pPr>
                    <w:spacing w:line="0" w:lineRule="atLeast"/>
                    <w:ind w:left="0" w:leftChars="0" w:right="0" w:rightChars="0" w:firstLine="0" w:firstLineChars="0"/>
                    <w:jc w:val="center"/>
                    <w:rPr>
                      <w:rFonts w:hint="eastAsia"/>
                      <w:sz w:val="21"/>
                      <w:szCs w:val="21"/>
                      <w:lang w:val="en-US" w:eastAsia="zh-CN"/>
                    </w:rPr>
                  </w:pPr>
                  <w:r>
                    <w:rPr>
                      <w:rFonts w:hint="eastAsia"/>
                      <w:sz w:val="21"/>
                      <w:szCs w:val="21"/>
                      <w:lang w:val="en-US" w:eastAsia="zh-CN"/>
                    </w:rPr>
                    <w:t>%</w:t>
                  </w:r>
                </w:p>
              </w:tc>
              <w:tc>
                <w:tcPr>
                  <w:tcW w:w="1135" w:type="dxa"/>
                  <w:vAlign w:val="center"/>
                </w:tcPr>
                <w:p w14:paraId="1541A62A">
                  <w:pPr>
                    <w:spacing w:line="0" w:lineRule="atLeast"/>
                    <w:ind w:left="0" w:leftChars="0" w:right="0" w:rightChars="0" w:firstLine="0" w:firstLineChars="0"/>
                    <w:jc w:val="center"/>
                    <w:rPr>
                      <w:rFonts w:hint="eastAsia"/>
                      <w:sz w:val="21"/>
                      <w:szCs w:val="21"/>
                      <w:lang w:val="en-US" w:eastAsia="zh-CN"/>
                    </w:rPr>
                  </w:pPr>
                  <w:r>
                    <w:rPr>
                      <w:rFonts w:hint="eastAsia"/>
                      <w:sz w:val="21"/>
                      <w:szCs w:val="21"/>
                      <w:lang w:val="en-US" w:eastAsia="zh-CN"/>
                    </w:rPr>
                    <w:t>%</w:t>
                  </w:r>
                </w:p>
              </w:tc>
              <w:tc>
                <w:tcPr>
                  <w:tcW w:w="1135" w:type="dxa"/>
                  <w:vAlign w:val="center"/>
                </w:tcPr>
                <w:p w14:paraId="3CC35DDD">
                  <w:pPr>
                    <w:spacing w:line="0" w:lineRule="atLeast"/>
                    <w:ind w:left="0" w:leftChars="0" w:right="0" w:rightChars="0" w:firstLine="0" w:firstLineChars="0"/>
                    <w:jc w:val="center"/>
                    <w:rPr>
                      <w:rFonts w:hint="eastAsia"/>
                      <w:sz w:val="21"/>
                      <w:szCs w:val="21"/>
                      <w:lang w:val="en-US" w:eastAsia="zh-CN"/>
                    </w:rPr>
                  </w:pPr>
                  <w:r>
                    <w:rPr>
                      <w:rFonts w:hint="eastAsia"/>
                      <w:sz w:val="21"/>
                      <w:szCs w:val="21"/>
                      <w:lang w:val="en-US" w:eastAsia="zh-CN"/>
                    </w:rPr>
                    <w:t>%</w:t>
                  </w:r>
                </w:p>
              </w:tc>
            </w:tr>
            <w:tr w14:paraId="1F3E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vAlign w:val="center"/>
                </w:tcPr>
                <w:p w14:paraId="553DC74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0.52</w:t>
                  </w:r>
                </w:p>
              </w:tc>
              <w:tc>
                <w:tcPr>
                  <w:tcW w:w="1133" w:type="dxa"/>
                  <w:vAlign w:val="center"/>
                </w:tcPr>
                <w:p w14:paraId="1AA62F62">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6644</w:t>
                  </w:r>
                </w:p>
              </w:tc>
              <w:tc>
                <w:tcPr>
                  <w:tcW w:w="1134" w:type="dxa"/>
                  <w:vAlign w:val="center"/>
                </w:tcPr>
                <w:p w14:paraId="2A64BA59">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13.08</w:t>
                  </w:r>
                </w:p>
              </w:tc>
              <w:tc>
                <w:tcPr>
                  <w:tcW w:w="1135" w:type="dxa"/>
                  <w:vAlign w:val="center"/>
                </w:tcPr>
                <w:p w14:paraId="25119098">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0.87</w:t>
                  </w:r>
                </w:p>
              </w:tc>
              <w:tc>
                <w:tcPr>
                  <w:tcW w:w="1135" w:type="dxa"/>
                  <w:vAlign w:val="center"/>
                </w:tcPr>
                <w:p w14:paraId="30996F91">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85.96</w:t>
                  </w:r>
                </w:p>
              </w:tc>
              <w:tc>
                <w:tcPr>
                  <w:tcW w:w="1135" w:type="dxa"/>
                  <w:vAlign w:val="center"/>
                </w:tcPr>
                <w:p w14:paraId="2AC88523">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＜0.7</w:t>
                  </w:r>
                </w:p>
              </w:tc>
              <w:tc>
                <w:tcPr>
                  <w:tcW w:w="1135" w:type="dxa"/>
                  <w:vAlign w:val="center"/>
                </w:tcPr>
                <w:p w14:paraId="59814B0D">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0.09</w:t>
                  </w:r>
                </w:p>
              </w:tc>
            </w:tr>
          </w:tbl>
          <w:p w14:paraId="3BA5A972">
            <w:pPr>
              <w:pStyle w:val="48"/>
              <w:numPr>
                <w:ilvl w:val="2"/>
                <w:numId w:val="2"/>
              </w:numPr>
              <w:spacing w:line="500" w:lineRule="atLeast"/>
              <w:ind w:firstLineChars="0"/>
              <w:jc w:val="center"/>
              <w:rPr>
                <w:rFonts w:hint="default"/>
                <w:sz w:val="24"/>
                <w:lang w:val="en-US" w:eastAsia="zh-CN"/>
              </w:rPr>
            </w:pPr>
            <w:r>
              <w:rPr>
                <w:rFonts w:hint="eastAsia"/>
                <w:b/>
                <w:sz w:val="24"/>
                <w:lang w:val="en-US" w:eastAsia="zh-CN"/>
              </w:rPr>
              <w:t>原料成分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1"/>
              <w:gridCol w:w="2692"/>
              <w:gridCol w:w="2692"/>
            </w:tblGrid>
            <w:tr w14:paraId="4349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294F19F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成分名称</w:t>
                  </w:r>
                </w:p>
              </w:tc>
              <w:tc>
                <w:tcPr>
                  <w:tcW w:w="2697" w:type="dxa"/>
                  <w:vAlign w:val="center"/>
                </w:tcPr>
                <w:p w14:paraId="52F09914">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高炉重力灰（%）</w:t>
                  </w:r>
                </w:p>
              </w:tc>
              <w:tc>
                <w:tcPr>
                  <w:tcW w:w="2697" w:type="dxa"/>
                  <w:vAlign w:val="center"/>
                </w:tcPr>
                <w:p w14:paraId="15772628">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转炉除尘灰（%）</w:t>
                  </w:r>
                </w:p>
              </w:tc>
            </w:tr>
            <w:tr w14:paraId="4295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0FF0B36A">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Zn</w:t>
                  </w:r>
                </w:p>
              </w:tc>
              <w:tc>
                <w:tcPr>
                  <w:tcW w:w="2697" w:type="dxa"/>
                  <w:vAlign w:val="center"/>
                </w:tcPr>
                <w:p w14:paraId="053AD5A5">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1.07</w:t>
                  </w:r>
                </w:p>
              </w:tc>
              <w:tc>
                <w:tcPr>
                  <w:tcW w:w="2697" w:type="dxa"/>
                  <w:vAlign w:val="center"/>
                </w:tcPr>
                <w:p w14:paraId="2AA786D4">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2.79</w:t>
                  </w:r>
                </w:p>
              </w:tc>
            </w:tr>
            <w:tr w14:paraId="58B9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7EEFA5E1">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TFe</w:t>
                  </w:r>
                </w:p>
              </w:tc>
              <w:tc>
                <w:tcPr>
                  <w:tcW w:w="2697" w:type="dxa"/>
                  <w:vAlign w:val="center"/>
                </w:tcPr>
                <w:p w14:paraId="044F6295">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40.26</w:t>
                  </w:r>
                </w:p>
              </w:tc>
              <w:tc>
                <w:tcPr>
                  <w:tcW w:w="2697" w:type="dxa"/>
                  <w:vAlign w:val="center"/>
                </w:tcPr>
                <w:p w14:paraId="627D7D5E">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50.60</w:t>
                  </w:r>
                </w:p>
              </w:tc>
            </w:tr>
            <w:tr w14:paraId="118F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6A78A4F1">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FeO</w:t>
                  </w:r>
                </w:p>
              </w:tc>
              <w:tc>
                <w:tcPr>
                  <w:tcW w:w="2697" w:type="dxa"/>
                  <w:vAlign w:val="center"/>
                </w:tcPr>
                <w:p w14:paraId="0975EABE">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c>
                <w:tcPr>
                  <w:tcW w:w="2697" w:type="dxa"/>
                  <w:vAlign w:val="center"/>
                </w:tcPr>
                <w:p w14:paraId="5E299F08">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25.28</w:t>
                  </w:r>
                </w:p>
              </w:tc>
            </w:tr>
            <w:tr w14:paraId="73D0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26EDBF34">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SiO</w:t>
                  </w:r>
                  <w:r>
                    <w:rPr>
                      <w:rFonts w:hint="eastAsia"/>
                      <w:sz w:val="21"/>
                      <w:szCs w:val="21"/>
                      <w:vertAlign w:val="subscript"/>
                      <w:lang w:val="en-US" w:eastAsia="zh-CN"/>
                    </w:rPr>
                    <w:t>2</w:t>
                  </w:r>
                </w:p>
              </w:tc>
              <w:tc>
                <w:tcPr>
                  <w:tcW w:w="2697" w:type="dxa"/>
                  <w:vAlign w:val="center"/>
                </w:tcPr>
                <w:p w14:paraId="2657CDCC">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8.40</w:t>
                  </w:r>
                </w:p>
              </w:tc>
              <w:tc>
                <w:tcPr>
                  <w:tcW w:w="2697" w:type="dxa"/>
                  <w:vAlign w:val="center"/>
                </w:tcPr>
                <w:p w14:paraId="6B01E409">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1.55</w:t>
                  </w:r>
                </w:p>
              </w:tc>
            </w:tr>
            <w:tr w14:paraId="0A53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73CB042E">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CaO</w:t>
                  </w:r>
                </w:p>
              </w:tc>
              <w:tc>
                <w:tcPr>
                  <w:tcW w:w="2697" w:type="dxa"/>
                  <w:vAlign w:val="center"/>
                </w:tcPr>
                <w:p w14:paraId="2DC66D11">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5.86</w:t>
                  </w:r>
                </w:p>
              </w:tc>
              <w:tc>
                <w:tcPr>
                  <w:tcW w:w="2697" w:type="dxa"/>
                  <w:vAlign w:val="center"/>
                </w:tcPr>
                <w:p w14:paraId="7D1316E3">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6.84</w:t>
                  </w:r>
                </w:p>
              </w:tc>
            </w:tr>
            <w:tr w14:paraId="47E3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6AE3E2C3">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MgO</w:t>
                  </w:r>
                </w:p>
              </w:tc>
              <w:tc>
                <w:tcPr>
                  <w:tcW w:w="2697" w:type="dxa"/>
                  <w:vAlign w:val="center"/>
                </w:tcPr>
                <w:p w14:paraId="4430CDE4">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0.91</w:t>
                  </w:r>
                </w:p>
              </w:tc>
              <w:tc>
                <w:tcPr>
                  <w:tcW w:w="2697" w:type="dxa"/>
                  <w:vAlign w:val="center"/>
                </w:tcPr>
                <w:p w14:paraId="3696EB4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1.50</w:t>
                  </w:r>
                </w:p>
              </w:tc>
            </w:tr>
            <w:tr w14:paraId="5DCE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4E8DD7A8">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Cl</w:t>
                  </w:r>
                </w:p>
              </w:tc>
              <w:tc>
                <w:tcPr>
                  <w:tcW w:w="2697" w:type="dxa"/>
                  <w:vAlign w:val="center"/>
                </w:tcPr>
                <w:p w14:paraId="36B549D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0.04</w:t>
                  </w:r>
                </w:p>
              </w:tc>
              <w:tc>
                <w:tcPr>
                  <w:tcW w:w="2697" w:type="dxa"/>
                  <w:vAlign w:val="center"/>
                </w:tcPr>
                <w:p w14:paraId="4298283A">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0.48</w:t>
                  </w:r>
                </w:p>
              </w:tc>
            </w:tr>
            <w:tr w14:paraId="1D25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74A45D6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S</w:t>
                  </w:r>
                </w:p>
              </w:tc>
              <w:tc>
                <w:tcPr>
                  <w:tcW w:w="2697" w:type="dxa"/>
                  <w:vAlign w:val="center"/>
                </w:tcPr>
                <w:p w14:paraId="064F3C29">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0.45</w:t>
                  </w:r>
                </w:p>
              </w:tc>
              <w:tc>
                <w:tcPr>
                  <w:tcW w:w="2697" w:type="dxa"/>
                  <w:vAlign w:val="center"/>
                </w:tcPr>
                <w:p w14:paraId="76206420">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0.12</w:t>
                  </w:r>
                </w:p>
              </w:tc>
            </w:tr>
            <w:tr w14:paraId="3EAE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21F67B94">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Na</w:t>
                  </w:r>
                  <w:r>
                    <w:rPr>
                      <w:rFonts w:hint="eastAsia"/>
                      <w:sz w:val="21"/>
                      <w:szCs w:val="21"/>
                      <w:vertAlign w:val="subscript"/>
                      <w:lang w:val="en-US" w:eastAsia="zh-CN"/>
                    </w:rPr>
                    <w:t>2</w:t>
                  </w:r>
                  <w:r>
                    <w:rPr>
                      <w:rFonts w:hint="eastAsia"/>
                      <w:sz w:val="21"/>
                      <w:szCs w:val="21"/>
                      <w:lang w:val="en-US" w:eastAsia="zh-CN"/>
                    </w:rPr>
                    <w:t>O</w:t>
                  </w:r>
                </w:p>
              </w:tc>
              <w:tc>
                <w:tcPr>
                  <w:tcW w:w="2697" w:type="dxa"/>
                  <w:vAlign w:val="center"/>
                </w:tcPr>
                <w:p w14:paraId="0B3C4493">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0.45</w:t>
                  </w:r>
                </w:p>
              </w:tc>
              <w:tc>
                <w:tcPr>
                  <w:tcW w:w="2697" w:type="dxa"/>
                  <w:vAlign w:val="center"/>
                </w:tcPr>
                <w:p w14:paraId="245ABA60">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1.53</w:t>
                  </w:r>
                </w:p>
              </w:tc>
            </w:tr>
            <w:tr w14:paraId="16A0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270BB3C0">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C</w:t>
                  </w:r>
                </w:p>
              </w:tc>
              <w:tc>
                <w:tcPr>
                  <w:tcW w:w="2697" w:type="dxa"/>
                  <w:vAlign w:val="center"/>
                </w:tcPr>
                <w:p w14:paraId="05325789">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25.25</w:t>
                  </w:r>
                </w:p>
              </w:tc>
              <w:tc>
                <w:tcPr>
                  <w:tcW w:w="2697" w:type="dxa"/>
                  <w:vAlign w:val="center"/>
                </w:tcPr>
                <w:p w14:paraId="7193D9C6">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0.92</w:t>
                  </w:r>
                </w:p>
              </w:tc>
            </w:tr>
            <w:tr w14:paraId="1DF9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6213C48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H</w:t>
                  </w:r>
                  <w:r>
                    <w:rPr>
                      <w:rFonts w:hint="eastAsia"/>
                      <w:sz w:val="21"/>
                      <w:szCs w:val="21"/>
                      <w:vertAlign w:val="subscript"/>
                      <w:lang w:val="en-US" w:eastAsia="zh-CN"/>
                    </w:rPr>
                    <w:t>2</w:t>
                  </w:r>
                  <w:r>
                    <w:rPr>
                      <w:rFonts w:hint="eastAsia"/>
                      <w:sz w:val="21"/>
                      <w:szCs w:val="21"/>
                      <w:lang w:val="en-US" w:eastAsia="zh-CN"/>
                    </w:rPr>
                    <w:t>O</w:t>
                  </w:r>
                </w:p>
              </w:tc>
              <w:tc>
                <w:tcPr>
                  <w:tcW w:w="2697" w:type="dxa"/>
                  <w:vAlign w:val="center"/>
                </w:tcPr>
                <w:p w14:paraId="55512DD6">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0.13</w:t>
                  </w:r>
                </w:p>
              </w:tc>
              <w:tc>
                <w:tcPr>
                  <w:tcW w:w="2697" w:type="dxa"/>
                  <w:vAlign w:val="center"/>
                </w:tcPr>
                <w:p w14:paraId="7217E296">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0.10</w:t>
                  </w:r>
                </w:p>
              </w:tc>
            </w:tr>
            <w:tr w14:paraId="7D0B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36E3545C">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P</w:t>
                  </w:r>
                </w:p>
              </w:tc>
              <w:tc>
                <w:tcPr>
                  <w:tcW w:w="2697" w:type="dxa"/>
                  <w:vAlign w:val="center"/>
                </w:tcPr>
                <w:p w14:paraId="07DE02E3">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0.08</w:t>
                  </w:r>
                </w:p>
              </w:tc>
              <w:tc>
                <w:tcPr>
                  <w:tcW w:w="2697" w:type="dxa"/>
                  <w:vAlign w:val="center"/>
                </w:tcPr>
                <w:p w14:paraId="6C932005">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r>
            <w:tr w14:paraId="2662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4187935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TiO</w:t>
                  </w:r>
                  <w:r>
                    <w:rPr>
                      <w:rFonts w:hint="eastAsia"/>
                      <w:sz w:val="21"/>
                      <w:szCs w:val="21"/>
                      <w:vertAlign w:val="subscript"/>
                      <w:lang w:val="en-US" w:eastAsia="zh-CN"/>
                    </w:rPr>
                    <w:t>2</w:t>
                  </w:r>
                </w:p>
              </w:tc>
              <w:tc>
                <w:tcPr>
                  <w:tcW w:w="2697" w:type="dxa"/>
                  <w:vAlign w:val="center"/>
                </w:tcPr>
                <w:p w14:paraId="55A8E7C3">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0.22</w:t>
                  </w:r>
                </w:p>
              </w:tc>
              <w:tc>
                <w:tcPr>
                  <w:tcW w:w="2697" w:type="dxa"/>
                  <w:vAlign w:val="center"/>
                </w:tcPr>
                <w:p w14:paraId="3FDD5E59">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r>
            <w:tr w14:paraId="2322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0DE330ED">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K</w:t>
                  </w:r>
                  <w:r>
                    <w:rPr>
                      <w:rFonts w:hint="eastAsia"/>
                      <w:sz w:val="21"/>
                      <w:szCs w:val="21"/>
                      <w:vertAlign w:val="subscript"/>
                      <w:lang w:val="en-US" w:eastAsia="zh-CN"/>
                    </w:rPr>
                    <w:t>2</w:t>
                  </w:r>
                  <w:r>
                    <w:rPr>
                      <w:rFonts w:hint="eastAsia"/>
                      <w:sz w:val="21"/>
                      <w:szCs w:val="21"/>
                      <w:lang w:val="en-US" w:eastAsia="zh-CN"/>
                    </w:rPr>
                    <w:t>O</w:t>
                  </w:r>
                </w:p>
              </w:tc>
              <w:tc>
                <w:tcPr>
                  <w:tcW w:w="2697" w:type="dxa"/>
                  <w:vAlign w:val="center"/>
                </w:tcPr>
                <w:p w14:paraId="2F5740D9">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0.56</w:t>
                  </w:r>
                </w:p>
              </w:tc>
              <w:tc>
                <w:tcPr>
                  <w:tcW w:w="2697" w:type="dxa"/>
                  <w:vAlign w:val="center"/>
                </w:tcPr>
                <w:p w14:paraId="4F0031D5">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r>
            <w:tr w14:paraId="4C67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6E9C3463">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Pb</w:t>
                  </w:r>
                </w:p>
              </w:tc>
              <w:tc>
                <w:tcPr>
                  <w:tcW w:w="2697" w:type="dxa"/>
                  <w:vAlign w:val="center"/>
                </w:tcPr>
                <w:p w14:paraId="08A7793C">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0.02</w:t>
                  </w:r>
                </w:p>
              </w:tc>
              <w:tc>
                <w:tcPr>
                  <w:tcW w:w="2697" w:type="dxa"/>
                  <w:vAlign w:val="center"/>
                </w:tcPr>
                <w:p w14:paraId="6C393429">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r>
            <w:tr w14:paraId="47FA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72441F36">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As</w:t>
                  </w:r>
                </w:p>
              </w:tc>
              <w:tc>
                <w:tcPr>
                  <w:tcW w:w="2697" w:type="dxa"/>
                  <w:vAlign w:val="center"/>
                </w:tcPr>
                <w:p w14:paraId="74B11CE6">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0.01</w:t>
                  </w:r>
                </w:p>
              </w:tc>
              <w:tc>
                <w:tcPr>
                  <w:tcW w:w="2697" w:type="dxa"/>
                  <w:vAlign w:val="center"/>
                </w:tcPr>
                <w:p w14:paraId="38B4B032">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r>
            <w:tr w14:paraId="112D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33C0A055">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Mn</w:t>
                  </w:r>
                </w:p>
              </w:tc>
              <w:tc>
                <w:tcPr>
                  <w:tcW w:w="2697" w:type="dxa"/>
                  <w:vAlign w:val="center"/>
                </w:tcPr>
                <w:p w14:paraId="51C935CB">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0.28</w:t>
                  </w:r>
                </w:p>
              </w:tc>
              <w:tc>
                <w:tcPr>
                  <w:tcW w:w="2697" w:type="dxa"/>
                  <w:vAlign w:val="center"/>
                </w:tcPr>
                <w:p w14:paraId="0EB440EF">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r>
            <w:tr w14:paraId="3510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6" w:type="dxa"/>
                  <w:vAlign w:val="center"/>
                </w:tcPr>
                <w:p w14:paraId="543E1B9A">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Ni</w:t>
                  </w:r>
                </w:p>
              </w:tc>
              <w:tc>
                <w:tcPr>
                  <w:tcW w:w="2697" w:type="dxa"/>
                  <w:vAlign w:val="center"/>
                </w:tcPr>
                <w:p w14:paraId="225BA132">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0.02</w:t>
                  </w:r>
                </w:p>
              </w:tc>
              <w:tc>
                <w:tcPr>
                  <w:tcW w:w="2697" w:type="dxa"/>
                  <w:vAlign w:val="center"/>
                </w:tcPr>
                <w:p w14:paraId="1A286B97">
                  <w:pPr>
                    <w:spacing w:line="0" w:lineRule="atLeast"/>
                    <w:ind w:left="0" w:leftChars="0" w:right="0" w:rightChars="0" w:firstLine="0" w:firstLineChars="0"/>
                    <w:jc w:val="center"/>
                    <w:rPr>
                      <w:rFonts w:hint="default"/>
                      <w:sz w:val="21"/>
                      <w:szCs w:val="21"/>
                      <w:lang w:val="en-US" w:eastAsia="zh-CN"/>
                    </w:rPr>
                  </w:pPr>
                  <w:r>
                    <w:rPr>
                      <w:rFonts w:hint="eastAsia"/>
                      <w:sz w:val="21"/>
                      <w:szCs w:val="21"/>
                      <w:lang w:val="en-US" w:eastAsia="zh-CN"/>
                    </w:rPr>
                    <w:t>/</w:t>
                  </w:r>
                </w:p>
              </w:tc>
            </w:tr>
          </w:tbl>
          <w:p w14:paraId="30248D5E">
            <w:pPr>
              <w:spacing w:line="500" w:lineRule="atLeast"/>
              <w:ind w:firstLine="482" w:firstLineChars="200"/>
              <w:rPr>
                <w:b/>
                <w:sz w:val="24"/>
              </w:rPr>
            </w:pPr>
            <w:r>
              <w:rPr>
                <w:rFonts w:hint="eastAsia"/>
                <w:b/>
                <w:sz w:val="24"/>
                <w:lang w:val="en-US" w:eastAsia="zh-CN"/>
              </w:rPr>
              <w:t>7</w:t>
            </w:r>
            <w:r>
              <w:rPr>
                <w:rFonts w:hint="eastAsia"/>
                <w:b/>
                <w:sz w:val="24"/>
              </w:rPr>
              <w:t>、总平面布置</w:t>
            </w:r>
          </w:p>
          <w:p w14:paraId="6AA8F24B">
            <w:pPr>
              <w:spacing w:line="500" w:lineRule="atLeast"/>
              <w:ind w:firstLine="480" w:firstLineChars="200"/>
              <w:rPr>
                <w:rFonts w:hint="eastAsia"/>
                <w:sz w:val="24"/>
                <w:lang w:val="en-US" w:eastAsia="zh-CN"/>
              </w:rPr>
            </w:pPr>
            <w:r>
              <w:rPr>
                <w:rFonts w:hint="eastAsia"/>
                <w:sz w:val="24"/>
                <w:lang w:val="en-US" w:eastAsia="zh-CN"/>
              </w:rPr>
              <w:t>整个生产车间可分为原料预处理区（包含配料室、混料机室、转运站及皮带机等）、主生产区（包含回转窑、电气综合楼等）、成品处理区（包含窑渣水淬冷却设施等）、烟气处理区（包含沉降室、余热锅炉及辅助间、除尘器、引风机等）、环境除尘区（包含布袋除尘器、引风机及排气筒等）。</w:t>
            </w:r>
          </w:p>
          <w:p w14:paraId="2E32591D">
            <w:pPr>
              <w:spacing w:line="500" w:lineRule="atLeast"/>
              <w:ind w:firstLine="480" w:firstLineChars="200"/>
              <w:rPr>
                <w:rFonts w:hint="default"/>
                <w:sz w:val="24"/>
                <w:lang w:val="en-US" w:eastAsia="zh-CN"/>
              </w:rPr>
            </w:pPr>
            <w:r>
              <w:rPr>
                <w:rFonts w:hint="eastAsia"/>
                <w:sz w:val="24"/>
                <w:lang w:val="en-US" w:eastAsia="zh-CN"/>
              </w:rPr>
              <w:t>其中原料预处理区位于车间东侧，主生产区、成品处理区位于车间中部，烟气处理区位于车间南侧，环境除尘区位于车间东北角。</w:t>
            </w:r>
          </w:p>
          <w:p w14:paraId="7655262D">
            <w:pPr>
              <w:spacing w:line="500" w:lineRule="atLeast"/>
              <w:ind w:firstLine="480" w:firstLineChars="200"/>
              <w:rPr>
                <w:rFonts w:hint="eastAsia"/>
                <w:sz w:val="24"/>
              </w:rPr>
            </w:pPr>
            <w:r>
              <w:rPr>
                <w:rFonts w:hint="eastAsia"/>
                <w:sz w:val="24"/>
                <w:lang w:val="en-US" w:eastAsia="zh-CN"/>
              </w:rPr>
              <w:t>本项目</w:t>
            </w:r>
            <w:r>
              <w:rPr>
                <w:rFonts w:hint="default"/>
                <w:sz w:val="24"/>
                <w:lang w:val="en-US" w:eastAsia="zh-CN"/>
              </w:rPr>
              <w:t>充分利用既有建筑及设施，合理处理新建设施与周边钢厂既有设施之间的关系</w:t>
            </w:r>
            <w:r>
              <w:rPr>
                <w:rFonts w:hint="eastAsia"/>
                <w:sz w:val="24"/>
                <w:lang w:val="en-US" w:eastAsia="zh-CN"/>
              </w:rPr>
              <w:t>，功能分区合理，工艺流程顺畅</w:t>
            </w:r>
            <w:r>
              <w:rPr>
                <w:rFonts w:hint="eastAsia"/>
                <w:sz w:val="24"/>
              </w:rPr>
              <w:t>，总体平面布局合理，具体平面布置情况详见附图2。</w:t>
            </w:r>
          </w:p>
          <w:p w14:paraId="4C1DDCC1">
            <w:pPr>
              <w:spacing w:line="500" w:lineRule="atLeast"/>
              <w:ind w:firstLine="482" w:firstLineChars="200"/>
              <w:rPr>
                <w:rFonts w:hint="eastAsia"/>
                <w:sz w:val="24"/>
                <w:lang w:val="en-US" w:eastAsia="zh-CN"/>
              </w:rPr>
            </w:pPr>
            <w:r>
              <w:rPr>
                <w:rFonts w:hint="eastAsia"/>
                <w:b/>
                <w:sz w:val="24"/>
                <w:lang w:val="en-US" w:eastAsia="zh-CN"/>
              </w:rPr>
              <w:t>8、物料平衡</w:t>
            </w:r>
          </w:p>
          <w:p w14:paraId="7ED0134D">
            <w:pPr>
              <w:spacing w:line="500" w:lineRule="atLeast"/>
              <w:ind w:firstLine="480" w:firstLineChars="200"/>
              <w:rPr>
                <w:rFonts w:hint="default"/>
                <w:sz w:val="24"/>
                <w:lang w:val="en-US" w:eastAsia="zh-CN"/>
              </w:rPr>
            </w:pPr>
            <w:r>
              <w:rPr>
                <w:rFonts w:hint="default"/>
                <w:sz w:val="24"/>
                <w:lang w:val="en-US" w:eastAsia="zh-CN"/>
              </w:rPr>
              <w:t>根据工程设计方案，项目物料平衡见表2-</w:t>
            </w:r>
            <w:r>
              <w:rPr>
                <w:rFonts w:hint="eastAsia"/>
                <w:sz w:val="24"/>
                <w:lang w:val="en-US" w:eastAsia="zh-CN"/>
              </w:rPr>
              <w:t>8</w:t>
            </w:r>
            <w:r>
              <w:rPr>
                <w:rFonts w:hint="default"/>
                <w:sz w:val="24"/>
                <w:lang w:val="en-US" w:eastAsia="zh-CN"/>
              </w:rPr>
              <w:t>。</w:t>
            </w:r>
          </w:p>
          <w:p w14:paraId="52B7AE57">
            <w:pPr>
              <w:pStyle w:val="48"/>
              <w:numPr>
                <w:ilvl w:val="2"/>
                <w:numId w:val="2"/>
              </w:numPr>
              <w:spacing w:line="500" w:lineRule="atLeast"/>
              <w:ind w:firstLineChars="0"/>
              <w:jc w:val="center"/>
              <w:rPr>
                <w:rFonts w:hint="default"/>
                <w:sz w:val="24"/>
                <w:lang w:val="en-US" w:eastAsia="zh-CN"/>
              </w:rPr>
            </w:pPr>
            <w:r>
              <w:rPr>
                <w:rFonts w:hint="default"/>
                <w:b/>
                <w:sz w:val="24"/>
                <w:lang w:val="en-US" w:eastAsia="zh-CN"/>
              </w:rPr>
              <w:t>项目物料平衡表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615"/>
              <w:gridCol w:w="1738"/>
              <w:gridCol w:w="2035"/>
              <w:gridCol w:w="1811"/>
            </w:tblGrid>
            <w:tr w14:paraId="07D4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restart"/>
                  <w:shd w:val="clear" w:color="auto" w:fill="auto"/>
                  <w:noWrap w:val="0"/>
                  <w:vAlign w:val="center"/>
                </w:tcPr>
                <w:p w14:paraId="42D416E2">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序号</w:t>
                  </w:r>
                </w:p>
              </w:tc>
              <w:tc>
                <w:tcPr>
                  <w:tcW w:w="2076" w:type="pct"/>
                  <w:gridSpan w:val="2"/>
                  <w:shd w:val="clear" w:color="auto" w:fill="auto"/>
                  <w:noWrap w:val="0"/>
                  <w:vAlign w:val="center"/>
                </w:tcPr>
                <w:p w14:paraId="74D564BF">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投入</w:t>
                  </w:r>
                </w:p>
              </w:tc>
              <w:tc>
                <w:tcPr>
                  <w:tcW w:w="2381" w:type="pct"/>
                  <w:gridSpan w:val="2"/>
                  <w:shd w:val="clear" w:color="auto" w:fill="auto"/>
                  <w:noWrap w:val="0"/>
                  <w:vAlign w:val="center"/>
                </w:tcPr>
                <w:p w14:paraId="4CB4AC4C">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产出</w:t>
                  </w:r>
                </w:p>
              </w:tc>
            </w:tr>
            <w:tr w14:paraId="5B20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continue"/>
                  <w:shd w:val="clear" w:color="auto" w:fill="auto"/>
                  <w:noWrap w:val="0"/>
                  <w:vAlign w:val="center"/>
                </w:tcPr>
                <w:p w14:paraId="29AD3A19">
                  <w:pPr>
                    <w:adjustRightInd w:val="0"/>
                    <w:snapToGrid w:val="0"/>
                    <w:jc w:val="center"/>
                    <w:rPr>
                      <w:rFonts w:hint="default" w:ascii="Times New Roman" w:hAnsi="Times New Roman" w:cs="Times New Roman"/>
                      <w:szCs w:val="21"/>
                    </w:rPr>
                  </w:pPr>
                </w:p>
              </w:tc>
              <w:tc>
                <w:tcPr>
                  <w:tcW w:w="1000" w:type="pct"/>
                  <w:shd w:val="clear" w:color="auto" w:fill="auto"/>
                  <w:noWrap w:val="0"/>
                  <w:vAlign w:val="center"/>
                </w:tcPr>
                <w:p w14:paraId="0A1E01B3">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名称</w:t>
                  </w:r>
                </w:p>
              </w:tc>
              <w:tc>
                <w:tcPr>
                  <w:tcW w:w="1076" w:type="pct"/>
                  <w:shd w:val="clear" w:color="auto" w:fill="auto"/>
                  <w:noWrap w:val="0"/>
                  <w:vAlign w:val="center"/>
                </w:tcPr>
                <w:p w14:paraId="67CF0482">
                  <w:pPr>
                    <w:adjustRightInd w:val="0"/>
                    <w:snapToGrid w:val="0"/>
                    <w:jc w:val="center"/>
                    <w:rPr>
                      <w:rFonts w:hint="default" w:ascii="Times New Roman" w:hAnsi="Times New Roman" w:eastAsia="宋体" w:cs="Times New Roman"/>
                      <w:szCs w:val="21"/>
                      <w:lang w:eastAsia="zh-CN"/>
                    </w:rPr>
                  </w:pPr>
                  <w:r>
                    <w:rPr>
                      <w:rFonts w:hint="default" w:ascii="Times New Roman" w:hAnsi="Times New Roman" w:cs="Times New Roman"/>
                      <w:szCs w:val="21"/>
                    </w:rPr>
                    <w:t>数量</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t/a</w:t>
                  </w:r>
                  <w:r>
                    <w:rPr>
                      <w:rFonts w:hint="default" w:ascii="Times New Roman" w:hAnsi="Times New Roman" w:cs="Times New Roman"/>
                      <w:szCs w:val="21"/>
                      <w:lang w:eastAsia="zh-CN"/>
                    </w:rPr>
                    <w:t>）</w:t>
                  </w:r>
                </w:p>
              </w:tc>
              <w:tc>
                <w:tcPr>
                  <w:tcW w:w="1260" w:type="pct"/>
                  <w:shd w:val="clear" w:color="auto" w:fill="auto"/>
                  <w:noWrap w:val="0"/>
                  <w:vAlign w:val="center"/>
                </w:tcPr>
                <w:p w14:paraId="2F2DA98F">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名称</w:t>
                  </w:r>
                </w:p>
              </w:tc>
              <w:tc>
                <w:tcPr>
                  <w:tcW w:w="1121" w:type="pct"/>
                  <w:shd w:val="clear" w:color="auto" w:fill="auto"/>
                  <w:noWrap w:val="0"/>
                  <w:vAlign w:val="center"/>
                </w:tcPr>
                <w:p w14:paraId="4061B8A6">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数量</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t/a</w:t>
                  </w:r>
                  <w:r>
                    <w:rPr>
                      <w:rFonts w:hint="default" w:ascii="Times New Roman" w:hAnsi="Times New Roman" w:cs="Times New Roman"/>
                      <w:szCs w:val="21"/>
                      <w:lang w:eastAsia="zh-CN"/>
                    </w:rPr>
                    <w:t>）</w:t>
                  </w:r>
                </w:p>
              </w:tc>
            </w:tr>
            <w:tr w14:paraId="6A51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shd w:val="clear" w:color="auto" w:fill="auto"/>
                  <w:noWrap w:val="0"/>
                  <w:vAlign w:val="center"/>
                </w:tcPr>
                <w:p w14:paraId="187F6789">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000" w:type="pct"/>
                  <w:shd w:val="clear" w:color="auto" w:fill="auto"/>
                  <w:noWrap w:val="0"/>
                  <w:vAlign w:val="center"/>
                </w:tcPr>
                <w:p w14:paraId="0876312D">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高炉</w:t>
                  </w:r>
                  <w:r>
                    <w:rPr>
                      <w:rFonts w:hint="default" w:ascii="Times New Roman" w:hAnsi="Times New Roman" w:cs="Times New Roman"/>
                      <w:szCs w:val="21"/>
                      <w:lang w:val="en-US" w:eastAsia="zh-CN"/>
                    </w:rPr>
                    <w:t>重力</w:t>
                  </w:r>
                  <w:r>
                    <w:rPr>
                      <w:rFonts w:hint="default" w:ascii="Times New Roman" w:hAnsi="Times New Roman" w:cs="Times New Roman"/>
                      <w:szCs w:val="21"/>
                    </w:rPr>
                    <w:t>灰</w:t>
                  </w:r>
                </w:p>
              </w:tc>
              <w:tc>
                <w:tcPr>
                  <w:tcW w:w="1076" w:type="pct"/>
                  <w:shd w:val="clear" w:color="auto" w:fill="auto"/>
                  <w:noWrap w:val="0"/>
                  <w:vAlign w:val="center"/>
                </w:tcPr>
                <w:p w14:paraId="20518DB4">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64000</w:t>
                  </w:r>
                </w:p>
              </w:tc>
              <w:tc>
                <w:tcPr>
                  <w:tcW w:w="1260" w:type="pct"/>
                  <w:shd w:val="clear" w:color="auto" w:fill="auto"/>
                  <w:noWrap w:val="0"/>
                  <w:vAlign w:val="center"/>
                </w:tcPr>
                <w:p w14:paraId="599204D1">
                  <w:pPr>
                    <w:adjustRightInd w:val="0"/>
                    <w:snapToGrid w:val="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窑渣</w:t>
                  </w:r>
                </w:p>
              </w:tc>
              <w:tc>
                <w:tcPr>
                  <w:tcW w:w="1121" w:type="pct"/>
                  <w:shd w:val="clear" w:color="auto" w:fill="auto"/>
                  <w:noWrap w:val="0"/>
                  <w:vAlign w:val="center"/>
                </w:tcPr>
                <w:p w14:paraId="73E86ABC">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96900</w:t>
                  </w:r>
                </w:p>
              </w:tc>
            </w:tr>
            <w:tr w14:paraId="5CE4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shd w:val="clear" w:color="auto" w:fill="auto"/>
                  <w:noWrap w:val="0"/>
                  <w:vAlign w:val="center"/>
                </w:tcPr>
                <w:p w14:paraId="403E6777">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w:t>
                  </w:r>
                </w:p>
              </w:tc>
              <w:tc>
                <w:tcPr>
                  <w:tcW w:w="1000" w:type="pct"/>
                  <w:shd w:val="clear" w:color="auto" w:fill="auto"/>
                  <w:noWrap w:val="0"/>
                  <w:vAlign w:val="center"/>
                </w:tcPr>
                <w:p w14:paraId="34D155A1">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转炉除尘灰</w:t>
                  </w:r>
                </w:p>
              </w:tc>
              <w:tc>
                <w:tcPr>
                  <w:tcW w:w="1076" w:type="pct"/>
                  <w:shd w:val="clear" w:color="auto" w:fill="auto"/>
                  <w:noWrap w:val="0"/>
                  <w:vAlign w:val="center"/>
                </w:tcPr>
                <w:p w14:paraId="2B870FB1">
                  <w:pPr>
                    <w:adjustRightInd w:val="0"/>
                    <w:snapToGrid w:val="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128000</w:t>
                  </w:r>
                </w:p>
              </w:tc>
              <w:tc>
                <w:tcPr>
                  <w:tcW w:w="1260" w:type="pct"/>
                  <w:shd w:val="clear" w:color="auto" w:fill="auto"/>
                  <w:noWrap w:val="0"/>
                  <w:vAlign w:val="center"/>
                </w:tcPr>
                <w:p w14:paraId="6B2AA216">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次氧化锌粉</w:t>
                  </w:r>
                </w:p>
              </w:tc>
              <w:tc>
                <w:tcPr>
                  <w:tcW w:w="1121" w:type="pct"/>
                  <w:shd w:val="clear" w:color="auto" w:fill="auto"/>
                  <w:noWrap w:val="0"/>
                  <w:vAlign w:val="center"/>
                </w:tcPr>
                <w:p w14:paraId="299E6CB2">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7600</w:t>
                  </w:r>
                </w:p>
              </w:tc>
            </w:tr>
            <w:tr w14:paraId="3F8E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shd w:val="clear" w:color="auto" w:fill="auto"/>
                  <w:noWrap w:val="0"/>
                  <w:vAlign w:val="center"/>
                </w:tcPr>
                <w:p w14:paraId="202F83C4">
                  <w:pPr>
                    <w:adjustRightInd w:val="0"/>
                    <w:snapToGrid w:val="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3</w:t>
                  </w:r>
                </w:p>
              </w:tc>
              <w:tc>
                <w:tcPr>
                  <w:tcW w:w="1000" w:type="pct"/>
                  <w:shd w:val="clear" w:color="auto" w:fill="auto"/>
                  <w:noWrap w:val="0"/>
                  <w:vAlign w:val="center"/>
                </w:tcPr>
                <w:p w14:paraId="5C5FF483">
                  <w:pPr>
                    <w:adjustRightInd w:val="0"/>
                    <w:snapToGrid w:val="0"/>
                    <w:jc w:val="center"/>
                    <w:rPr>
                      <w:rFonts w:hint="default" w:ascii="Times New Roman" w:hAnsi="Times New Roman" w:eastAsia="宋体" w:cs="Times New Roman"/>
                      <w:szCs w:val="21"/>
                      <w:lang w:eastAsia="zh-CN"/>
                    </w:rPr>
                  </w:pPr>
                  <w:r>
                    <w:rPr>
                      <w:rFonts w:hint="default" w:ascii="Times New Roman" w:hAnsi="Times New Roman" w:cs="Times New Roman"/>
                      <w:szCs w:val="21"/>
                    </w:rPr>
                    <w:t>焦</w:t>
                  </w:r>
                  <w:r>
                    <w:rPr>
                      <w:rFonts w:hint="default" w:ascii="Times New Roman" w:hAnsi="Times New Roman" w:cs="Times New Roman"/>
                      <w:szCs w:val="21"/>
                      <w:lang w:val="en-US" w:eastAsia="zh-CN"/>
                    </w:rPr>
                    <w:t>粉</w:t>
                  </w:r>
                </w:p>
              </w:tc>
              <w:tc>
                <w:tcPr>
                  <w:tcW w:w="1076" w:type="pct"/>
                  <w:shd w:val="clear" w:color="auto" w:fill="auto"/>
                  <w:noWrap w:val="0"/>
                  <w:vAlign w:val="center"/>
                </w:tcPr>
                <w:p w14:paraId="4A200058">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8000</w:t>
                  </w:r>
                </w:p>
              </w:tc>
              <w:tc>
                <w:tcPr>
                  <w:tcW w:w="1260" w:type="pct"/>
                  <w:shd w:val="clear" w:color="auto" w:fill="auto"/>
                  <w:noWrap w:val="0"/>
                  <w:vAlign w:val="center"/>
                </w:tcPr>
                <w:p w14:paraId="68FA841E">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低压饱和蒸汽</w:t>
                  </w:r>
                </w:p>
              </w:tc>
              <w:tc>
                <w:tcPr>
                  <w:tcW w:w="1121" w:type="pct"/>
                  <w:shd w:val="clear" w:color="auto" w:fill="auto"/>
                  <w:noWrap w:val="0"/>
                  <w:vAlign w:val="center"/>
                </w:tcPr>
                <w:p w14:paraId="407DCB31">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111600</w:t>
                  </w:r>
                </w:p>
              </w:tc>
            </w:tr>
            <w:tr w14:paraId="2527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shd w:val="clear" w:color="auto" w:fill="auto"/>
                  <w:noWrap w:val="0"/>
                  <w:vAlign w:val="center"/>
                </w:tcPr>
                <w:p w14:paraId="39992D99">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p>
              </w:tc>
              <w:tc>
                <w:tcPr>
                  <w:tcW w:w="1000" w:type="pct"/>
                  <w:shd w:val="clear" w:color="auto" w:fill="auto"/>
                  <w:noWrap w:val="0"/>
                  <w:vAlign w:val="center"/>
                </w:tcPr>
                <w:p w14:paraId="1CCEB9C0">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水</w:t>
                  </w:r>
                </w:p>
              </w:tc>
              <w:tc>
                <w:tcPr>
                  <w:tcW w:w="1076" w:type="pct"/>
                  <w:shd w:val="clear" w:color="auto" w:fill="auto"/>
                  <w:noWrap w:val="0"/>
                  <w:vAlign w:val="center"/>
                </w:tcPr>
                <w:p w14:paraId="6617D9F9">
                  <w:pPr>
                    <w:adjustRightInd w:val="0"/>
                    <w:snapToGrid w:val="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236065</w:t>
                  </w:r>
                </w:p>
              </w:tc>
              <w:tc>
                <w:tcPr>
                  <w:tcW w:w="1260" w:type="pct"/>
                  <w:shd w:val="clear" w:color="auto" w:fill="auto"/>
                  <w:noWrap w:val="0"/>
                  <w:vAlign w:val="center"/>
                </w:tcPr>
                <w:p w14:paraId="43E059A0">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损耗水</w:t>
                  </w:r>
                </w:p>
              </w:tc>
              <w:tc>
                <w:tcPr>
                  <w:tcW w:w="1121" w:type="pct"/>
                  <w:shd w:val="clear" w:color="auto" w:fill="auto"/>
                  <w:noWrap w:val="0"/>
                  <w:vAlign w:val="center"/>
                </w:tcPr>
                <w:p w14:paraId="1101F3B8">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93465</w:t>
                  </w:r>
                </w:p>
              </w:tc>
            </w:tr>
            <w:tr w14:paraId="1055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shd w:val="clear" w:color="auto" w:fill="auto"/>
                  <w:noWrap w:val="0"/>
                  <w:vAlign w:val="center"/>
                </w:tcPr>
                <w:p w14:paraId="6627E483">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w:t>
                  </w:r>
                </w:p>
              </w:tc>
              <w:tc>
                <w:tcPr>
                  <w:tcW w:w="1000" w:type="pct"/>
                  <w:shd w:val="clear" w:color="auto" w:fill="auto"/>
                  <w:noWrap w:val="0"/>
                  <w:vAlign w:val="center"/>
                </w:tcPr>
                <w:p w14:paraId="100AEA7D">
                  <w:pPr>
                    <w:adjustRightInd w:val="0"/>
                    <w:snapToGrid w:val="0"/>
                    <w:jc w:val="center"/>
                    <w:rPr>
                      <w:rFonts w:hint="default" w:ascii="Times New Roman" w:hAnsi="Times New Roman" w:cs="Times New Roman"/>
                      <w:szCs w:val="21"/>
                    </w:rPr>
                  </w:pPr>
                </w:p>
              </w:tc>
              <w:tc>
                <w:tcPr>
                  <w:tcW w:w="1076" w:type="pct"/>
                  <w:shd w:val="clear" w:color="auto" w:fill="auto"/>
                  <w:noWrap w:val="0"/>
                  <w:vAlign w:val="center"/>
                </w:tcPr>
                <w:p w14:paraId="154E4C9E">
                  <w:pPr>
                    <w:adjustRightInd w:val="0"/>
                    <w:snapToGrid w:val="0"/>
                    <w:jc w:val="center"/>
                    <w:rPr>
                      <w:rFonts w:hint="default" w:ascii="Times New Roman" w:hAnsi="Times New Roman" w:cs="Times New Roman"/>
                      <w:szCs w:val="21"/>
                    </w:rPr>
                  </w:pPr>
                </w:p>
              </w:tc>
              <w:tc>
                <w:tcPr>
                  <w:tcW w:w="1260" w:type="pct"/>
                  <w:shd w:val="clear" w:color="auto" w:fill="auto"/>
                  <w:noWrap w:val="0"/>
                  <w:vAlign w:val="center"/>
                </w:tcPr>
                <w:p w14:paraId="6253ADF1">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排污水</w:t>
                  </w:r>
                </w:p>
              </w:tc>
              <w:tc>
                <w:tcPr>
                  <w:tcW w:w="1121" w:type="pct"/>
                  <w:shd w:val="clear" w:color="auto" w:fill="auto"/>
                  <w:noWrap w:val="0"/>
                  <w:vAlign w:val="center"/>
                </w:tcPr>
                <w:p w14:paraId="4BA5A6A3">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31000</w:t>
                  </w:r>
                </w:p>
              </w:tc>
            </w:tr>
            <w:tr w14:paraId="5B8B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shd w:val="clear" w:color="auto" w:fill="auto"/>
                  <w:noWrap w:val="0"/>
                  <w:vAlign w:val="center"/>
                </w:tcPr>
                <w:p w14:paraId="29E88D26">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6</w:t>
                  </w:r>
                </w:p>
              </w:tc>
              <w:tc>
                <w:tcPr>
                  <w:tcW w:w="1000" w:type="pct"/>
                  <w:shd w:val="clear" w:color="auto" w:fill="auto"/>
                  <w:noWrap w:val="0"/>
                  <w:vAlign w:val="center"/>
                </w:tcPr>
                <w:p w14:paraId="6260CBF2">
                  <w:pPr>
                    <w:adjustRightInd w:val="0"/>
                    <w:snapToGrid w:val="0"/>
                    <w:jc w:val="center"/>
                    <w:rPr>
                      <w:rFonts w:hint="default" w:ascii="Times New Roman" w:hAnsi="Times New Roman" w:cs="Times New Roman"/>
                      <w:szCs w:val="21"/>
                    </w:rPr>
                  </w:pPr>
                </w:p>
              </w:tc>
              <w:tc>
                <w:tcPr>
                  <w:tcW w:w="1076" w:type="pct"/>
                  <w:shd w:val="clear" w:color="auto" w:fill="auto"/>
                  <w:noWrap w:val="0"/>
                  <w:vAlign w:val="center"/>
                </w:tcPr>
                <w:p w14:paraId="435A919A">
                  <w:pPr>
                    <w:adjustRightInd w:val="0"/>
                    <w:snapToGrid w:val="0"/>
                    <w:jc w:val="center"/>
                    <w:rPr>
                      <w:rFonts w:hint="default" w:ascii="Times New Roman" w:hAnsi="Times New Roman" w:cs="Times New Roman"/>
                      <w:szCs w:val="21"/>
                    </w:rPr>
                  </w:pPr>
                </w:p>
              </w:tc>
              <w:tc>
                <w:tcPr>
                  <w:tcW w:w="1260" w:type="pct"/>
                  <w:shd w:val="clear" w:color="auto" w:fill="auto"/>
                  <w:noWrap w:val="0"/>
                  <w:vAlign w:val="center"/>
                </w:tcPr>
                <w:p w14:paraId="558854A7">
                  <w:pPr>
                    <w:adjustRightInd w:val="0"/>
                    <w:snapToGrid w:val="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粉尘废气</w:t>
                  </w:r>
                </w:p>
              </w:tc>
              <w:tc>
                <w:tcPr>
                  <w:tcW w:w="1121" w:type="pct"/>
                  <w:shd w:val="clear" w:color="auto" w:fill="auto"/>
                  <w:noWrap w:val="0"/>
                  <w:vAlign w:val="center"/>
                </w:tcPr>
                <w:p w14:paraId="4F7FDEA7">
                  <w:pPr>
                    <w:adjustRightInd w:val="0"/>
                    <w:snapToGrid w:val="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6.363</w:t>
                  </w:r>
                </w:p>
              </w:tc>
            </w:tr>
            <w:tr w14:paraId="76F7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shd w:val="clear" w:color="auto" w:fill="auto"/>
                  <w:noWrap w:val="0"/>
                  <w:vAlign w:val="center"/>
                </w:tcPr>
                <w:p w14:paraId="3AEFF54C">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7</w:t>
                  </w:r>
                </w:p>
              </w:tc>
              <w:tc>
                <w:tcPr>
                  <w:tcW w:w="1000" w:type="pct"/>
                  <w:shd w:val="clear" w:color="auto" w:fill="auto"/>
                  <w:noWrap w:val="0"/>
                  <w:vAlign w:val="center"/>
                </w:tcPr>
                <w:p w14:paraId="136C0085">
                  <w:pPr>
                    <w:adjustRightInd w:val="0"/>
                    <w:snapToGrid w:val="0"/>
                    <w:jc w:val="center"/>
                    <w:rPr>
                      <w:rFonts w:hint="default" w:ascii="Times New Roman" w:hAnsi="Times New Roman" w:cs="Times New Roman"/>
                      <w:szCs w:val="21"/>
                    </w:rPr>
                  </w:pPr>
                </w:p>
              </w:tc>
              <w:tc>
                <w:tcPr>
                  <w:tcW w:w="1076" w:type="pct"/>
                  <w:shd w:val="clear" w:color="auto" w:fill="auto"/>
                  <w:noWrap w:val="0"/>
                  <w:vAlign w:val="center"/>
                </w:tcPr>
                <w:p w14:paraId="5FAA0D3F">
                  <w:pPr>
                    <w:adjustRightInd w:val="0"/>
                    <w:snapToGrid w:val="0"/>
                    <w:jc w:val="center"/>
                    <w:rPr>
                      <w:rFonts w:hint="default" w:ascii="Times New Roman" w:hAnsi="Times New Roman" w:cs="Times New Roman"/>
                      <w:szCs w:val="21"/>
                    </w:rPr>
                  </w:pPr>
                </w:p>
              </w:tc>
              <w:tc>
                <w:tcPr>
                  <w:tcW w:w="1260" w:type="pct"/>
                  <w:shd w:val="clear" w:color="auto" w:fill="auto"/>
                  <w:noWrap w:val="0"/>
                  <w:vAlign w:val="center"/>
                </w:tcPr>
                <w:p w14:paraId="1C72B95C">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烟气</w:t>
                  </w:r>
                </w:p>
              </w:tc>
              <w:tc>
                <w:tcPr>
                  <w:tcW w:w="1121" w:type="pct"/>
                  <w:shd w:val="clear" w:color="auto" w:fill="auto"/>
                  <w:noWrap w:val="0"/>
                  <w:vAlign w:val="center"/>
                </w:tcPr>
                <w:p w14:paraId="0A6F3010">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95493.637</w:t>
                  </w:r>
                </w:p>
              </w:tc>
            </w:tr>
            <w:tr w14:paraId="5DA4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shd w:val="clear" w:color="auto" w:fill="auto"/>
                  <w:noWrap w:val="0"/>
                  <w:vAlign w:val="center"/>
                </w:tcPr>
                <w:p w14:paraId="31B72AAE">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8</w:t>
                  </w:r>
                </w:p>
              </w:tc>
              <w:tc>
                <w:tcPr>
                  <w:tcW w:w="1000" w:type="pct"/>
                  <w:shd w:val="clear" w:color="auto" w:fill="auto"/>
                  <w:noWrap w:val="0"/>
                  <w:vAlign w:val="center"/>
                </w:tcPr>
                <w:p w14:paraId="768D1334">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小计</w:t>
                  </w:r>
                </w:p>
              </w:tc>
              <w:tc>
                <w:tcPr>
                  <w:tcW w:w="1076" w:type="pct"/>
                  <w:shd w:val="clear" w:color="auto" w:fill="auto"/>
                  <w:noWrap w:val="0"/>
                  <w:vAlign w:val="center"/>
                </w:tcPr>
                <w:p w14:paraId="45193F7E">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436065</w:t>
                  </w:r>
                </w:p>
              </w:tc>
              <w:tc>
                <w:tcPr>
                  <w:tcW w:w="1260" w:type="pct"/>
                  <w:shd w:val="clear" w:color="auto" w:fill="auto"/>
                  <w:noWrap w:val="0"/>
                  <w:vAlign w:val="center"/>
                </w:tcPr>
                <w:p w14:paraId="1CEC41B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小计</w:t>
                  </w:r>
                </w:p>
              </w:tc>
              <w:tc>
                <w:tcPr>
                  <w:tcW w:w="1121" w:type="pct"/>
                  <w:shd w:val="clear" w:color="auto" w:fill="auto"/>
                  <w:noWrap w:val="0"/>
                  <w:vAlign w:val="center"/>
                </w:tcPr>
                <w:p w14:paraId="34A887FD">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436065</w:t>
                  </w:r>
                </w:p>
              </w:tc>
            </w:tr>
          </w:tbl>
          <w:p w14:paraId="722389FA">
            <w:pPr>
              <w:spacing w:line="500" w:lineRule="atLeast"/>
              <w:ind w:firstLine="482" w:firstLineChars="200"/>
              <w:rPr>
                <w:rFonts w:hint="eastAsia"/>
                <w:b/>
                <w:sz w:val="24"/>
                <w:lang w:val="en-US" w:eastAsia="zh-CN"/>
              </w:rPr>
            </w:pPr>
            <w:r>
              <w:rPr>
                <w:rFonts w:hint="eastAsia"/>
                <w:b/>
                <w:sz w:val="24"/>
                <w:lang w:val="en-US" w:eastAsia="zh-CN"/>
              </w:rPr>
              <w:t>9、锌元素平衡</w:t>
            </w:r>
          </w:p>
          <w:p w14:paraId="23E77F9F">
            <w:pPr>
              <w:spacing w:line="500" w:lineRule="atLeast"/>
              <w:ind w:firstLine="480" w:firstLineChars="200"/>
              <w:rPr>
                <w:rFonts w:hint="default"/>
                <w:b/>
                <w:sz w:val="24"/>
                <w:lang w:val="en-US" w:eastAsia="zh-CN"/>
              </w:rPr>
            </w:pPr>
            <w:r>
              <w:rPr>
                <w:rFonts w:hint="eastAsia"/>
                <w:sz w:val="24"/>
                <w:lang w:val="en-US" w:eastAsia="zh-CN"/>
              </w:rPr>
              <w:t>锌元素平衡详见表2-9。</w:t>
            </w:r>
          </w:p>
          <w:p w14:paraId="11C5D9C7">
            <w:pPr>
              <w:pStyle w:val="48"/>
              <w:numPr>
                <w:ilvl w:val="2"/>
                <w:numId w:val="2"/>
              </w:numPr>
              <w:spacing w:line="500" w:lineRule="atLeast"/>
              <w:ind w:firstLineChars="0"/>
              <w:jc w:val="center"/>
              <w:rPr>
                <w:rFonts w:hint="default"/>
                <w:sz w:val="24"/>
                <w:lang w:val="en-US" w:eastAsia="zh-CN"/>
              </w:rPr>
            </w:pPr>
            <w:r>
              <w:rPr>
                <w:rFonts w:hint="eastAsia"/>
                <w:b/>
                <w:sz w:val="24"/>
                <w:lang w:val="en-US" w:eastAsia="zh-CN"/>
              </w:rPr>
              <w:t>锌元素平衡表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005"/>
              <w:gridCol w:w="1423"/>
              <w:gridCol w:w="2273"/>
              <w:gridCol w:w="1680"/>
            </w:tblGrid>
            <w:tr w14:paraId="4DE9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0" w:type="pct"/>
                  <w:vMerge w:val="restart"/>
                  <w:shd w:val="clear" w:color="auto" w:fill="auto"/>
                  <w:noWrap w:val="0"/>
                  <w:vAlign w:val="center"/>
                </w:tcPr>
                <w:p w14:paraId="16869066">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序号</w:t>
                  </w:r>
                </w:p>
              </w:tc>
              <w:tc>
                <w:tcPr>
                  <w:tcW w:w="2122" w:type="pct"/>
                  <w:gridSpan w:val="2"/>
                  <w:shd w:val="clear" w:color="auto" w:fill="auto"/>
                  <w:noWrap w:val="0"/>
                  <w:vAlign w:val="center"/>
                </w:tcPr>
                <w:p w14:paraId="67D27FA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投入</w:t>
                  </w:r>
                </w:p>
              </w:tc>
              <w:tc>
                <w:tcPr>
                  <w:tcW w:w="2447" w:type="pct"/>
                  <w:gridSpan w:val="2"/>
                  <w:shd w:val="clear" w:color="auto" w:fill="auto"/>
                  <w:noWrap w:val="0"/>
                  <w:vAlign w:val="center"/>
                </w:tcPr>
                <w:p w14:paraId="70FC7F1B">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产出</w:t>
                  </w:r>
                </w:p>
              </w:tc>
            </w:tr>
            <w:tr w14:paraId="5E70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0" w:type="pct"/>
                  <w:vMerge w:val="continue"/>
                  <w:shd w:val="clear" w:color="auto" w:fill="auto"/>
                  <w:noWrap w:val="0"/>
                  <w:vAlign w:val="center"/>
                </w:tcPr>
                <w:p w14:paraId="201EDBCA">
                  <w:pPr>
                    <w:adjustRightInd w:val="0"/>
                    <w:snapToGrid w:val="0"/>
                    <w:jc w:val="center"/>
                    <w:rPr>
                      <w:rFonts w:hint="default" w:ascii="Times New Roman" w:hAnsi="Times New Roman" w:cs="Times New Roman"/>
                      <w:szCs w:val="21"/>
                    </w:rPr>
                  </w:pPr>
                </w:p>
              </w:tc>
              <w:tc>
                <w:tcPr>
                  <w:tcW w:w="1241" w:type="pct"/>
                  <w:shd w:val="clear" w:color="auto" w:fill="auto"/>
                  <w:noWrap w:val="0"/>
                  <w:vAlign w:val="center"/>
                </w:tcPr>
                <w:p w14:paraId="061E51F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名称</w:t>
                  </w:r>
                </w:p>
              </w:tc>
              <w:tc>
                <w:tcPr>
                  <w:tcW w:w="881" w:type="pct"/>
                  <w:shd w:val="clear" w:color="auto" w:fill="auto"/>
                  <w:noWrap w:val="0"/>
                  <w:vAlign w:val="center"/>
                </w:tcPr>
                <w:p w14:paraId="6AEB997E">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数量</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t/a</w:t>
                  </w:r>
                  <w:r>
                    <w:rPr>
                      <w:rFonts w:hint="default" w:ascii="Times New Roman" w:hAnsi="Times New Roman" w:cs="Times New Roman"/>
                      <w:szCs w:val="21"/>
                      <w:lang w:eastAsia="zh-CN"/>
                    </w:rPr>
                    <w:t>）</w:t>
                  </w:r>
                </w:p>
              </w:tc>
              <w:tc>
                <w:tcPr>
                  <w:tcW w:w="1407" w:type="pct"/>
                  <w:shd w:val="clear" w:color="auto" w:fill="auto"/>
                  <w:noWrap w:val="0"/>
                  <w:vAlign w:val="center"/>
                </w:tcPr>
                <w:p w14:paraId="0A895505">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名称</w:t>
                  </w:r>
                </w:p>
              </w:tc>
              <w:tc>
                <w:tcPr>
                  <w:tcW w:w="1039" w:type="pct"/>
                  <w:shd w:val="clear" w:color="auto" w:fill="auto"/>
                  <w:noWrap w:val="0"/>
                  <w:vAlign w:val="center"/>
                </w:tcPr>
                <w:p w14:paraId="08420CB4">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数量</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t/a</w:t>
                  </w:r>
                  <w:r>
                    <w:rPr>
                      <w:rFonts w:hint="default" w:ascii="Times New Roman" w:hAnsi="Times New Roman" w:cs="Times New Roman"/>
                      <w:szCs w:val="21"/>
                      <w:lang w:eastAsia="zh-CN"/>
                    </w:rPr>
                    <w:t>）</w:t>
                  </w:r>
                </w:p>
              </w:tc>
            </w:tr>
            <w:tr w14:paraId="7FF7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0" w:type="pct"/>
                  <w:shd w:val="clear" w:color="auto" w:fill="auto"/>
                  <w:noWrap w:val="0"/>
                  <w:vAlign w:val="center"/>
                </w:tcPr>
                <w:p w14:paraId="1A347021">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241" w:type="pct"/>
                  <w:shd w:val="clear" w:color="auto" w:fill="auto"/>
                  <w:noWrap w:val="0"/>
                  <w:vAlign w:val="center"/>
                </w:tcPr>
                <w:p w14:paraId="7E723148">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高炉</w:t>
                  </w:r>
                  <w:r>
                    <w:rPr>
                      <w:rFonts w:hint="default" w:ascii="Times New Roman" w:hAnsi="Times New Roman" w:cs="Times New Roman"/>
                      <w:szCs w:val="21"/>
                      <w:lang w:val="en-US" w:eastAsia="zh-CN"/>
                    </w:rPr>
                    <w:t>重力</w:t>
                  </w:r>
                  <w:r>
                    <w:rPr>
                      <w:rFonts w:hint="default" w:ascii="Times New Roman" w:hAnsi="Times New Roman" w:cs="Times New Roman"/>
                      <w:szCs w:val="21"/>
                    </w:rPr>
                    <w:t>灰</w:t>
                  </w:r>
                  <w:r>
                    <w:rPr>
                      <w:rFonts w:hint="default" w:ascii="Times New Roman" w:hAnsi="Times New Roman" w:cs="Times New Roman"/>
                      <w:szCs w:val="21"/>
                      <w:lang w:val="en-US" w:eastAsia="zh-CN"/>
                    </w:rPr>
                    <w:t>含锌</w:t>
                  </w:r>
                  <w:r>
                    <w:rPr>
                      <w:rFonts w:hint="eastAsia" w:ascii="Times New Roman" w:hAnsi="Times New Roman" w:cs="Times New Roman"/>
                      <w:szCs w:val="21"/>
                      <w:lang w:val="en-US" w:eastAsia="zh-CN"/>
                    </w:rPr>
                    <w:t>（含锌</w:t>
                  </w:r>
                  <w:r>
                    <w:rPr>
                      <w:rFonts w:hint="eastAsia" w:cs="Times New Roman"/>
                      <w:szCs w:val="21"/>
                      <w:lang w:val="en-US" w:eastAsia="zh-CN"/>
                    </w:rPr>
                    <w:t>率</w:t>
                  </w:r>
                  <w:r>
                    <w:rPr>
                      <w:rFonts w:hint="eastAsia" w:ascii="Times New Roman" w:hAnsi="Times New Roman" w:cs="Times New Roman"/>
                      <w:szCs w:val="21"/>
                      <w:lang w:val="en-US" w:eastAsia="zh-CN"/>
                    </w:rPr>
                    <w:t>1.07%）</w:t>
                  </w:r>
                </w:p>
              </w:tc>
              <w:tc>
                <w:tcPr>
                  <w:tcW w:w="881" w:type="pct"/>
                  <w:shd w:val="clear" w:color="auto" w:fill="auto"/>
                  <w:noWrap w:val="0"/>
                  <w:vAlign w:val="center"/>
                </w:tcPr>
                <w:p w14:paraId="5DE6FEDC">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684.8</w:t>
                  </w:r>
                </w:p>
              </w:tc>
              <w:tc>
                <w:tcPr>
                  <w:tcW w:w="1407" w:type="pct"/>
                  <w:shd w:val="clear" w:color="auto" w:fill="auto"/>
                  <w:noWrap w:val="0"/>
                  <w:vAlign w:val="center"/>
                </w:tcPr>
                <w:p w14:paraId="2BC09ED8">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窑渣含锌（</w:t>
                  </w:r>
                  <w:r>
                    <w:rPr>
                      <w:rFonts w:hint="eastAsia" w:cs="Times New Roman"/>
                      <w:szCs w:val="21"/>
                      <w:lang w:val="en-US" w:eastAsia="zh-CN"/>
                    </w:rPr>
                    <w:t>含锌率约0.47%</w:t>
                  </w:r>
                  <w:r>
                    <w:rPr>
                      <w:rFonts w:hint="default" w:ascii="Times New Roman" w:hAnsi="Times New Roman" w:cs="Times New Roman"/>
                      <w:szCs w:val="21"/>
                      <w:lang w:val="en-US" w:eastAsia="zh-CN"/>
                    </w:rPr>
                    <w:t>）</w:t>
                  </w:r>
                </w:p>
              </w:tc>
              <w:tc>
                <w:tcPr>
                  <w:tcW w:w="1039" w:type="pct"/>
                  <w:shd w:val="clear" w:color="auto" w:fill="auto"/>
                  <w:noWrap w:val="0"/>
                  <w:vAlign w:val="center"/>
                </w:tcPr>
                <w:p w14:paraId="15A3A9F7">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455.914</w:t>
                  </w:r>
                </w:p>
              </w:tc>
            </w:tr>
            <w:tr w14:paraId="0CC4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0" w:type="pct"/>
                  <w:shd w:val="clear" w:color="auto" w:fill="auto"/>
                  <w:noWrap w:val="0"/>
                  <w:vAlign w:val="center"/>
                </w:tcPr>
                <w:p w14:paraId="2C98E30D">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241" w:type="pct"/>
                  <w:shd w:val="clear" w:color="auto" w:fill="auto"/>
                  <w:noWrap w:val="0"/>
                  <w:vAlign w:val="center"/>
                </w:tcPr>
                <w:p w14:paraId="60C868BD">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转炉除尘灰含锌</w:t>
                  </w:r>
                  <w:r>
                    <w:rPr>
                      <w:rFonts w:hint="eastAsia" w:ascii="Times New Roman" w:hAnsi="Times New Roman" w:cs="Times New Roman"/>
                      <w:szCs w:val="21"/>
                      <w:lang w:val="en-US" w:eastAsia="zh-CN"/>
                    </w:rPr>
                    <w:t>（含锌</w:t>
                  </w:r>
                  <w:r>
                    <w:rPr>
                      <w:rFonts w:hint="eastAsia" w:cs="Times New Roman"/>
                      <w:szCs w:val="21"/>
                      <w:lang w:val="en-US" w:eastAsia="zh-CN"/>
                    </w:rPr>
                    <w:t>率2.79</w:t>
                  </w:r>
                  <w:r>
                    <w:rPr>
                      <w:rFonts w:hint="eastAsia" w:ascii="Times New Roman" w:hAnsi="Times New Roman" w:cs="Times New Roman"/>
                      <w:szCs w:val="21"/>
                      <w:lang w:val="en-US" w:eastAsia="zh-CN"/>
                    </w:rPr>
                    <w:t>%）</w:t>
                  </w:r>
                </w:p>
              </w:tc>
              <w:tc>
                <w:tcPr>
                  <w:tcW w:w="881" w:type="pct"/>
                  <w:shd w:val="clear" w:color="auto" w:fill="auto"/>
                  <w:noWrap w:val="0"/>
                  <w:vAlign w:val="center"/>
                </w:tcPr>
                <w:p w14:paraId="32BDA999">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3571.2</w:t>
                  </w:r>
                </w:p>
              </w:tc>
              <w:tc>
                <w:tcPr>
                  <w:tcW w:w="1407" w:type="pct"/>
                  <w:shd w:val="clear" w:color="auto" w:fill="auto"/>
                  <w:noWrap w:val="0"/>
                  <w:vAlign w:val="center"/>
                </w:tcPr>
                <w:p w14:paraId="04EBB301">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次氧化锌粉</w:t>
                  </w:r>
                  <w:r>
                    <w:rPr>
                      <w:rFonts w:hint="default" w:ascii="Times New Roman" w:hAnsi="Times New Roman" w:cs="Times New Roman"/>
                      <w:szCs w:val="21"/>
                      <w:lang w:val="en-US" w:eastAsia="zh-CN"/>
                    </w:rPr>
                    <w:t>含锌</w:t>
                  </w:r>
                  <w:r>
                    <w:rPr>
                      <w:rFonts w:hint="eastAsia" w:ascii="Times New Roman" w:hAnsi="Times New Roman" w:cs="Times New Roman"/>
                      <w:szCs w:val="21"/>
                      <w:lang w:val="en-US" w:eastAsia="zh-CN"/>
                    </w:rPr>
                    <w:t>（品位约</w:t>
                  </w:r>
                  <w:r>
                    <w:rPr>
                      <w:rFonts w:hint="eastAsia" w:cs="Times New Roman"/>
                      <w:szCs w:val="21"/>
                      <w:lang w:val="en-US" w:eastAsia="zh-CN"/>
                    </w:rPr>
                    <w:t>50</w:t>
                  </w:r>
                  <w:r>
                    <w:rPr>
                      <w:rFonts w:hint="eastAsia" w:ascii="Times New Roman" w:hAnsi="Times New Roman" w:cs="Times New Roman"/>
                      <w:szCs w:val="21"/>
                      <w:lang w:val="en-US" w:eastAsia="zh-CN"/>
                    </w:rPr>
                    <w:t>%）</w:t>
                  </w:r>
                </w:p>
              </w:tc>
              <w:tc>
                <w:tcPr>
                  <w:tcW w:w="1039" w:type="pct"/>
                  <w:shd w:val="clear" w:color="auto" w:fill="auto"/>
                  <w:noWrap w:val="0"/>
                  <w:vAlign w:val="center"/>
                </w:tcPr>
                <w:p w14:paraId="31151444">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3800</w:t>
                  </w:r>
                </w:p>
              </w:tc>
            </w:tr>
            <w:tr w14:paraId="125E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0" w:type="pct"/>
                  <w:shd w:val="clear" w:color="auto" w:fill="auto"/>
                  <w:noWrap w:val="0"/>
                  <w:vAlign w:val="center"/>
                </w:tcPr>
                <w:p w14:paraId="282D6413">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w:t>
                  </w:r>
                </w:p>
              </w:tc>
              <w:tc>
                <w:tcPr>
                  <w:tcW w:w="1241" w:type="pct"/>
                  <w:shd w:val="clear" w:color="auto" w:fill="auto"/>
                  <w:noWrap w:val="0"/>
                  <w:vAlign w:val="center"/>
                </w:tcPr>
                <w:p w14:paraId="17067256">
                  <w:pPr>
                    <w:adjustRightInd w:val="0"/>
                    <w:snapToGrid w:val="0"/>
                    <w:jc w:val="center"/>
                    <w:rPr>
                      <w:rFonts w:hint="default" w:ascii="Times New Roman" w:hAnsi="Times New Roman" w:cs="Times New Roman"/>
                      <w:szCs w:val="21"/>
                      <w:lang w:val="en-US" w:eastAsia="zh-CN"/>
                    </w:rPr>
                  </w:pPr>
                </w:p>
              </w:tc>
              <w:tc>
                <w:tcPr>
                  <w:tcW w:w="881" w:type="pct"/>
                  <w:shd w:val="clear" w:color="auto" w:fill="auto"/>
                  <w:noWrap w:val="0"/>
                  <w:vAlign w:val="center"/>
                </w:tcPr>
                <w:p w14:paraId="5221324B">
                  <w:pPr>
                    <w:adjustRightInd w:val="0"/>
                    <w:snapToGrid w:val="0"/>
                    <w:jc w:val="center"/>
                    <w:rPr>
                      <w:rFonts w:hint="default" w:ascii="Times New Roman" w:hAnsi="Times New Roman" w:cs="Times New Roman"/>
                      <w:szCs w:val="21"/>
                      <w:lang w:val="en-US" w:eastAsia="zh-CN"/>
                    </w:rPr>
                  </w:pPr>
                </w:p>
              </w:tc>
              <w:tc>
                <w:tcPr>
                  <w:tcW w:w="1407" w:type="pct"/>
                  <w:shd w:val="clear" w:color="auto" w:fill="auto"/>
                  <w:noWrap w:val="0"/>
                  <w:vAlign w:val="center"/>
                </w:tcPr>
                <w:p w14:paraId="5F268A33">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进入配料工序废气</w:t>
                  </w:r>
                </w:p>
              </w:tc>
              <w:tc>
                <w:tcPr>
                  <w:tcW w:w="1039" w:type="pct"/>
                  <w:shd w:val="clear" w:color="auto" w:fill="auto"/>
                  <w:noWrap w:val="0"/>
                  <w:vAlign w:val="center"/>
                </w:tcPr>
                <w:p w14:paraId="5AA96E42">
                  <w:pPr>
                    <w:adjustRightInd w:val="0"/>
                    <w:snapToGrid w:val="0"/>
                    <w:jc w:val="center"/>
                    <w:rPr>
                      <w:rFonts w:hint="default" w:ascii="Times New Roman" w:hAnsi="Times New Roman" w:cs="Times New Roman"/>
                      <w:szCs w:val="21"/>
                      <w:lang w:val="en-US" w:eastAsia="zh-CN"/>
                    </w:rPr>
                  </w:pPr>
                  <w:r>
                    <w:rPr>
                      <w:rFonts w:hint="eastAsia" w:cs="Times New Roman"/>
                      <w:szCs w:val="21"/>
                      <w:lang w:val="en-US" w:eastAsia="zh-CN"/>
                    </w:rPr>
                    <w:t>0.023</w:t>
                  </w:r>
                </w:p>
              </w:tc>
            </w:tr>
            <w:tr w14:paraId="09DA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0" w:type="pct"/>
                  <w:shd w:val="clear" w:color="auto" w:fill="auto"/>
                  <w:noWrap w:val="0"/>
                  <w:vAlign w:val="center"/>
                </w:tcPr>
                <w:p w14:paraId="4DD3B168">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4</w:t>
                  </w:r>
                </w:p>
              </w:tc>
              <w:tc>
                <w:tcPr>
                  <w:tcW w:w="1241" w:type="pct"/>
                  <w:shd w:val="clear" w:color="auto" w:fill="auto"/>
                  <w:noWrap w:val="0"/>
                  <w:vAlign w:val="center"/>
                </w:tcPr>
                <w:p w14:paraId="747214E0">
                  <w:pPr>
                    <w:adjustRightInd w:val="0"/>
                    <w:snapToGrid w:val="0"/>
                    <w:jc w:val="center"/>
                    <w:rPr>
                      <w:rFonts w:hint="default" w:ascii="Times New Roman" w:hAnsi="Times New Roman" w:cs="Times New Roman"/>
                      <w:szCs w:val="21"/>
                    </w:rPr>
                  </w:pPr>
                </w:p>
              </w:tc>
              <w:tc>
                <w:tcPr>
                  <w:tcW w:w="881" w:type="pct"/>
                  <w:shd w:val="clear" w:color="auto" w:fill="auto"/>
                  <w:noWrap w:val="0"/>
                  <w:vAlign w:val="center"/>
                </w:tcPr>
                <w:p w14:paraId="416884F5">
                  <w:pPr>
                    <w:adjustRightInd w:val="0"/>
                    <w:snapToGrid w:val="0"/>
                    <w:jc w:val="center"/>
                    <w:rPr>
                      <w:rFonts w:hint="default" w:ascii="Times New Roman" w:hAnsi="Times New Roman" w:cs="Times New Roman"/>
                      <w:szCs w:val="21"/>
                    </w:rPr>
                  </w:pPr>
                </w:p>
              </w:tc>
              <w:tc>
                <w:tcPr>
                  <w:tcW w:w="1407" w:type="pct"/>
                  <w:shd w:val="clear" w:color="auto" w:fill="auto"/>
                  <w:noWrap w:val="0"/>
                  <w:vAlign w:val="center"/>
                </w:tcPr>
                <w:p w14:paraId="7FD28132">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进入回转窑烟气</w:t>
                  </w:r>
                </w:p>
              </w:tc>
              <w:tc>
                <w:tcPr>
                  <w:tcW w:w="1039" w:type="pct"/>
                  <w:shd w:val="clear" w:color="auto" w:fill="auto"/>
                  <w:noWrap w:val="0"/>
                  <w:vAlign w:val="center"/>
                </w:tcPr>
                <w:p w14:paraId="67622DC3">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0.063</w:t>
                  </w:r>
                </w:p>
              </w:tc>
            </w:tr>
            <w:tr w14:paraId="15AD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0" w:type="pct"/>
                  <w:shd w:val="clear" w:color="auto" w:fill="auto"/>
                  <w:noWrap w:val="0"/>
                  <w:vAlign w:val="center"/>
                </w:tcPr>
                <w:p w14:paraId="6B41210E">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5</w:t>
                  </w:r>
                </w:p>
              </w:tc>
              <w:tc>
                <w:tcPr>
                  <w:tcW w:w="1241" w:type="pct"/>
                  <w:shd w:val="clear" w:color="auto" w:fill="auto"/>
                  <w:noWrap w:val="0"/>
                  <w:vAlign w:val="center"/>
                </w:tcPr>
                <w:p w14:paraId="46E98882">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小计</w:t>
                  </w:r>
                </w:p>
              </w:tc>
              <w:tc>
                <w:tcPr>
                  <w:tcW w:w="881" w:type="pct"/>
                  <w:shd w:val="clear" w:color="auto" w:fill="auto"/>
                  <w:noWrap w:val="0"/>
                  <w:vAlign w:val="center"/>
                </w:tcPr>
                <w:p w14:paraId="2710EBD3">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4256</w:t>
                  </w:r>
                </w:p>
              </w:tc>
              <w:tc>
                <w:tcPr>
                  <w:tcW w:w="1407" w:type="pct"/>
                  <w:shd w:val="clear" w:color="auto" w:fill="auto"/>
                  <w:noWrap w:val="0"/>
                  <w:vAlign w:val="center"/>
                </w:tcPr>
                <w:p w14:paraId="0EF586AC">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小计</w:t>
                  </w:r>
                </w:p>
              </w:tc>
              <w:tc>
                <w:tcPr>
                  <w:tcW w:w="1039" w:type="pct"/>
                  <w:shd w:val="clear" w:color="auto" w:fill="auto"/>
                  <w:noWrap w:val="0"/>
                  <w:vAlign w:val="center"/>
                </w:tcPr>
                <w:p w14:paraId="06354F58">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4256</w:t>
                  </w:r>
                </w:p>
              </w:tc>
            </w:tr>
          </w:tbl>
          <w:p w14:paraId="16BB49AC">
            <w:pPr>
              <w:spacing w:line="500" w:lineRule="atLeast"/>
              <w:ind w:firstLine="482" w:firstLineChars="200"/>
              <w:rPr>
                <w:b/>
                <w:sz w:val="24"/>
              </w:rPr>
            </w:pPr>
            <w:r>
              <w:rPr>
                <w:rFonts w:hint="eastAsia"/>
                <w:b/>
                <w:sz w:val="24"/>
                <w:lang w:val="en-US" w:eastAsia="zh-CN"/>
              </w:rPr>
              <w:t>10、公用工程</w:t>
            </w:r>
          </w:p>
          <w:p w14:paraId="42EEEB3D">
            <w:pPr>
              <w:spacing w:line="500" w:lineRule="atLeast"/>
              <w:ind w:firstLine="480" w:firstLineChars="200"/>
              <w:rPr>
                <w:sz w:val="24"/>
              </w:rPr>
            </w:pPr>
            <w:r>
              <w:rPr>
                <w:rFonts w:hint="eastAsia"/>
                <w:sz w:val="24"/>
              </w:rPr>
              <w:t>（1）给水</w:t>
            </w:r>
          </w:p>
          <w:p w14:paraId="46D8FA89">
            <w:pPr>
              <w:spacing w:line="500" w:lineRule="atLeast"/>
              <w:ind w:firstLine="480" w:firstLineChars="200"/>
              <w:rPr>
                <w:sz w:val="24"/>
              </w:rPr>
            </w:pPr>
            <w:r>
              <w:rPr>
                <w:rFonts w:hint="eastAsia"/>
                <w:sz w:val="24"/>
              </w:rPr>
              <w:t>项目依托盛隆冶金有限公司厂区现有生产给水管网、生活给水管网供给。</w:t>
            </w:r>
          </w:p>
          <w:p w14:paraId="79104C89">
            <w:pPr>
              <w:spacing w:line="500" w:lineRule="atLeast"/>
              <w:ind w:firstLine="480" w:firstLineChars="200"/>
              <w:rPr>
                <w:sz w:val="24"/>
              </w:rPr>
            </w:pPr>
            <w:r>
              <w:rPr>
                <w:rFonts w:hint="eastAsia" w:ascii="宋体" w:hAnsi="宋体"/>
                <w:sz w:val="24"/>
              </w:rPr>
              <w:t>①</w:t>
            </w:r>
            <w:r>
              <w:rPr>
                <w:rFonts w:hint="eastAsia"/>
                <w:sz w:val="24"/>
              </w:rPr>
              <w:t>生活用、排水</w:t>
            </w:r>
          </w:p>
          <w:p w14:paraId="4C0BBB39">
            <w:pPr>
              <w:spacing w:line="500" w:lineRule="atLeast"/>
              <w:ind w:firstLine="480" w:firstLineChars="200"/>
              <w:rPr>
                <w:sz w:val="24"/>
              </w:rPr>
            </w:pPr>
            <w:r>
              <w:rPr>
                <w:rFonts w:hint="eastAsia"/>
                <w:sz w:val="24"/>
              </w:rPr>
              <w:t>本项目不新增职工，从公司现有职工中调配，无新增职工生活用水。</w:t>
            </w:r>
          </w:p>
          <w:p w14:paraId="51BBFFCF">
            <w:pPr>
              <w:spacing w:line="500" w:lineRule="atLeast"/>
              <w:ind w:firstLine="480" w:firstLineChars="200"/>
              <w:rPr>
                <w:sz w:val="24"/>
              </w:rPr>
            </w:pPr>
            <w:r>
              <w:rPr>
                <w:rFonts w:hint="eastAsia" w:ascii="宋体" w:hAnsi="宋体"/>
                <w:sz w:val="24"/>
              </w:rPr>
              <w:t>②冷却用、排水</w:t>
            </w:r>
          </w:p>
          <w:p w14:paraId="6A43AD0A">
            <w:pPr>
              <w:spacing w:line="500" w:lineRule="atLeast"/>
              <w:ind w:firstLine="480" w:firstLineChars="200"/>
              <w:rPr>
                <w:rFonts w:hint="eastAsia"/>
                <w:sz w:val="24"/>
              </w:rPr>
            </w:pPr>
            <w:r>
              <w:rPr>
                <w:rFonts w:hint="eastAsia"/>
                <w:sz w:val="24"/>
              </w:rPr>
              <w:t>项目生产过程中除尘风机、引风机、回转窑助燃风机、给水泵、取样冷却器、液压站等冷却采用循环冷却水</w:t>
            </w:r>
            <w:r>
              <w:rPr>
                <w:rFonts w:hint="eastAsia"/>
                <w:sz w:val="24"/>
                <w:lang w:eastAsia="zh-CN"/>
              </w:rPr>
              <w:t>，</w:t>
            </w:r>
            <w:r>
              <w:rPr>
                <w:rFonts w:hint="default" w:ascii="Times New Roman" w:hAnsi="Times New Roman" w:eastAsia="宋体" w:cs="Times New Roman"/>
                <w:color w:val="auto"/>
                <w:sz w:val="24"/>
                <w:lang w:val="en-US" w:eastAsia="zh-CN"/>
              </w:rPr>
              <w:t>由现有循环水系统供给</w:t>
            </w:r>
            <w:r>
              <w:rPr>
                <w:rFonts w:hint="eastAsia" w:cs="Times New Roman"/>
                <w:color w:val="auto"/>
                <w:sz w:val="24"/>
                <w:lang w:val="en-US" w:eastAsia="zh-CN"/>
              </w:rPr>
              <w:t>。</w:t>
            </w:r>
            <w:r>
              <w:rPr>
                <w:rFonts w:hint="eastAsia"/>
                <w:sz w:val="24"/>
              </w:rPr>
              <w:t>冷却水为间接冷却，主要为间接冷却降温，不直接接触物料，不会产生二次污染。</w:t>
            </w:r>
            <w:r>
              <w:rPr>
                <w:rFonts w:hint="eastAsia"/>
                <w:sz w:val="24"/>
                <w:lang w:val="en-US" w:eastAsia="zh-CN"/>
              </w:rPr>
              <w:t>根据建设单位提供资料，冷却循环水量为50t/h（1200t/d），</w:t>
            </w:r>
            <w:r>
              <w:rPr>
                <w:rFonts w:hint="eastAsia"/>
                <w:sz w:val="24"/>
              </w:rPr>
              <w:t>蒸发损耗按5%计，则损耗量为</w:t>
            </w:r>
            <w:r>
              <w:rPr>
                <w:rFonts w:hint="eastAsia"/>
                <w:sz w:val="24"/>
                <w:lang w:val="en-US" w:eastAsia="zh-CN"/>
              </w:rPr>
              <w:t>2.5</w:t>
            </w:r>
            <w:r>
              <w:rPr>
                <w:rFonts w:hint="eastAsia"/>
                <w:sz w:val="24"/>
              </w:rPr>
              <w:t>t/h</w:t>
            </w:r>
            <w:r>
              <w:rPr>
                <w:rFonts w:hint="eastAsia"/>
                <w:sz w:val="24"/>
                <w:lang w:eastAsia="zh-CN"/>
              </w:rPr>
              <w:t>（</w:t>
            </w:r>
            <w:r>
              <w:rPr>
                <w:rFonts w:hint="eastAsia"/>
                <w:sz w:val="24"/>
                <w:lang w:val="en-US" w:eastAsia="zh-CN"/>
              </w:rPr>
              <w:t>60t/d</w:t>
            </w:r>
            <w:r>
              <w:rPr>
                <w:rFonts w:hint="eastAsia"/>
                <w:sz w:val="24"/>
                <w:lang w:eastAsia="zh-CN"/>
              </w:rPr>
              <w:t>）</w:t>
            </w:r>
            <w:r>
              <w:rPr>
                <w:rFonts w:hint="eastAsia"/>
                <w:sz w:val="24"/>
              </w:rPr>
              <w:t>，</w:t>
            </w:r>
            <w:r>
              <w:rPr>
                <w:rFonts w:hint="default" w:ascii="Times New Roman" w:hAnsi="Times New Roman" w:eastAsia="宋体" w:cs="Times New Roman"/>
                <w:color w:val="auto"/>
                <w:sz w:val="24"/>
                <w:lang w:val="en-US" w:eastAsia="zh-CN"/>
              </w:rPr>
              <w:t>循环排污水占循环冷却水量的</w:t>
            </w:r>
            <w:r>
              <w:rPr>
                <w:rFonts w:hint="eastAsia" w:cs="Times New Roman"/>
                <w:color w:val="auto"/>
                <w:sz w:val="24"/>
                <w:lang w:val="en-US" w:eastAsia="zh-CN"/>
              </w:rPr>
              <w:t>1</w:t>
            </w:r>
            <w:r>
              <w:rPr>
                <w:rFonts w:hint="default" w:ascii="Times New Roman" w:hAnsi="Times New Roman" w:eastAsia="宋体" w:cs="Times New Roman"/>
                <w:color w:val="auto"/>
                <w:sz w:val="24"/>
                <w:lang w:val="en-US" w:eastAsia="zh-CN"/>
              </w:rPr>
              <w:t>%，循环排污水量为</w:t>
            </w:r>
            <w:r>
              <w:rPr>
                <w:rFonts w:hint="eastAsia" w:cs="Times New Roman"/>
                <w:color w:val="auto"/>
                <w:sz w:val="24"/>
                <w:lang w:val="en-US" w:eastAsia="zh-CN"/>
              </w:rPr>
              <w:t>12t</w:t>
            </w:r>
            <w:r>
              <w:rPr>
                <w:rFonts w:hint="default" w:ascii="Times New Roman" w:hAnsi="Times New Roman" w:eastAsia="宋体" w:cs="Times New Roman"/>
                <w:color w:val="auto"/>
                <w:sz w:val="24"/>
                <w:lang w:val="en-US" w:eastAsia="zh-CN"/>
              </w:rPr>
              <w:t>/d，则需要补充的水量为</w:t>
            </w:r>
            <w:r>
              <w:rPr>
                <w:rFonts w:hint="eastAsia" w:cs="Times New Roman"/>
                <w:color w:val="auto"/>
                <w:sz w:val="24"/>
                <w:lang w:val="en-US" w:eastAsia="zh-CN"/>
              </w:rPr>
              <w:t>72t</w:t>
            </w:r>
            <w:r>
              <w:rPr>
                <w:rFonts w:hint="default" w:ascii="Times New Roman" w:hAnsi="Times New Roman" w:eastAsia="宋体" w:cs="Times New Roman"/>
                <w:color w:val="auto"/>
                <w:sz w:val="24"/>
                <w:lang w:val="en-US" w:eastAsia="zh-CN"/>
              </w:rPr>
              <w:t>/d</w:t>
            </w:r>
            <w:r>
              <w:rPr>
                <w:rFonts w:hint="eastAsia" w:cs="Times New Roman"/>
                <w:color w:val="auto"/>
                <w:sz w:val="24"/>
                <w:lang w:val="en-US" w:eastAsia="zh-CN"/>
              </w:rPr>
              <w:t>，</w:t>
            </w:r>
            <w:r>
              <w:rPr>
                <w:rFonts w:hint="eastAsia"/>
                <w:sz w:val="24"/>
              </w:rPr>
              <w:t>年运行时间</w:t>
            </w:r>
            <w:r>
              <w:rPr>
                <w:rFonts w:hint="eastAsia"/>
                <w:sz w:val="24"/>
                <w:lang w:val="en-US" w:eastAsia="zh-CN"/>
              </w:rPr>
              <w:t>310d</w:t>
            </w:r>
            <w:r>
              <w:rPr>
                <w:rFonts w:hint="eastAsia"/>
                <w:sz w:val="24"/>
              </w:rPr>
              <w:t>，损耗量为</w:t>
            </w:r>
            <w:r>
              <w:rPr>
                <w:rFonts w:hint="eastAsia"/>
                <w:sz w:val="24"/>
                <w:lang w:val="en-US" w:eastAsia="zh-CN"/>
              </w:rPr>
              <w:t>22320</w:t>
            </w:r>
            <w:r>
              <w:rPr>
                <w:rFonts w:hint="eastAsia"/>
                <w:sz w:val="24"/>
              </w:rPr>
              <w:t>t/a。</w:t>
            </w:r>
          </w:p>
          <w:p w14:paraId="30765A77">
            <w:pPr>
              <w:spacing w:line="500" w:lineRule="atLeast"/>
              <w:ind w:firstLine="480" w:firstLineChars="200"/>
              <w:rPr>
                <w:rFonts w:hint="default" w:ascii="宋体" w:hAnsi="宋体" w:eastAsia="宋体" w:cs="宋体"/>
                <w:sz w:val="24"/>
                <w:lang w:val="en-US" w:eastAsia="zh-CN"/>
              </w:rPr>
            </w:pPr>
            <w:r>
              <w:rPr>
                <w:rFonts w:hint="eastAsia" w:ascii="宋体" w:hAnsi="宋体" w:eastAsia="宋体" w:cs="宋体"/>
                <w:sz w:val="24"/>
              </w:rPr>
              <w:t>③</w:t>
            </w:r>
            <w:r>
              <w:rPr>
                <w:rFonts w:hint="eastAsia" w:ascii="宋体" w:hAnsi="宋体" w:eastAsia="宋体" w:cs="宋体"/>
                <w:sz w:val="24"/>
                <w:lang w:val="en-US" w:eastAsia="zh-CN"/>
              </w:rPr>
              <w:t>强力混合机用、排水</w:t>
            </w:r>
          </w:p>
          <w:p w14:paraId="4F6A3EF4">
            <w:pPr>
              <w:spacing w:line="500" w:lineRule="atLeas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项目生产过程中物料混合需要加入水进行混合搅拌，根据建设单位提供资料，</w:t>
            </w:r>
            <w:r>
              <w:rPr>
                <w:rFonts w:hint="eastAsia" w:ascii="宋体" w:hAnsi="宋体" w:cs="宋体"/>
                <w:sz w:val="24"/>
                <w:lang w:val="en-US" w:eastAsia="zh-CN"/>
              </w:rPr>
              <w:t>用</w:t>
            </w:r>
            <w:r>
              <w:rPr>
                <w:rFonts w:hint="eastAsia" w:ascii="宋体" w:hAnsi="宋体" w:eastAsia="宋体" w:cs="宋体"/>
                <w:sz w:val="24"/>
                <w:lang w:val="en-US" w:eastAsia="zh-CN"/>
              </w:rPr>
              <w:t>水</w:t>
            </w:r>
            <w:r>
              <w:rPr>
                <w:rFonts w:hint="eastAsia" w:ascii="宋体" w:hAnsi="宋体" w:cs="宋体"/>
                <w:sz w:val="24"/>
                <w:lang w:val="en-US" w:eastAsia="zh-CN"/>
              </w:rPr>
              <w:t>量为</w:t>
            </w:r>
            <w:r>
              <w:rPr>
                <w:rFonts w:hint="default" w:ascii="Times New Roman" w:hAnsi="Times New Roman" w:cs="Times New Roman"/>
                <w:sz w:val="24"/>
                <w:lang w:val="en-US" w:eastAsia="zh-CN"/>
              </w:rPr>
              <w:t>8</w:t>
            </w:r>
            <w:r>
              <w:rPr>
                <w:rFonts w:hint="eastAsia" w:cs="Times New Roman"/>
                <w:sz w:val="24"/>
                <w:lang w:val="en-US" w:eastAsia="zh-CN"/>
              </w:rPr>
              <w:t>t</w:t>
            </w:r>
            <w:r>
              <w:rPr>
                <w:rFonts w:hint="default" w:ascii="Times New Roman" w:hAnsi="Times New Roman" w:cs="Times New Roman"/>
                <w:sz w:val="24"/>
                <w:lang w:val="en-US" w:eastAsia="zh-CN"/>
              </w:rPr>
              <w:t>/h</w:t>
            </w:r>
            <w:r>
              <w:rPr>
                <w:rFonts w:hint="eastAsia" w:cs="Times New Roman"/>
                <w:sz w:val="24"/>
                <w:lang w:val="en-US" w:eastAsia="zh-CN"/>
              </w:rPr>
              <w:t>（192t/d）</w:t>
            </w:r>
            <w:r>
              <w:rPr>
                <w:rFonts w:hint="eastAsia" w:ascii="宋体" w:hAnsi="宋体" w:cs="宋体"/>
                <w:sz w:val="24"/>
                <w:lang w:val="en-US" w:eastAsia="zh-CN"/>
              </w:rPr>
              <w:t>，</w:t>
            </w:r>
            <w:r>
              <w:rPr>
                <w:rFonts w:hint="eastAsia"/>
                <w:sz w:val="24"/>
              </w:rPr>
              <w:t>年运行时间</w:t>
            </w:r>
            <w:r>
              <w:rPr>
                <w:rFonts w:hint="eastAsia"/>
                <w:sz w:val="24"/>
                <w:lang w:val="en-US" w:eastAsia="zh-CN"/>
              </w:rPr>
              <w:t>7440</w:t>
            </w:r>
            <w:r>
              <w:rPr>
                <w:rFonts w:hint="eastAsia"/>
                <w:sz w:val="24"/>
              </w:rPr>
              <w:t>h，</w:t>
            </w:r>
            <w:r>
              <w:rPr>
                <w:rFonts w:hint="eastAsia"/>
                <w:sz w:val="24"/>
                <w:lang w:val="en-US" w:eastAsia="zh-CN"/>
              </w:rPr>
              <w:t>补水</w:t>
            </w:r>
            <w:r>
              <w:rPr>
                <w:rFonts w:hint="eastAsia"/>
                <w:sz w:val="24"/>
              </w:rPr>
              <w:t>量为</w:t>
            </w:r>
            <w:r>
              <w:rPr>
                <w:rFonts w:hint="eastAsia"/>
                <w:sz w:val="24"/>
                <w:lang w:val="en-US" w:eastAsia="zh-CN"/>
              </w:rPr>
              <w:t>59520</w:t>
            </w:r>
            <w:r>
              <w:rPr>
                <w:rFonts w:hint="eastAsia"/>
                <w:sz w:val="24"/>
              </w:rPr>
              <w:t>t/a</w:t>
            </w:r>
            <w:r>
              <w:rPr>
                <w:rFonts w:hint="eastAsia"/>
                <w:sz w:val="24"/>
                <w:lang w:eastAsia="zh-CN"/>
              </w:rPr>
              <w:t>，</w:t>
            </w:r>
            <w:r>
              <w:rPr>
                <w:rFonts w:hint="eastAsia"/>
                <w:sz w:val="24"/>
                <w:lang w:val="en-US" w:eastAsia="zh-CN"/>
              </w:rPr>
              <w:t>该部分水进入物料后蒸发损耗，无废水外排。</w:t>
            </w:r>
          </w:p>
          <w:p w14:paraId="0434BD54">
            <w:pPr>
              <w:spacing w:line="500" w:lineRule="atLeast"/>
              <w:ind w:firstLine="480" w:firstLineChars="200"/>
              <w:rPr>
                <w:rFonts w:hint="default" w:ascii="宋体" w:hAnsi="宋体" w:eastAsia="宋体" w:cs="宋体"/>
                <w:sz w:val="24"/>
                <w:lang w:val="en-US" w:eastAsia="zh-CN"/>
              </w:rPr>
            </w:pPr>
            <w:r>
              <w:rPr>
                <w:rFonts w:hint="eastAsia" w:ascii="宋体" w:hAnsi="宋体" w:eastAsia="宋体" w:cs="宋体"/>
                <w:sz w:val="24"/>
              </w:rPr>
              <w:t>④</w:t>
            </w:r>
            <w:r>
              <w:rPr>
                <w:rFonts w:hint="eastAsia" w:ascii="宋体" w:hAnsi="宋体" w:eastAsia="宋体" w:cs="宋体"/>
                <w:sz w:val="24"/>
                <w:lang w:val="en-US" w:eastAsia="zh-CN"/>
              </w:rPr>
              <w:t>圆盘造球机用、排水</w:t>
            </w:r>
          </w:p>
          <w:p w14:paraId="390A7595">
            <w:pPr>
              <w:spacing w:line="500" w:lineRule="atLeast"/>
              <w:ind w:firstLine="480" w:firstLineChars="200"/>
              <w:rPr>
                <w:rFonts w:hint="eastAsia"/>
                <w:sz w:val="24"/>
                <w:lang w:val="en-US" w:eastAsia="zh-CN"/>
              </w:rPr>
            </w:pPr>
            <w:r>
              <w:rPr>
                <w:rFonts w:hint="eastAsia" w:ascii="宋体" w:hAnsi="宋体" w:eastAsia="宋体" w:cs="宋体"/>
                <w:sz w:val="24"/>
                <w:lang w:val="en-US" w:eastAsia="zh-CN"/>
              </w:rPr>
              <w:t>根据建设单位提供资料，</w:t>
            </w:r>
            <w:r>
              <w:rPr>
                <w:rFonts w:hint="eastAsia" w:ascii="宋体" w:hAnsi="宋体" w:cs="宋体"/>
                <w:sz w:val="24"/>
                <w:lang w:val="en-US" w:eastAsia="zh-CN"/>
              </w:rPr>
              <w:t>用</w:t>
            </w:r>
            <w:r>
              <w:rPr>
                <w:rFonts w:hint="eastAsia" w:ascii="宋体" w:hAnsi="宋体" w:eastAsia="宋体" w:cs="宋体"/>
                <w:sz w:val="24"/>
                <w:lang w:val="en-US" w:eastAsia="zh-CN"/>
              </w:rPr>
              <w:t>水</w:t>
            </w:r>
            <w:r>
              <w:rPr>
                <w:rFonts w:hint="eastAsia" w:ascii="宋体" w:hAnsi="宋体" w:cs="宋体"/>
                <w:sz w:val="24"/>
                <w:lang w:val="en-US" w:eastAsia="zh-CN"/>
              </w:rPr>
              <w:t>量为</w:t>
            </w:r>
            <w:r>
              <w:rPr>
                <w:rFonts w:hint="eastAsia" w:cs="Times New Roman"/>
                <w:sz w:val="24"/>
                <w:lang w:val="en-US" w:eastAsia="zh-CN"/>
              </w:rPr>
              <w:t>2t</w:t>
            </w:r>
            <w:r>
              <w:rPr>
                <w:rFonts w:hint="default" w:ascii="Times New Roman" w:hAnsi="Times New Roman" w:cs="Times New Roman"/>
                <w:sz w:val="24"/>
                <w:lang w:val="en-US" w:eastAsia="zh-CN"/>
              </w:rPr>
              <w:t>/h</w:t>
            </w:r>
            <w:r>
              <w:rPr>
                <w:rFonts w:hint="eastAsia" w:cs="Times New Roman"/>
                <w:sz w:val="24"/>
                <w:lang w:val="en-US" w:eastAsia="zh-CN"/>
              </w:rPr>
              <w:t>（48t/d）</w:t>
            </w:r>
            <w:r>
              <w:rPr>
                <w:rFonts w:hint="eastAsia" w:ascii="宋体" w:hAnsi="宋体" w:cs="宋体"/>
                <w:sz w:val="24"/>
                <w:lang w:val="en-US" w:eastAsia="zh-CN"/>
              </w:rPr>
              <w:t>，</w:t>
            </w:r>
            <w:r>
              <w:rPr>
                <w:rFonts w:hint="eastAsia"/>
                <w:sz w:val="24"/>
              </w:rPr>
              <w:t>年运行时间</w:t>
            </w:r>
            <w:r>
              <w:rPr>
                <w:rFonts w:hint="eastAsia"/>
                <w:sz w:val="24"/>
                <w:lang w:val="en-US" w:eastAsia="zh-CN"/>
              </w:rPr>
              <w:t>7440</w:t>
            </w:r>
            <w:r>
              <w:rPr>
                <w:rFonts w:hint="eastAsia"/>
                <w:sz w:val="24"/>
              </w:rPr>
              <w:t>h，</w:t>
            </w:r>
            <w:r>
              <w:rPr>
                <w:rFonts w:hint="eastAsia"/>
                <w:sz w:val="24"/>
                <w:lang w:val="en-US" w:eastAsia="zh-CN"/>
              </w:rPr>
              <w:t>补水</w:t>
            </w:r>
            <w:r>
              <w:rPr>
                <w:rFonts w:hint="eastAsia"/>
                <w:sz w:val="24"/>
              </w:rPr>
              <w:t>量为</w:t>
            </w:r>
            <w:r>
              <w:rPr>
                <w:rFonts w:hint="eastAsia"/>
                <w:sz w:val="24"/>
                <w:lang w:val="en-US" w:eastAsia="zh-CN"/>
              </w:rPr>
              <w:t>14880</w:t>
            </w:r>
            <w:r>
              <w:rPr>
                <w:rFonts w:hint="eastAsia"/>
                <w:sz w:val="24"/>
              </w:rPr>
              <w:t>t/a</w:t>
            </w:r>
            <w:r>
              <w:rPr>
                <w:rFonts w:hint="eastAsia"/>
                <w:sz w:val="24"/>
                <w:lang w:eastAsia="zh-CN"/>
              </w:rPr>
              <w:t>，</w:t>
            </w:r>
            <w:r>
              <w:rPr>
                <w:rFonts w:hint="eastAsia"/>
                <w:sz w:val="24"/>
                <w:lang w:val="en-US" w:eastAsia="zh-CN"/>
              </w:rPr>
              <w:t>该部分水进入物料后蒸发损耗，无废水外排。</w:t>
            </w:r>
          </w:p>
          <w:p w14:paraId="0D4430A0">
            <w:pPr>
              <w:spacing w:line="500" w:lineRule="atLeast"/>
              <w:ind w:firstLine="480" w:firstLineChars="200"/>
              <w:rPr>
                <w:rFonts w:hint="default" w:ascii="宋体" w:hAnsi="宋体" w:eastAsia="宋体" w:cs="宋体"/>
                <w:sz w:val="24"/>
                <w:lang w:val="en-US" w:eastAsia="zh-CN"/>
              </w:rPr>
            </w:pPr>
            <w:r>
              <w:rPr>
                <w:rFonts w:hint="eastAsia" w:ascii="宋体" w:hAnsi="宋体" w:eastAsia="宋体" w:cs="宋体"/>
                <w:sz w:val="24"/>
              </w:rPr>
              <w:t>⑤</w:t>
            </w:r>
            <w:r>
              <w:rPr>
                <w:rFonts w:hint="eastAsia" w:ascii="宋体" w:hAnsi="宋体" w:cs="宋体"/>
                <w:sz w:val="24"/>
                <w:lang w:val="en-US" w:eastAsia="zh-CN"/>
              </w:rPr>
              <w:t>窑渣冷却</w:t>
            </w:r>
            <w:r>
              <w:rPr>
                <w:rFonts w:hint="eastAsia" w:ascii="宋体" w:hAnsi="宋体" w:eastAsia="宋体" w:cs="宋体"/>
                <w:sz w:val="24"/>
                <w:lang w:val="en-US" w:eastAsia="zh-CN"/>
              </w:rPr>
              <w:t>用、排水</w:t>
            </w:r>
          </w:p>
          <w:p w14:paraId="7622FA83">
            <w:pPr>
              <w:spacing w:line="500" w:lineRule="atLeas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根据建设单位提供资料，</w:t>
            </w:r>
            <w:r>
              <w:rPr>
                <w:rFonts w:hint="eastAsia" w:ascii="宋体" w:hAnsi="宋体" w:cs="宋体"/>
                <w:sz w:val="24"/>
                <w:lang w:val="en-US" w:eastAsia="zh-CN"/>
              </w:rPr>
              <w:t>窑渣冷却采用水淬方式，冷却水池容积约为</w:t>
            </w:r>
            <w:r>
              <w:rPr>
                <w:rFonts w:hint="default" w:ascii="Times New Roman" w:hAnsi="Times New Roman" w:cs="Times New Roman"/>
                <w:sz w:val="24"/>
                <w:lang w:val="en-US" w:eastAsia="zh-CN"/>
              </w:rPr>
              <w:t>30m</w:t>
            </w:r>
            <w:r>
              <w:rPr>
                <w:rFonts w:hint="default" w:ascii="Times New Roman" w:hAnsi="Times New Roman" w:cs="Times New Roman"/>
                <w:sz w:val="24"/>
                <w:vertAlign w:val="superscript"/>
                <w:lang w:val="en-US" w:eastAsia="zh-CN"/>
              </w:rPr>
              <w:t>3</w:t>
            </w:r>
            <w:r>
              <w:rPr>
                <w:rFonts w:hint="eastAsia" w:ascii="宋体" w:hAnsi="宋体" w:cs="宋体"/>
                <w:sz w:val="24"/>
                <w:lang w:val="en-US" w:eastAsia="zh-CN"/>
              </w:rPr>
              <w:t>，</w:t>
            </w:r>
            <w:r>
              <w:rPr>
                <w:rFonts w:hint="eastAsia"/>
                <w:sz w:val="24"/>
              </w:rPr>
              <w:t>蒸发损耗按5%计，则损耗量为</w:t>
            </w:r>
            <w:r>
              <w:rPr>
                <w:rFonts w:hint="eastAsia"/>
                <w:sz w:val="24"/>
                <w:lang w:val="en-US" w:eastAsia="zh-CN"/>
              </w:rPr>
              <w:t>1.5</w:t>
            </w:r>
            <w:r>
              <w:rPr>
                <w:rFonts w:hint="eastAsia"/>
                <w:sz w:val="24"/>
              </w:rPr>
              <w:t>t/</w:t>
            </w:r>
            <w:r>
              <w:rPr>
                <w:rFonts w:hint="eastAsia"/>
                <w:sz w:val="24"/>
                <w:lang w:val="en-US" w:eastAsia="zh-CN"/>
              </w:rPr>
              <w:t>d</w:t>
            </w:r>
            <w:r>
              <w:rPr>
                <w:rFonts w:hint="eastAsia"/>
                <w:sz w:val="24"/>
              </w:rPr>
              <w:t>，年运行时间</w:t>
            </w:r>
            <w:r>
              <w:rPr>
                <w:rFonts w:hint="eastAsia"/>
                <w:sz w:val="24"/>
                <w:lang w:val="en-US" w:eastAsia="zh-CN"/>
              </w:rPr>
              <w:t>7440</w:t>
            </w:r>
            <w:r>
              <w:rPr>
                <w:rFonts w:hint="eastAsia"/>
                <w:sz w:val="24"/>
              </w:rPr>
              <w:t>h，损耗量为</w:t>
            </w:r>
            <w:r>
              <w:rPr>
                <w:rFonts w:hint="eastAsia"/>
                <w:sz w:val="24"/>
                <w:lang w:val="en-US" w:eastAsia="zh-CN"/>
              </w:rPr>
              <w:t>465</w:t>
            </w:r>
            <w:r>
              <w:rPr>
                <w:rFonts w:hint="eastAsia"/>
                <w:sz w:val="24"/>
              </w:rPr>
              <w:t>t/a</w:t>
            </w:r>
            <w:r>
              <w:rPr>
                <w:rFonts w:hint="eastAsia"/>
                <w:sz w:val="24"/>
                <w:lang w:eastAsia="zh-CN"/>
              </w:rPr>
              <w:t>，</w:t>
            </w:r>
            <w:r>
              <w:rPr>
                <w:rFonts w:hint="eastAsia"/>
                <w:sz w:val="24"/>
              </w:rPr>
              <w:t>平常只需定期补充用水，</w:t>
            </w:r>
            <w:r>
              <w:rPr>
                <w:rFonts w:hint="eastAsia"/>
                <w:sz w:val="24"/>
                <w:lang w:val="en-US" w:eastAsia="zh-CN"/>
              </w:rPr>
              <w:t>无废水外排</w:t>
            </w:r>
            <w:r>
              <w:rPr>
                <w:rFonts w:hint="eastAsia"/>
                <w:sz w:val="24"/>
              </w:rPr>
              <w:t>。</w:t>
            </w:r>
          </w:p>
          <w:p w14:paraId="6A37D2FC">
            <w:pPr>
              <w:spacing w:line="500" w:lineRule="atLeast"/>
              <w:ind w:firstLine="480" w:firstLineChars="200"/>
              <w:rPr>
                <w:rFonts w:hint="eastAsia" w:ascii="宋体" w:hAnsi="宋体" w:eastAsia="宋体" w:cs="宋体"/>
                <w:sz w:val="24"/>
                <w:highlight w:val="yellow"/>
                <w:lang w:val="en-US" w:eastAsia="zh-CN"/>
              </w:rPr>
            </w:pPr>
            <w:r>
              <w:rPr>
                <w:rFonts w:hint="eastAsia" w:ascii="宋体" w:hAnsi="宋体" w:eastAsia="宋体" w:cs="宋体"/>
                <w:sz w:val="24"/>
                <w:highlight w:val="none"/>
              </w:rPr>
              <w:t>⑥</w:t>
            </w:r>
            <w:r>
              <w:rPr>
                <w:rFonts w:hint="eastAsia" w:ascii="宋体" w:hAnsi="宋体" w:eastAsia="宋体" w:cs="宋体"/>
                <w:sz w:val="24"/>
                <w:highlight w:val="none"/>
                <w:lang w:val="en-US" w:eastAsia="zh-CN"/>
              </w:rPr>
              <w:t>余热锅炉用、排水</w:t>
            </w:r>
          </w:p>
          <w:p w14:paraId="4D951F5B">
            <w:pPr>
              <w:spacing w:line="500" w:lineRule="atLeast"/>
              <w:ind w:firstLine="480" w:firstLineChars="200"/>
              <w:rPr>
                <w:rFonts w:hint="eastAsia" w:ascii="宋体" w:hAnsi="宋体" w:eastAsia="宋体" w:cs="宋体"/>
                <w:sz w:val="24"/>
                <w:lang w:val="en-US" w:eastAsia="zh-CN"/>
              </w:rPr>
            </w:pPr>
            <w:r>
              <w:rPr>
                <w:rFonts w:hint="default" w:ascii="Times New Roman" w:hAnsi="Times New Roman" w:eastAsia="宋体" w:cs="Times New Roman"/>
                <w:sz w:val="24"/>
                <w:lang w:val="en-US" w:eastAsia="zh-CN"/>
              </w:rPr>
              <w:t>根据建设单位提供资料，</w:t>
            </w:r>
            <w:r>
              <w:rPr>
                <w:rFonts w:hint="default" w:ascii="Times New Roman" w:hAnsi="Times New Roman" w:cs="Times New Roman"/>
                <w:sz w:val="24"/>
                <w:lang w:val="en-US" w:eastAsia="zh-CN"/>
              </w:rPr>
              <w:t>余热锅炉软水用</w:t>
            </w:r>
            <w:r>
              <w:rPr>
                <w:rFonts w:hint="default" w:ascii="Times New Roman" w:hAnsi="Times New Roman" w:eastAsia="宋体" w:cs="Times New Roman"/>
                <w:sz w:val="24"/>
                <w:lang w:val="en-US" w:eastAsia="zh-CN"/>
              </w:rPr>
              <w:t>水</w:t>
            </w:r>
            <w:r>
              <w:rPr>
                <w:rFonts w:hint="default" w:ascii="Times New Roman" w:hAnsi="Times New Roman" w:cs="Times New Roman"/>
                <w:sz w:val="24"/>
                <w:lang w:val="en-US" w:eastAsia="zh-CN"/>
              </w:rPr>
              <w:t>量为125000m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lang w:val="en-US" w:eastAsia="zh-CN"/>
              </w:rPr>
              <w:t>/a</w:t>
            </w:r>
            <w:r>
              <w:rPr>
                <w:rFonts w:hint="eastAsia" w:cs="Times New Roman"/>
                <w:sz w:val="24"/>
                <w:lang w:val="en-US" w:eastAsia="zh-CN"/>
              </w:rPr>
              <w:t>（403t/d）</w:t>
            </w:r>
            <w:r>
              <w:rPr>
                <w:rFonts w:hint="default" w:ascii="Times New Roman" w:hAnsi="Times New Roman" w:cs="Times New Roman"/>
                <w:sz w:val="24"/>
                <w:lang w:val="en-US" w:eastAsia="zh-CN"/>
              </w:rPr>
              <w:t>，低压饱和蒸汽产生量为</w:t>
            </w:r>
            <w:r>
              <w:rPr>
                <w:rFonts w:hint="eastAsia" w:cs="Times New Roman"/>
                <w:sz w:val="24"/>
                <w:lang w:val="en-US" w:eastAsia="zh-CN"/>
              </w:rPr>
              <w:t>111600</w:t>
            </w:r>
            <w:r>
              <w:rPr>
                <w:rFonts w:hint="default" w:ascii="Times New Roman" w:hAnsi="Times New Roman" w:cs="Times New Roman"/>
                <w:sz w:val="24"/>
                <w:lang w:val="en-US" w:eastAsia="zh-CN"/>
              </w:rPr>
              <w:t>t/a</w:t>
            </w:r>
            <w:r>
              <w:rPr>
                <w:rFonts w:hint="eastAsia" w:cs="Times New Roman"/>
                <w:sz w:val="24"/>
                <w:lang w:val="en-US" w:eastAsia="zh-CN"/>
              </w:rPr>
              <w:t>（360t/d）</w:t>
            </w:r>
            <w:r>
              <w:rPr>
                <w:rFonts w:hint="eastAsia" w:ascii="Times New Roman" w:hAnsi="Times New Roman" w:cs="Times New Roman"/>
                <w:sz w:val="24"/>
                <w:lang w:val="en-US" w:eastAsia="zh-CN"/>
              </w:rPr>
              <w:t>，则余热锅炉排水量为134</w:t>
            </w:r>
            <w:r>
              <w:rPr>
                <w:rFonts w:hint="eastAsia" w:cs="Times New Roman"/>
                <w:sz w:val="24"/>
                <w:lang w:val="en-US" w:eastAsia="zh-CN"/>
              </w:rPr>
              <w:t>00</w:t>
            </w:r>
            <w:r>
              <w:rPr>
                <w:rFonts w:hint="eastAsia" w:ascii="Times New Roman" w:hAnsi="Times New Roman" w:cs="Times New Roman"/>
                <w:sz w:val="24"/>
                <w:lang w:val="en-US" w:eastAsia="zh-CN"/>
              </w:rPr>
              <w:t>t/a</w:t>
            </w:r>
            <w:r>
              <w:rPr>
                <w:rFonts w:hint="eastAsia" w:cs="Times New Roman"/>
                <w:sz w:val="24"/>
                <w:lang w:val="en-US" w:eastAsia="zh-CN"/>
              </w:rPr>
              <w:t>（43t/d）</w:t>
            </w:r>
            <w:r>
              <w:rPr>
                <w:rFonts w:hint="eastAsia" w:ascii="Times New Roman" w:hAnsi="Times New Roman" w:cs="Times New Roman"/>
                <w:sz w:val="24"/>
                <w:lang w:val="en-US" w:eastAsia="zh-CN"/>
              </w:rPr>
              <w:t>，该部分废水排入盛隆厂区污水处理系统处理后回用于厂区其他用水单元，</w:t>
            </w:r>
            <w:r>
              <w:rPr>
                <w:rFonts w:hint="eastAsia"/>
                <w:sz w:val="24"/>
                <w:lang w:val="en-US" w:eastAsia="zh-CN"/>
              </w:rPr>
              <w:t>不外排。</w:t>
            </w:r>
          </w:p>
          <w:p w14:paraId="6DD42B99">
            <w:pPr>
              <w:spacing w:line="500" w:lineRule="atLeas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⑦软水制备用、排水</w:t>
            </w:r>
          </w:p>
          <w:p w14:paraId="07B83AE2">
            <w:pPr>
              <w:spacing w:line="500" w:lineRule="atLeas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根据生产用水量可知，需要软水量为</w:t>
            </w:r>
            <w:r>
              <w:rPr>
                <w:rFonts w:hint="default" w:ascii="Times New Roman" w:hAnsi="Times New Roman" w:cs="Times New Roman"/>
                <w:sz w:val="24"/>
                <w:lang w:val="en-US" w:eastAsia="zh-CN"/>
              </w:rPr>
              <w:t>125000</w:t>
            </w:r>
            <w:r>
              <w:rPr>
                <w:rFonts w:hint="default" w:ascii="Times New Roman" w:hAnsi="Times New Roman" w:eastAsia="宋体" w:cs="Times New Roman"/>
                <w:sz w:val="24"/>
                <w:lang w:val="en-US" w:eastAsia="zh-CN"/>
              </w:rPr>
              <w:t>t/a</w:t>
            </w:r>
            <w:r>
              <w:rPr>
                <w:rFonts w:hint="eastAsia" w:ascii="Times New Roman" w:hAnsi="Times New Roman" w:cs="Times New Roman"/>
                <w:sz w:val="24"/>
                <w:lang w:val="en-US" w:eastAsia="zh-CN"/>
              </w:rPr>
              <w:t>（403t/d）</w:t>
            </w:r>
            <w:r>
              <w:rPr>
                <w:rFonts w:hint="default" w:ascii="Times New Roman" w:hAnsi="Times New Roman" w:eastAsia="宋体" w:cs="Times New Roman"/>
                <w:sz w:val="24"/>
                <w:lang w:val="en-US" w:eastAsia="zh-CN"/>
              </w:rPr>
              <w:t>，软水制备率以90%计，则需要补充新鲜水</w:t>
            </w:r>
            <w:r>
              <w:rPr>
                <w:rFonts w:hint="default" w:ascii="Times New Roman" w:hAnsi="Times New Roman" w:cs="Times New Roman"/>
                <w:sz w:val="24"/>
                <w:lang w:val="en-US" w:eastAsia="zh-CN"/>
              </w:rPr>
              <w:t>138889</w:t>
            </w:r>
            <w:r>
              <w:rPr>
                <w:rFonts w:hint="default" w:ascii="Times New Roman" w:hAnsi="Times New Roman" w:eastAsia="宋体" w:cs="Times New Roman"/>
                <w:sz w:val="24"/>
                <w:lang w:val="en-US" w:eastAsia="zh-CN"/>
              </w:rPr>
              <w:t>t/a</w:t>
            </w:r>
            <w:r>
              <w:rPr>
                <w:rFonts w:hint="eastAsia" w:ascii="Times New Roman" w:hAnsi="Times New Roman" w:cs="Times New Roman"/>
                <w:sz w:val="24"/>
                <w:lang w:val="en-US" w:eastAsia="zh-CN"/>
              </w:rPr>
              <w:t>（448t/d）</w:t>
            </w:r>
            <w:r>
              <w:rPr>
                <w:rFonts w:hint="default" w:ascii="Times New Roman" w:hAnsi="Times New Roman" w:eastAsia="宋体" w:cs="Times New Roman"/>
                <w:sz w:val="24"/>
                <w:lang w:val="en-US" w:eastAsia="zh-CN"/>
              </w:rPr>
              <w:t>，排污水量为</w:t>
            </w:r>
            <w:r>
              <w:rPr>
                <w:rFonts w:hint="default" w:ascii="Times New Roman" w:hAnsi="Times New Roman" w:cs="Times New Roman"/>
                <w:sz w:val="24"/>
                <w:lang w:val="en-US" w:eastAsia="zh-CN"/>
              </w:rPr>
              <w:t>13889</w:t>
            </w:r>
            <w:r>
              <w:rPr>
                <w:rFonts w:hint="default" w:ascii="Times New Roman" w:hAnsi="Times New Roman" w:eastAsia="宋体" w:cs="Times New Roman"/>
                <w:sz w:val="24"/>
                <w:lang w:val="en-US" w:eastAsia="zh-CN"/>
              </w:rPr>
              <w:t>t/a</w:t>
            </w:r>
            <w:r>
              <w:rPr>
                <w:rFonts w:hint="eastAsia" w:ascii="Times New Roman" w:hAnsi="Times New Roman" w:cs="Times New Roman"/>
                <w:sz w:val="24"/>
                <w:lang w:val="en-US" w:eastAsia="zh-CN"/>
              </w:rPr>
              <w:t>（45t/d），该部分废水排入盛隆厂区污水处理系统处理后回用于厂区其他用水单元，</w:t>
            </w:r>
            <w:r>
              <w:rPr>
                <w:rFonts w:hint="eastAsia"/>
                <w:sz w:val="24"/>
                <w:lang w:val="en-US" w:eastAsia="zh-CN"/>
              </w:rPr>
              <w:t>不外排。</w:t>
            </w:r>
          </w:p>
          <w:p w14:paraId="5446A508">
            <w:pPr>
              <w:spacing w:line="500" w:lineRule="atLeast"/>
              <w:ind w:firstLine="480" w:firstLineChars="200"/>
              <w:rPr>
                <w:sz w:val="24"/>
              </w:rPr>
            </w:pPr>
            <w:r>
              <w:rPr>
                <w:rFonts w:hint="eastAsia"/>
                <w:sz w:val="24"/>
              </w:rPr>
              <w:t>本项目水平衡详见图</w:t>
            </w:r>
            <w:r>
              <w:rPr>
                <w:rFonts w:hint="eastAsia"/>
                <w:sz w:val="24"/>
                <w:lang w:val="en-US" w:eastAsia="zh-CN"/>
              </w:rPr>
              <w:t>2-1</w:t>
            </w:r>
            <w:r>
              <w:rPr>
                <w:rFonts w:hint="eastAsia"/>
                <w:sz w:val="24"/>
              </w:rPr>
              <w:t>。</w:t>
            </w:r>
          </w:p>
          <w:p w14:paraId="164373FF">
            <w:pPr>
              <w:spacing w:line="360" w:lineRule="auto"/>
              <w:rPr>
                <w:sz w:val="24"/>
              </w:rPr>
            </w:pPr>
            <w:r>
              <w:drawing>
                <wp:inline distT="0" distB="0" distL="0" distR="0">
                  <wp:extent cx="5133975" cy="3951605"/>
                  <wp:effectExtent l="0" t="0" r="0" b="0"/>
                  <wp:docPr id="5" name="图片 5" descr="C:/Users/Administrator/Desktop/除尘灰综合利用项目水平衡.jpg除尘灰综合利用项目水平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除尘灰综合利用项目水平衡.jpg除尘灰综合利用项目水平衡"/>
                          <pic:cNvPicPr>
                            <a:picLocks noChangeAspect="1"/>
                          </pic:cNvPicPr>
                        </pic:nvPicPr>
                        <pic:blipFill>
                          <a:blip r:embed="rId8"/>
                          <a:srcRect t="2542" b="5455"/>
                          <a:stretch>
                            <a:fillRect/>
                          </a:stretch>
                        </pic:blipFill>
                        <pic:spPr>
                          <a:xfrm>
                            <a:off x="0" y="0"/>
                            <a:ext cx="5133975" cy="3951605"/>
                          </a:xfrm>
                          <a:prstGeom prst="rect">
                            <a:avLst/>
                          </a:prstGeom>
                        </pic:spPr>
                      </pic:pic>
                    </a:graphicData>
                  </a:graphic>
                </wp:inline>
              </w:drawing>
            </w:r>
          </w:p>
          <w:p w14:paraId="110DF658">
            <w:pPr>
              <w:spacing w:line="500" w:lineRule="atLeast"/>
              <w:ind w:firstLine="482" w:firstLineChars="200"/>
              <w:jc w:val="center"/>
              <w:rPr>
                <w:b/>
                <w:sz w:val="24"/>
              </w:rPr>
            </w:pPr>
            <w:r>
              <w:rPr>
                <w:rFonts w:hint="eastAsia"/>
                <w:b/>
                <w:sz w:val="24"/>
              </w:rPr>
              <w:t>图2-1 项目水平衡图（t/</w:t>
            </w:r>
            <w:r>
              <w:rPr>
                <w:rFonts w:hint="eastAsia"/>
                <w:b/>
                <w:sz w:val="24"/>
                <w:lang w:val="en-US" w:eastAsia="zh-CN"/>
              </w:rPr>
              <w:t>d</w:t>
            </w:r>
            <w:r>
              <w:rPr>
                <w:rFonts w:hint="eastAsia"/>
                <w:b/>
                <w:sz w:val="24"/>
              </w:rPr>
              <w:t>）</w:t>
            </w:r>
          </w:p>
          <w:p w14:paraId="646ED522">
            <w:pPr>
              <w:spacing w:line="500" w:lineRule="atLeast"/>
              <w:ind w:firstLine="480" w:firstLineChars="200"/>
              <w:rPr>
                <w:sz w:val="24"/>
              </w:rPr>
            </w:pPr>
            <w:r>
              <w:rPr>
                <w:rFonts w:hint="eastAsia"/>
                <w:sz w:val="24"/>
              </w:rPr>
              <w:t>（2）排水</w:t>
            </w:r>
          </w:p>
          <w:p w14:paraId="799BB995">
            <w:pPr>
              <w:spacing w:line="500" w:lineRule="atLeast"/>
              <w:ind w:firstLine="480" w:firstLineChars="200"/>
              <w:rPr>
                <w:sz w:val="24"/>
              </w:rPr>
            </w:pPr>
            <w:r>
              <w:rPr>
                <w:rFonts w:hint="eastAsia"/>
                <w:sz w:val="24"/>
              </w:rPr>
              <w:t>本项目所产生的废水均经管道收集进入盛隆公司污水处理系统处理后全部循环利用，不外排。</w:t>
            </w:r>
          </w:p>
          <w:p w14:paraId="2A2C7156">
            <w:pPr>
              <w:spacing w:line="500" w:lineRule="atLeast"/>
              <w:ind w:firstLine="480" w:firstLineChars="200"/>
              <w:rPr>
                <w:sz w:val="24"/>
              </w:rPr>
            </w:pPr>
            <w:r>
              <w:rPr>
                <w:rFonts w:hint="eastAsia"/>
                <w:sz w:val="24"/>
              </w:rPr>
              <w:t>（3）供电</w:t>
            </w:r>
          </w:p>
          <w:p w14:paraId="34178D28">
            <w:pPr>
              <w:spacing w:line="500" w:lineRule="atLeast"/>
              <w:ind w:firstLine="480" w:firstLineChars="200"/>
              <w:rPr>
                <w:sz w:val="24"/>
              </w:rPr>
            </w:pPr>
            <w:r>
              <w:rPr>
                <w:rFonts w:hint="eastAsia"/>
                <w:sz w:val="24"/>
              </w:rPr>
              <w:t>由广西盛隆冶金有限公司</w:t>
            </w:r>
            <w:r>
              <w:rPr>
                <w:rFonts w:hint="eastAsia"/>
                <w:sz w:val="24"/>
                <w:lang w:val="en-US" w:eastAsia="zh-CN"/>
              </w:rPr>
              <w:t>现有供电管网供应</w:t>
            </w:r>
            <w:r>
              <w:rPr>
                <w:rFonts w:hint="eastAsia"/>
                <w:sz w:val="24"/>
              </w:rPr>
              <w:t>。</w:t>
            </w:r>
          </w:p>
          <w:p w14:paraId="01C77FB5">
            <w:pPr>
              <w:spacing w:line="500" w:lineRule="atLeast"/>
              <w:ind w:firstLine="480" w:firstLineChars="200"/>
              <w:rPr>
                <w:sz w:val="24"/>
              </w:rPr>
            </w:pPr>
            <w:r>
              <w:rPr>
                <w:rFonts w:hint="eastAsia"/>
                <w:sz w:val="24"/>
              </w:rPr>
              <w:t>（4）供气</w:t>
            </w:r>
          </w:p>
          <w:p w14:paraId="6A427F8B">
            <w:pPr>
              <w:spacing w:line="500" w:lineRule="atLeast"/>
              <w:ind w:firstLine="480" w:firstLineChars="200"/>
              <w:rPr>
                <w:sz w:val="24"/>
              </w:rPr>
            </w:pPr>
            <w:r>
              <w:rPr>
                <w:rFonts w:hint="eastAsia"/>
                <w:sz w:val="24"/>
              </w:rPr>
              <w:t>本项目运营过</w:t>
            </w:r>
            <w:r>
              <w:rPr>
                <w:rFonts w:hint="eastAsia"/>
                <w:sz w:val="24"/>
                <w:lang w:eastAsia="zh-CN"/>
              </w:rPr>
              <w:t>程中</w:t>
            </w:r>
            <w:r>
              <w:rPr>
                <w:rFonts w:hint="eastAsia"/>
                <w:sz w:val="24"/>
              </w:rPr>
              <w:t>使用的高炉煤气均由盛隆公司供气管道供应</w:t>
            </w:r>
            <w:r>
              <w:rPr>
                <w:rFonts w:hint="eastAsia"/>
                <w:bCs/>
                <w:sz w:val="24"/>
              </w:rPr>
              <w:t>。</w:t>
            </w:r>
          </w:p>
          <w:p w14:paraId="25869CD5">
            <w:pPr>
              <w:spacing w:line="500" w:lineRule="atLeast"/>
              <w:ind w:firstLine="482" w:firstLineChars="200"/>
              <w:rPr>
                <w:b/>
                <w:sz w:val="24"/>
              </w:rPr>
            </w:pPr>
            <w:r>
              <w:rPr>
                <w:rFonts w:hint="eastAsia"/>
                <w:b/>
                <w:sz w:val="24"/>
                <w:lang w:val="en-US" w:eastAsia="zh-CN"/>
              </w:rPr>
              <w:t>11</w:t>
            </w:r>
            <w:r>
              <w:rPr>
                <w:rFonts w:hint="eastAsia"/>
                <w:b/>
                <w:sz w:val="24"/>
              </w:rPr>
              <w:t>、劳动定员及工作制度</w:t>
            </w:r>
          </w:p>
          <w:p w14:paraId="5088DDBC">
            <w:pPr>
              <w:spacing w:line="500" w:lineRule="atLeast"/>
              <w:ind w:firstLine="480" w:firstLineChars="200"/>
              <w:rPr>
                <w:sz w:val="24"/>
              </w:rPr>
            </w:pPr>
            <w:r>
              <w:rPr>
                <w:rFonts w:hint="eastAsia"/>
                <w:sz w:val="24"/>
              </w:rPr>
              <w:t>本项目不新增职工，从公司现有职工中调配，采用</w:t>
            </w:r>
            <w:r>
              <w:rPr>
                <w:rFonts w:hint="eastAsia"/>
                <w:sz w:val="24"/>
                <w:lang w:val="en-US" w:eastAsia="zh-CN"/>
              </w:rPr>
              <w:t>三</w:t>
            </w:r>
            <w:r>
              <w:rPr>
                <w:rFonts w:hint="eastAsia"/>
                <w:sz w:val="24"/>
              </w:rPr>
              <w:t>班制，每天工作</w:t>
            </w:r>
            <w:r>
              <w:rPr>
                <w:rFonts w:hint="eastAsia"/>
                <w:sz w:val="24"/>
                <w:lang w:val="en-US" w:eastAsia="zh-CN"/>
              </w:rPr>
              <w:t>24</w:t>
            </w:r>
            <w:r>
              <w:rPr>
                <w:rFonts w:hint="eastAsia"/>
                <w:sz w:val="24"/>
              </w:rPr>
              <w:t>小时，年工作</w:t>
            </w:r>
            <w:r>
              <w:rPr>
                <w:rFonts w:hint="eastAsia"/>
                <w:sz w:val="24"/>
                <w:lang w:val="en-US" w:eastAsia="zh-CN"/>
              </w:rPr>
              <w:t>310</w:t>
            </w:r>
            <w:r>
              <w:rPr>
                <w:rFonts w:hint="eastAsia"/>
                <w:sz w:val="24"/>
              </w:rPr>
              <w:t>天。</w:t>
            </w:r>
          </w:p>
        </w:tc>
      </w:tr>
    </w:tbl>
    <w:p w14:paraId="38FD37CE">
      <w:r>
        <w:br w:type="page"/>
      </w:r>
    </w:p>
    <w:tbl>
      <w:tblPr>
        <w:tblStyle w:val="23"/>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362D6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23" w:type="dxa"/>
            <w:vAlign w:val="center"/>
          </w:tcPr>
          <w:p w14:paraId="6E64B212">
            <w:pPr>
              <w:pStyle w:val="19"/>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8161" w:type="dxa"/>
          </w:tcPr>
          <w:p w14:paraId="43AAE76B">
            <w:pPr>
              <w:spacing w:line="500" w:lineRule="exact"/>
              <w:ind w:firstLine="480"/>
              <w:rPr>
                <w:rFonts w:ascii="宋体" w:hAnsi="宋体"/>
                <w:b/>
                <w:sz w:val="24"/>
              </w:rPr>
            </w:pPr>
            <w:r>
              <w:rPr>
                <w:rFonts w:hint="eastAsia" w:ascii="宋体" w:hAnsi="宋体"/>
                <w:b/>
                <w:sz w:val="24"/>
              </w:rPr>
              <w:t>工艺流程简述</w:t>
            </w:r>
          </w:p>
          <w:p w14:paraId="49E87A25">
            <w:pPr>
              <w:spacing w:line="500" w:lineRule="exact"/>
              <w:ind w:firstLine="480"/>
              <w:rPr>
                <w:rFonts w:ascii="宋体" w:hAnsi="宋体"/>
                <w:b/>
                <w:sz w:val="24"/>
              </w:rPr>
            </w:pPr>
            <w:r>
              <w:rPr>
                <w:rFonts w:hint="eastAsia" w:ascii="宋体" w:hAnsi="宋体"/>
                <w:b/>
                <w:sz w:val="24"/>
              </w:rPr>
              <w:t>1、施工期</w:t>
            </w:r>
          </w:p>
          <w:p w14:paraId="40F97344">
            <w:pPr>
              <w:spacing w:line="500" w:lineRule="exact"/>
              <w:ind w:firstLine="480"/>
              <w:rPr>
                <w:rFonts w:hint="eastAsia"/>
                <w:sz w:val="24"/>
              </w:rPr>
            </w:pPr>
            <w:r>
              <w:rPr>
                <w:rFonts w:hint="eastAsia"/>
                <w:sz w:val="24"/>
              </w:rPr>
              <w:t>根据现场调查，项目</w:t>
            </w:r>
            <w:r>
              <w:rPr>
                <w:rFonts w:hint="eastAsia"/>
                <w:sz w:val="24"/>
                <w:lang w:val="en-US" w:eastAsia="zh-CN"/>
              </w:rPr>
              <w:t>利用现有</w:t>
            </w:r>
            <w:r>
              <w:rPr>
                <w:rFonts w:hint="eastAsia"/>
                <w:sz w:val="24"/>
              </w:rPr>
              <w:t>厂房</w:t>
            </w:r>
            <w:r>
              <w:rPr>
                <w:rFonts w:hint="eastAsia"/>
                <w:sz w:val="24"/>
                <w:lang w:val="en-US" w:eastAsia="zh-CN"/>
              </w:rPr>
              <w:t>建设</w:t>
            </w:r>
            <w:r>
              <w:rPr>
                <w:rFonts w:hint="eastAsia"/>
                <w:sz w:val="24"/>
              </w:rPr>
              <w:t>，施工期主要进行</w:t>
            </w:r>
            <w:r>
              <w:rPr>
                <w:rFonts w:hint="eastAsia"/>
                <w:sz w:val="24"/>
                <w:lang w:val="en-US" w:eastAsia="zh-CN"/>
              </w:rPr>
              <w:t>电气综合楼建设及</w:t>
            </w:r>
            <w:r>
              <w:rPr>
                <w:rFonts w:hint="eastAsia"/>
                <w:sz w:val="24"/>
              </w:rPr>
              <w:t>设备安装等，工程通过竣工验收后，施工期结束；从竣工验收合格之日起，即进入运营期。施工流程及产污环节如图2-1所示。</w:t>
            </w:r>
          </w:p>
          <w:p w14:paraId="2C76F6D8">
            <w:pPr>
              <w:spacing w:line="360" w:lineRule="auto"/>
              <w:ind w:firstLine="420" w:firstLineChars="200"/>
              <w:jc w:val="center"/>
              <w:rPr>
                <w:sz w:val="24"/>
              </w:rPr>
            </w:pPr>
            <w:r>
              <w:drawing>
                <wp:inline distT="0" distB="0" distL="0" distR="0">
                  <wp:extent cx="3771900" cy="11049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3771900" cy="1104900"/>
                          </a:xfrm>
                          <a:prstGeom prst="rect">
                            <a:avLst/>
                          </a:prstGeom>
                        </pic:spPr>
                      </pic:pic>
                    </a:graphicData>
                  </a:graphic>
                </wp:inline>
              </w:drawing>
            </w:r>
          </w:p>
          <w:p w14:paraId="1AB5BBE0">
            <w:pPr>
              <w:spacing w:line="360" w:lineRule="auto"/>
              <w:ind w:firstLine="482" w:firstLineChars="200"/>
              <w:jc w:val="center"/>
              <w:rPr>
                <w:b/>
                <w:sz w:val="24"/>
              </w:rPr>
            </w:pPr>
            <w:r>
              <w:rPr>
                <w:rFonts w:hint="eastAsia"/>
                <w:b/>
                <w:sz w:val="24"/>
              </w:rPr>
              <w:t>图2-1  项目施工期工艺流程及产污节点图</w:t>
            </w:r>
          </w:p>
          <w:p w14:paraId="234FE18E">
            <w:pPr>
              <w:spacing w:line="360" w:lineRule="auto"/>
              <w:ind w:firstLine="482" w:firstLineChars="200"/>
              <w:jc w:val="left"/>
              <w:rPr>
                <w:b/>
                <w:bCs/>
                <w:sz w:val="24"/>
              </w:rPr>
            </w:pPr>
            <w:r>
              <w:rPr>
                <w:rFonts w:hint="eastAsia"/>
                <w:b/>
                <w:bCs/>
                <w:sz w:val="24"/>
              </w:rPr>
              <w:t>2、运营期</w:t>
            </w:r>
          </w:p>
          <w:p w14:paraId="68BC564B">
            <w:pPr>
              <w:spacing w:line="360" w:lineRule="auto"/>
              <w:ind w:firstLine="480" w:firstLineChars="200"/>
              <w:jc w:val="left"/>
              <w:rPr>
                <w:bCs/>
                <w:sz w:val="24"/>
              </w:rPr>
            </w:pPr>
            <w:r>
              <w:rPr>
                <w:rFonts w:hint="eastAsia"/>
                <w:bCs/>
                <w:sz w:val="24"/>
                <w:lang w:val="en-US" w:eastAsia="zh-CN"/>
              </w:rPr>
              <w:t>本项目生产</w:t>
            </w:r>
            <w:r>
              <w:rPr>
                <w:rFonts w:hint="eastAsia"/>
                <w:bCs/>
                <w:sz w:val="24"/>
              </w:rPr>
              <w:t>工艺流程及产污节点见图2-</w:t>
            </w:r>
            <w:r>
              <w:rPr>
                <w:rFonts w:hint="eastAsia"/>
                <w:bCs/>
                <w:sz w:val="24"/>
                <w:lang w:val="en-US" w:eastAsia="zh-CN"/>
              </w:rPr>
              <w:t>2</w:t>
            </w:r>
            <w:r>
              <w:rPr>
                <w:rFonts w:hint="eastAsia"/>
                <w:bCs/>
                <w:sz w:val="24"/>
              </w:rPr>
              <w:t>。</w:t>
            </w:r>
          </w:p>
          <w:p w14:paraId="6E6B0FB3">
            <w:pPr>
              <w:spacing w:line="360" w:lineRule="auto"/>
              <w:ind w:firstLine="480" w:firstLineChars="200"/>
              <w:jc w:val="left"/>
              <w:rPr>
                <w:bCs/>
                <w:sz w:val="24"/>
              </w:rPr>
            </w:pPr>
          </w:p>
          <w:p w14:paraId="630C766B">
            <w:pPr>
              <w:spacing w:line="360" w:lineRule="auto"/>
              <w:ind w:firstLine="480" w:firstLineChars="200"/>
              <w:jc w:val="left"/>
              <w:rPr>
                <w:bCs/>
                <w:sz w:val="24"/>
              </w:rPr>
            </w:pPr>
          </w:p>
          <w:p w14:paraId="5A15A862">
            <w:pPr>
              <w:spacing w:line="360" w:lineRule="auto"/>
              <w:ind w:firstLine="480" w:firstLineChars="200"/>
              <w:jc w:val="left"/>
              <w:rPr>
                <w:bCs/>
                <w:sz w:val="24"/>
              </w:rPr>
            </w:pPr>
          </w:p>
          <w:p w14:paraId="3D74063F">
            <w:pPr>
              <w:spacing w:line="360" w:lineRule="auto"/>
              <w:ind w:firstLine="480" w:firstLineChars="200"/>
              <w:jc w:val="left"/>
              <w:rPr>
                <w:bCs/>
                <w:sz w:val="24"/>
              </w:rPr>
            </w:pPr>
          </w:p>
          <w:p w14:paraId="527B5CAA">
            <w:pPr>
              <w:spacing w:line="360" w:lineRule="auto"/>
              <w:ind w:firstLine="480" w:firstLineChars="200"/>
              <w:jc w:val="left"/>
              <w:rPr>
                <w:bCs/>
                <w:sz w:val="24"/>
              </w:rPr>
            </w:pPr>
          </w:p>
          <w:p w14:paraId="2E6152EF">
            <w:pPr>
              <w:spacing w:line="360" w:lineRule="auto"/>
              <w:ind w:firstLine="480" w:firstLineChars="200"/>
              <w:jc w:val="left"/>
              <w:rPr>
                <w:bCs/>
                <w:sz w:val="24"/>
              </w:rPr>
            </w:pPr>
          </w:p>
          <w:p w14:paraId="767AA2D9">
            <w:pPr>
              <w:spacing w:line="360" w:lineRule="auto"/>
              <w:ind w:firstLine="480" w:firstLineChars="200"/>
              <w:jc w:val="left"/>
              <w:rPr>
                <w:bCs/>
                <w:sz w:val="24"/>
              </w:rPr>
            </w:pPr>
          </w:p>
          <w:p w14:paraId="7B0E4021">
            <w:pPr>
              <w:spacing w:line="360" w:lineRule="auto"/>
              <w:ind w:firstLine="480" w:firstLineChars="200"/>
              <w:jc w:val="left"/>
              <w:rPr>
                <w:bCs/>
                <w:sz w:val="24"/>
              </w:rPr>
            </w:pPr>
          </w:p>
          <w:p w14:paraId="2C1C26D4">
            <w:pPr>
              <w:spacing w:line="360" w:lineRule="auto"/>
              <w:ind w:firstLine="480" w:firstLineChars="200"/>
              <w:jc w:val="left"/>
              <w:rPr>
                <w:bCs/>
                <w:sz w:val="24"/>
              </w:rPr>
            </w:pPr>
          </w:p>
          <w:p w14:paraId="053242DC">
            <w:pPr>
              <w:spacing w:line="360" w:lineRule="auto"/>
              <w:ind w:firstLine="480" w:firstLineChars="200"/>
              <w:jc w:val="left"/>
              <w:rPr>
                <w:bCs/>
                <w:sz w:val="24"/>
              </w:rPr>
            </w:pPr>
          </w:p>
          <w:p w14:paraId="6DFF9533">
            <w:pPr>
              <w:spacing w:line="360" w:lineRule="auto"/>
              <w:ind w:left="0" w:leftChars="0" w:right="0" w:rightChars="0" w:firstLine="0" w:firstLineChars="0"/>
              <w:jc w:val="center"/>
              <w:rPr>
                <w:bCs/>
                <w:sz w:val="24"/>
              </w:rPr>
            </w:pPr>
            <w:r>
              <w:drawing>
                <wp:inline distT="0" distB="0" distL="0" distR="0">
                  <wp:extent cx="5162550" cy="5539740"/>
                  <wp:effectExtent l="0" t="0" r="0" b="3810"/>
                  <wp:docPr id="1" name="图片 1" descr="C:/Users/Administrator/Desktop/除尘灰综合利用项目工艺流程.jpg除尘灰综合利用项目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除尘灰综合利用项目工艺流程.jpg除尘灰综合利用项目工艺流程"/>
                          <pic:cNvPicPr>
                            <a:picLocks noChangeAspect="1"/>
                          </pic:cNvPicPr>
                        </pic:nvPicPr>
                        <pic:blipFill>
                          <a:blip r:embed="rId10"/>
                          <a:srcRect t="2589" b="2589"/>
                          <a:stretch>
                            <a:fillRect/>
                          </a:stretch>
                        </pic:blipFill>
                        <pic:spPr>
                          <a:xfrm>
                            <a:off x="0" y="0"/>
                            <a:ext cx="5162550" cy="5539740"/>
                          </a:xfrm>
                          <a:prstGeom prst="rect">
                            <a:avLst/>
                          </a:prstGeom>
                        </pic:spPr>
                      </pic:pic>
                    </a:graphicData>
                  </a:graphic>
                </wp:inline>
              </w:drawing>
            </w:r>
          </w:p>
          <w:p w14:paraId="1303CCFD">
            <w:pPr>
              <w:spacing w:line="360" w:lineRule="auto"/>
              <w:ind w:firstLine="482" w:firstLineChars="200"/>
              <w:jc w:val="center"/>
              <w:rPr>
                <w:b/>
                <w:bCs/>
                <w:sz w:val="24"/>
              </w:rPr>
            </w:pPr>
            <w:r>
              <w:rPr>
                <w:rFonts w:hint="eastAsia"/>
                <w:b/>
                <w:bCs/>
                <w:sz w:val="24"/>
              </w:rPr>
              <w:t>图2-</w:t>
            </w:r>
            <w:r>
              <w:rPr>
                <w:rFonts w:hint="eastAsia"/>
                <w:b/>
                <w:bCs/>
                <w:sz w:val="24"/>
                <w:lang w:val="en-US" w:eastAsia="zh-CN"/>
              </w:rPr>
              <w:t>2生产</w:t>
            </w:r>
            <w:r>
              <w:rPr>
                <w:rFonts w:hint="eastAsia"/>
                <w:b/>
                <w:bCs/>
                <w:sz w:val="24"/>
              </w:rPr>
              <w:t>工艺流程及产污节点图</w:t>
            </w:r>
          </w:p>
          <w:p w14:paraId="776CE20D">
            <w:pPr>
              <w:spacing w:line="360" w:lineRule="auto"/>
              <w:ind w:firstLine="482" w:firstLineChars="200"/>
              <w:jc w:val="left"/>
              <w:rPr>
                <w:b/>
                <w:bCs/>
                <w:sz w:val="24"/>
              </w:rPr>
            </w:pPr>
            <w:r>
              <w:rPr>
                <w:rFonts w:hint="eastAsia"/>
                <w:b/>
                <w:bCs/>
                <w:sz w:val="24"/>
              </w:rPr>
              <w:t>工艺流程简述：</w:t>
            </w:r>
          </w:p>
          <w:p w14:paraId="71F07CD0">
            <w:pPr>
              <w:spacing w:line="360" w:lineRule="auto"/>
              <w:ind w:firstLine="482" w:firstLineChars="200"/>
              <w:jc w:val="left"/>
              <w:rPr>
                <w:rFonts w:hint="eastAsia"/>
                <w:bCs/>
                <w:sz w:val="24"/>
                <w:lang w:val="en-US" w:eastAsia="zh-CN"/>
              </w:rPr>
            </w:pPr>
            <w:r>
              <w:rPr>
                <w:rFonts w:hint="eastAsia"/>
                <w:b/>
                <w:bCs w:val="0"/>
                <w:sz w:val="24"/>
                <w:lang w:val="en-US" w:eastAsia="zh-CN"/>
              </w:rPr>
              <w:t>1、配料系统（配料、上料）</w:t>
            </w:r>
          </w:p>
          <w:p w14:paraId="2BFEE10E">
            <w:pPr>
              <w:spacing w:line="360" w:lineRule="auto"/>
              <w:ind w:firstLine="480" w:firstLineChars="200"/>
              <w:jc w:val="left"/>
              <w:rPr>
                <w:rFonts w:hint="default"/>
                <w:bCs/>
                <w:sz w:val="24"/>
                <w:lang w:val="en-US" w:eastAsia="zh-CN"/>
              </w:rPr>
            </w:pPr>
            <w:r>
              <w:rPr>
                <w:rFonts w:hint="default"/>
                <w:bCs/>
                <w:sz w:val="24"/>
                <w:lang w:val="en-US" w:eastAsia="zh-CN"/>
              </w:rPr>
              <w:t>正常生产时原料由罐车经压缩空气输送至配料室料仓，各原料分品种单独存放。配料室共6个仓，每个仓有效容积为250m</w:t>
            </w:r>
            <w:r>
              <w:rPr>
                <w:rFonts w:hint="eastAsia"/>
                <w:bCs/>
                <w:sz w:val="24"/>
                <w:vertAlign w:val="superscript"/>
                <w:lang w:val="en-US" w:eastAsia="zh-CN"/>
              </w:rPr>
              <w:t>3</w:t>
            </w:r>
            <w:r>
              <w:rPr>
                <w:rFonts w:hint="default"/>
                <w:bCs/>
                <w:sz w:val="24"/>
                <w:lang w:val="en-US" w:eastAsia="zh-CN"/>
              </w:rPr>
              <w:t>，其中高炉重力灰、炼钢灰各设置两个灰仓，燃料、除尘灰各设置一个灰仓。各原料仓设置料位计、高低料位计并设置高低料位报警</w:t>
            </w:r>
            <w:r>
              <w:rPr>
                <w:rFonts w:hint="eastAsia"/>
                <w:bCs/>
                <w:sz w:val="24"/>
                <w:lang w:val="en-US" w:eastAsia="zh-CN"/>
              </w:rPr>
              <w:t>，</w:t>
            </w:r>
            <w:r>
              <w:rPr>
                <w:rFonts w:hint="default"/>
                <w:bCs/>
                <w:sz w:val="24"/>
                <w:lang w:val="en-US" w:eastAsia="zh-CN"/>
              </w:rPr>
              <w:t>每个仓顶顶部设脉冲除尘器与安全泄放系统</w:t>
            </w:r>
            <w:r>
              <w:rPr>
                <w:rFonts w:hint="eastAsia"/>
                <w:bCs/>
                <w:sz w:val="24"/>
                <w:lang w:val="en-US" w:eastAsia="zh-CN"/>
              </w:rPr>
              <w:t>。该工序产生的污染物主要为粉尘、设备噪声。</w:t>
            </w:r>
          </w:p>
          <w:p w14:paraId="5EC5196F">
            <w:pPr>
              <w:spacing w:line="360" w:lineRule="auto"/>
              <w:ind w:firstLine="480" w:firstLineChars="200"/>
              <w:jc w:val="left"/>
              <w:rPr>
                <w:rFonts w:hint="default"/>
                <w:bCs/>
                <w:sz w:val="24"/>
                <w:lang w:val="en-US" w:eastAsia="zh-CN"/>
              </w:rPr>
            </w:pPr>
          </w:p>
          <w:p w14:paraId="2497F846">
            <w:pPr>
              <w:spacing w:line="360" w:lineRule="auto"/>
              <w:ind w:firstLine="482" w:firstLineChars="200"/>
              <w:jc w:val="left"/>
              <w:rPr>
                <w:rFonts w:hint="eastAsia"/>
                <w:bCs/>
                <w:sz w:val="24"/>
                <w:lang w:val="en-US" w:eastAsia="zh-CN"/>
              </w:rPr>
            </w:pPr>
            <w:r>
              <w:rPr>
                <w:rFonts w:hint="eastAsia"/>
                <w:b/>
                <w:bCs w:val="0"/>
                <w:sz w:val="24"/>
                <w:lang w:val="en-US" w:eastAsia="zh-CN"/>
              </w:rPr>
              <w:t>2、混合造球系统（混合、造球）</w:t>
            </w:r>
          </w:p>
          <w:p w14:paraId="5CDE29B4">
            <w:pPr>
              <w:spacing w:line="360" w:lineRule="auto"/>
              <w:ind w:firstLine="480" w:firstLineChars="200"/>
              <w:jc w:val="left"/>
              <w:rPr>
                <w:rFonts w:hint="default"/>
                <w:bCs/>
                <w:sz w:val="24"/>
                <w:lang w:val="en-US" w:eastAsia="zh-CN"/>
              </w:rPr>
            </w:pPr>
            <w:r>
              <w:rPr>
                <w:rFonts w:hint="default"/>
                <w:bCs/>
                <w:sz w:val="24"/>
                <w:lang w:val="en-US" w:eastAsia="zh-CN"/>
              </w:rPr>
              <w:t>为改善物料在窑中的流动性、粘附性、粒径均匀度和透气性，缓解回转窑结圈及降低烟气含尘量，设计采用立式强力混合机和圆盘</w:t>
            </w:r>
            <w:r>
              <w:rPr>
                <w:rFonts w:hint="eastAsia"/>
                <w:bCs/>
                <w:sz w:val="24"/>
                <w:lang w:val="en-US" w:eastAsia="zh-CN"/>
              </w:rPr>
              <w:t>造球</w:t>
            </w:r>
            <w:r>
              <w:rPr>
                <w:rFonts w:hint="default"/>
                <w:bCs/>
                <w:sz w:val="24"/>
                <w:lang w:val="en-US" w:eastAsia="zh-CN"/>
              </w:rPr>
              <w:t>(做全密封罩)的方案。混合的目的是加水并使混合料完全混匀，圆盘</w:t>
            </w:r>
            <w:r>
              <w:rPr>
                <w:rFonts w:hint="eastAsia"/>
                <w:bCs/>
                <w:sz w:val="24"/>
                <w:lang w:val="en-US" w:eastAsia="zh-CN"/>
              </w:rPr>
              <w:t>造球</w:t>
            </w:r>
            <w:r>
              <w:rPr>
                <w:rFonts w:hint="default"/>
                <w:bCs/>
                <w:sz w:val="24"/>
                <w:lang w:val="en-US" w:eastAsia="zh-CN"/>
              </w:rPr>
              <w:t>目的是制粒并调整混合料</w:t>
            </w:r>
            <w:r>
              <w:rPr>
                <w:rFonts w:hint="eastAsia"/>
                <w:bCs/>
                <w:sz w:val="24"/>
                <w:lang w:val="en-US" w:eastAsia="zh-CN"/>
              </w:rPr>
              <w:t>水分</w:t>
            </w:r>
            <w:r>
              <w:rPr>
                <w:rFonts w:hint="default"/>
                <w:bCs/>
                <w:sz w:val="24"/>
                <w:lang w:val="en-US" w:eastAsia="zh-CN"/>
              </w:rPr>
              <w:t>。</w:t>
            </w:r>
          </w:p>
          <w:p w14:paraId="2C1300FA">
            <w:pPr>
              <w:spacing w:line="360" w:lineRule="auto"/>
              <w:ind w:firstLine="480" w:firstLineChars="200"/>
              <w:jc w:val="left"/>
              <w:rPr>
                <w:rFonts w:hint="eastAsia"/>
                <w:bCs/>
                <w:sz w:val="24"/>
                <w:lang w:val="en-US" w:eastAsia="zh-CN"/>
              </w:rPr>
            </w:pPr>
            <w:r>
              <w:rPr>
                <w:rFonts w:hint="default"/>
                <w:bCs/>
                <w:sz w:val="24"/>
                <w:lang w:val="en-US" w:eastAsia="zh-CN"/>
              </w:rPr>
              <w:t>原料储存及配料工序的原辅料、返料经胶带输送机转运送至强力混合机，在混合机内加入一定量的水进行混合，强力混合机设置过载电流故障报警。经过强力混合机混合后落入皮带机，通过皮带机将混合料送至圆盘</w:t>
            </w:r>
            <w:r>
              <w:rPr>
                <w:rFonts w:hint="eastAsia"/>
                <w:bCs/>
                <w:sz w:val="24"/>
                <w:lang w:val="en-US" w:eastAsia="zh-CN"/>
              </w:rPr>
              <w:t>造球</w:t>
            </w:r>
            <w:r>
              <w:rPr>
                <w:rFonts w:hint="default"/>
                <w:bCs/>
                <w:sz w:val="24"/>
                <w:lang w:val="en-US" w:eastAsia="zh-CN"/>
              </w:rPr>
              <w:t>机进行造球。设置备用旁通溜槽，在强力混合机故障时回转窑生产能够连续进行。造球过程中根据实际需求加入一定量的水，使造球物料的含</w:t>
            </w:r>
            <w:r>
              <w:rPr>
                <w:rFonts w:hint="eastAsia"/>
                <w:bCs/>
                <w:sz w:val="24"/>
                <w:lang w:val="en-US" w:eastAsia="zh-CN"/>
              </w:rPr>
              <w:t>水</w:t>
            </w:r>
            <w:r>
              <w:rPr>
                <w:rFonts w:hint="default"/>
                <w:bCs/>
                <w:sz w:val="24"/>
                <w:lang w:val="en-US" w:eastAsia="zh-CN"/>
              </w:rPr>
              <w:t>保持</w:t>
            </w:r>
            <w:r>
              <w:rPr>
                <w:rFonts w:hint="eastAsia"/>
                <w:bCs/>
                <w:sz w:val="24"/>
                <w:lang w:val="en-US" w:eastAsia="zh-CN"/>
              </w:rPr>
              <w:t>10%—12%；</w:t>
            </w:r>
            <w:r>
              <w:rPr>
                <w:rFonts w:hint="default"/>
                <w:bCs/>
                <w:sz w:val="24"/>
                <w:lang w:val="en-US" w:eastAsia="zh-CN"/>
              </w:rPr>
              <w:t>造球后的球状物料通过胶带输送机送至回转窑还原工序</w:t>
            </w:r>
            <w:r>
              <w:rPr>
                <w:rFonts w:hint="eastAsia"/>
                <w:bCs/>
                <w:sz w:val="24"/>
                <w:lang w:val="en-US" w:eastAsia="zh-CN"/>
              </w:rPr>
              <w:t>。</w:t>
            </w:r>
          </w:p>
          <w:p w14:paraId="0B136601">
            <w:pPr>
              <w:spacing w:line="360" w:lineRule="auto"/>
              <w:ind w:firstLine="480" w:firstLineChars="200"/>
              <w:jc w:val="left"/>
              <w:rPr>
                <w:rFonts w:hint="default"/>
                <w:bCs/>
                <w:sz w:val="24"/>
                <w:lang w:val="en-US" w:eastAsia="zh-CN"/>
              </w:rPr>
            </w:pPr>
            <w:r>
              <w:rPr>
                <w:rFonts w:hint="default"/>
                <w:bCs/>
                <w:sz w:val="24"/>
                <w:lang w:val="en-US" w:eastAsia="zh-CN"/>
              </w:rPr>
              <w:t>本项目拟选用立式强力混合机一台，混合能力为60th。选用一台直径7.5m圆盘造球机一台，处理能力为60t/h。本项目一期建设一台直径7.5m圆盘造球机，预留二期圆盘造球机建设位置，稳定生产，在生球输送中间转运站设置缓冲仓，仓下设置2个出口，每个出口下设置皮带秤实现定量向每个回转窑供料。</w:t>
            </w:r>
            <w:r>
              <w:rPr>
                <w:rFonts w:hint="eastAsia"/>
                <w:bCs/>
                <w:sz w:val="24"/>
                <w:lang w:val="en-US" w:eastAsia="zh-CN"/>
              </w:rPr>
              <w:t>该工序产生的污染物主要为粉尘、设备噪声。</w:t>
            </w:r>
          </w:p>
          <w:p w14:paraId="479E5187">
            <w:pPr>
              <w:spacing w:line="360" w:lineRule="auto"/>
              <w:ind w:firstLine="482" w:firstLineChars="200"/>
              <w:jc w:val="left"/>
              <w:rPr>
                <w:rFonts w:hint="eastAsia"/>
                <w:b/>
                <w:bCs w:val="0"/>
                <w:sz w:val="24"/>
                <w:lang w:val="en-US" w:eastAsia="zh-CN"/>
              </w:rPr>
            </w:pPr>
            <w:r>
              <w:rPr>
                <w:rFonts w:hint="eastAsia"/>
                <w:b/>
                <w:bCs w:val="0"/>
                <w:sz w:val="24"/>
                <w:lang w:val="en-US" w:eastAsia="zh-CN"/>
              </w:rPr>
              <w:t>3、回转窑煅烧系统（回转窑）</w:t>
            </w:r>
          </w:p>
          <w:p w14:paraId="2298B106">
            <w:pPr>
              <w:spacing w:line="360" w:lineRule="auto"/>
              <w:ind w:firstLine="480" w:firstLineChars="200"/>
              <w:jc w:val="left"/>
              <w:rPr>
                <w:rFonts w:hint="eastAsia"/>
                <w:bCs/>
                <w:sz w:val="24"/>
                <w:lang w:val="en-US" w:eastAsia="zh-CN"/>
              </w:rPr>
            </w:pPr>
            <w:r>
              <w:rPr>
                <w:rFonts w:hint="eastAsia"/>
                <w:bCs/>
                <w:sz w:val="24"/>
                <w:lang w:val="en-US" w:eastAsia="zh-CN"/>
              </w:rPr>
              <w:t>圆盘造球机出口湿球经过皮带输送至沉降室上部进料口小斗，通过下料溜槽流入回转窑窑尾部，流入的物料在回转窑中旋转从窑尾部向回转窑头部流动。</w:t>
            </w:r>
          </w:p>
          <w:p w14:paraId="478FBFE9">
            <w:pPr>
              <w:spacing w:line="360" w:lineRule="auto"/>
              <w:ind w:firstLine="480" w:firstLineChars="200"/>
              <w:jc w:val="left"/>
              <w:rPr>
                <w:rFonts w:hint="eastAsia"/>
                <w:bCs/>
                <w:sz w:val="24"/>
                <w:lang w:val="en-US" w:eastAsia="zh-CN"/>
              </w:rPr>
            </w:pPr>
            <w:r>
              <w:rPr>
                <w:rFonts w:hint="eastAsia"/>
                <w:bCs/>
                <w:sz w:val="24"/>
                <w:lang w:val="en-US" w:eastAsia="zh-CN"/>
              </w:rPr>
              <w:t>物料在回转窑向前流动的过程中，被加热到一定温度，当混合料处在1100~1250℃的还原工作气氛（还原剂由原料及焦粉中的碳提供）下时，其中的锌氧化物可以还原成金属锌蒸气。锌蒸气和空气中的氧气结合生成次氧化锌。整个生产过程中，主要反应方程式为：</w:t>
            </w:r>
          </w:p>
          <w:p w14:paraId="4F5CBE83">
            <w:pPr>
              <w:spacing w:line="360" w:lineRule="auto"/>
              <w:ind w:left="0" w:leftChars="0" w:right="0" w:rightChars="0" w:firstLine="0" w:firstLineChars="0"/>
              <w:jc w:val="center"/>
              <w:rPr>
                <w:rFonts w:hint="eastAsia"/>
                <w:bCs/>
                <w:sz w:val="24"/>
                <w:lang w:val="en-US" w:eastAsia="zh-CN"/>
              </w:rPr>
            </w:pPr>
            <w:r>
              <w:rPr>
                <w:rFonts w:hint="eastAsia"/>
                <w:bCs/>
                <w:sz w:val="24"/>
                <w:lang w:val="en-US" w:eastAsia="zh-CN"/>
              </w:rPr>
              <w:t>2C+O</w:t>
            </w:r>
            <w:r>
              <w:rPr>
                <w:rFonts w:hint="eastAsia"/>
                <w:bCs/>
                <w:sz w:val="24"/>
                <w:vertAlign w:val="subscript"/>
                <w:lang w:val="en-US" w:eastAsia="zh-CN"/>
              </w:rPr>
              <w:t>2</w:t>
            </w:r>
            <w:r>
              <w:rPr>
                <w:rFonts w:hint="eastAsia"/>
                <w:bCs/>
                <w:sz w:val="24"/>
                <w:lang w:val="en-US" w:eastAsia="zh-CN"/>
              </w:rPr>
              <w:t>=2CO</w:t>
            </w:r>
          </w:p>
          <w:p w14:paraId="6915EC1B">
            <w:pPr>
              <w:spacing w:line="360" w:lineRule="auto"/>
              <w:ind w:left="0" w:leftChars="0" w:right="0" w:rightChars="0" w:firstLine="0" w:firstLineChars="0"/>
              <w:jc w:val="center"/>
              <w:rPr>
                <w:rFonts w:hint="eastAsia"/>
                <w:bCs/>
                <w:sz w:val="24"/>
                <w:lang w:val="en-US" w:eastAsia="zh-CN"/>
              </w:rPr>
            </w:pPr>
            <w:r>
              <w:rPr>
                <w:rFonts w:hint="eastAsia"/>
                <w:bCs/>
                <w:sz w:val="24"/>
                <w:lang w:val="en-US" w:eastAsia="zh-CN"/>
              </w:rPr>
              <w:t>CO+ZnO=CO</w:t>
            </w:r>
            <w:r>
              <w:rPr>
                <w:rFonts w:hint="eastAsia"/>
                <w:bCs/>
                <w:sz w:val="24"/>
                <w:vertAlign w:val="subscript"/>
                <w:lang w:val="en-US" w:eastAsia="zh-CN"/>
              </w:rPr>
              <w:t>2</w:t>
            </w:r>
            <w:r>
              <w:rPr>
                <w:rFonts w:hint="eastAsia"/>
                <w:bCs/>
                <w:sz w:val="24"/>
                <w:lang w:val="en-US" w:eastAsia="zh-CN"/>
              </w:rPr>
              <w:t>+Zn</w:t>
            </w:r>
          </w:p>
          <w:p w14:paraId="39EBFA33">
            <w:pPr>
              <w:spacing w:line="360" w:lineRule="auto"/>
              <w:ind w:left="0" w:leftChars="0" w:right="0" w:rightChars="0" w:firstLine="0" w:firstLineChars="0"/>
              <w:jc w:val="center"/>
              <w:rPr>
                <w:rFonts w:hint="default"/>
                <w:bCs/>
                <w:sz w:val="24"/>
                <w:lang w:val="en-US" w:eastAsia="zh-CN"/>
              </w:rPr>
            </w:pPr>
            <w:r>
              <w:rPr>
                <w:rFonts w:hint="eastAsia"/>
                <w:bCs/>
                <w:sz w:val="24"/>
                <w:lang w:val="en-US" w:eastAsia="zh-CN"/>
              </w:rPr>
              <w:t>2Zn+O</w:t>
            </w:r>
            <w:r>
              <w:rPr>
                <w:rFonts w:hint="eastAsia"/>
                <w:bCs/>
                <w:sz w:val="24"/>
                <w:vertAlign w:val="subscript"/>
                <w:lang w:val="en-US" w:eastAsia="zh-CN"/>
              </w:rPr>
              <w:t>2</w:t>
            </w:r>
            <w:r>
              <w:rPr>
                <w:rFonts w:hint="eastAsia"/>
                <w:bCs/>
                <w:sz w:val="24"/>
                <w:lang w:val="en-US" w:eastAsia="zh-CN"/>
              </w:rPr>
              <w:t>=2ZnO</w:t>
            </w:r>
          </w:p>
          <w:p w14:paraId="22F45BA3">
            <w:pPr>
              <w:spacing w:line="360" w:lineRule="auto"/>
              <w:ind w:firstLine="480" w:firstLineChars="200"/>
              <w:jc w:val="left"/>
              <w:rPr>
                <w:rFonts w:hint="eastAsia"/>
                <w:bCs/>
                <w:sz w:val="24"/>
                <w:lang w:val="en-US" w:eastAsia="zh-CN"/>
              </w:rPr>
            </w:pPr>
            <w:r>
              <w:rPr>
                <w:rFonts w:hint="eastAsia"/>
                <w:bCs/>
                <w:sz w:val="24"/>
                <w:lang w:val="en-US" w:eastAsia="zh-CN"/>
              </w:rPr>
              <w:t>本项目产品技术指标详见表2-10。</w:t>
            </w:r>
          </w:p>
          <w:p w14:paraId="0533437C">
            <w:pPr>
              <w:spacing w:line="360" w:lineRule="auto"/>
              <w:ind w:firstLine="480" w:firstLineChars="200"/>
              <w:jc w:val="left"/>
              <w:rPr>
                <w:rFonts w:hint="eastAsia"/>
                <w:bCs/>
                <w:sz w:val="24"/>
                <w:lang w:val="en-US" w:eastAsia="zh-CN"/>
              </w:rPr>
            </w:pPr>
          </w:p>
          <w:p w14:paraId="17ED06F8">
            <w:pPr>
              <w:pStyle w:val="48"/>
              <w:numPr>
                <w:ilvl w:val="2"/>
                <w:numId w:val="2"/>
              </w:numPr>
              <w:spacing w:line="500" w:lineRule="atLeast"/>
              <w:ind w:firstLineChars="0"/>
              <w:jc w:val="center"/>
              <w:rPr>
                <w:rFonts w:hint="default"/>
                <w:bCs/>
                <w:sz w:val="24"/>
                <w:lang w:val="en-US" w:eastAsia="zh-CN"/>
              </w:rPr>
            </w:pPr>
            <w:r>
              <w:rPr>
                <w:rFonts w:hint="eastAsia" w:ascii="Times New Roman" w:hAnsi="Times New Roman" w:eastAsia="宋体" w:cs="Times New Roman"/>
                <w:b/>
                <w:sz w:val="24"/>
                <w:lang w:val="en-US" w:eastAsia="zh-CN"/>
              </w:rPr>
              <w:t>产品技术指标表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2645"/>
              <w:gridCol w:w="2646"/>
            </w:tblGrid>
            <w:tr w14:paraId="5464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4" w:type="dxa"/>
                  <w:vAlign w:val="center"/>
                </w:tcPr>
                <w:p w14:paraId="799E694E">
                  <w:pPr>
                    <w:spacing w:line="0" w:lineRule="atLeast"/>
                    <w:ind w:left="0" w:leftChars="0" w:right="0" w:rightChars="0" w:firstLine="0" w:firstLineChars="0"/>
                    <w:jc w:val="center"/>
                    <w:rPr>
                      <w:rFonts w:hint="default" w:ascii="Times New Roman" w:hAnsi="宋体" w:eastAsia="宋体" w:cs="Times New Roman"/>
                      <w:lang w:val="en-US" w:eastAsia="zh-CN"/>
                    </w:rPr>
                  </w:pPr>
                  <w:r>
                    <w:rPr>
                      <w:rFonts w:hint="eastAsia" w:ascii="Times New Roman" w:hAnsi="宋体" w:eastAsia="宋体" w:cs="Times New Roman"/>
                      <w:lang w:val="en-US" w:eastAsia="zh-CN"/>
                    </w:rPr>
                    <w:t>序号</w:t>
                  </w:r>
                </w:p>
              </w:tc>
              <w:tc>
                <w:tcPr>
                  <w:tcW w:w="2645" w:type="dxa"/>
                  <w:vAlign w:val="center"/>
                </w:tcPr>
                <w:p w14:paraId="002885B5">
                  <w:pPr>
                    <w:spacing w:line="0" w:lineRule="atLeast"/>
                    <w:ind w:left="0" w:leftChars="0" w:right="0" w:rightChars="0" w:firstLine="0" w:firstLineChars="0"/>
                    <w:jc w:val="center"/>
                    <w:rPr>
                      <w:rFonts w:hint="default" w:ascii="Times New Roman" w:hAnsi="宋体" w:eastAsia="宋体" w:cs="Times New Roman"/>
                      <w:lang w:val="en-US" w:eastAsia="zh-CN"/>
                    </w:rPr>
                  </w:pPr>
                  <w:r>
                    <w:rPr>
                      <w:rFonts w:hint="eastAsia" w:ascii="Times New Roman" w:hAnsi="宋体" w:eastAsia="宋体" w:cs="Times New Roman"/>
                      <w:lang w:val="en-US" w:eastAsia="zh-CN"/>
                    </w:rPr>
                    <w:t>技术指标</w:t>
                  </w:r>
                </w:p>
              </w:tc>
              <w:tc>
                <w:tcPr>
                  <w:tcW w:w="2646" w:type="dxa"/>
                  <w:vAlign w:val="center"/>
                </w:tcPr>
                <w:p w14:paraId="61AFD10D">
                  <w:pPr>
                    <w:spacing w:line="0" w:lineRule="atLeast"/>
                    <w:ind w:left="0" w:leftChars="0" w:right="0" w:rightChars="0" w:firstLine="0" w:firstLineChars="0"/>
                    <w:jc w:val="center"/>
                    <w:rPr>
                      <w:rFonts w:hint="default" w:ascii="Times New Roman" w:hAnsi="宋体" w:eastAsia="宋体" w:cs="Times New Roman"/>
                      <w:lang w:val="en-US" w:eastAsia="zh-CN"/>
                    </w:rPr>
                  </w:pPr>
                  <w:r>
                    <w:rPr>
                      <w:rFonts w:hint="eastAsia" w:ascii="Times New Roman" w:hAnsi="宋体" w:eastAsia="宋体" w:cs="Times New Roman"/>
                      <w:lang w:val="en-US" w:eastAsia="zh-CN"/>
                    </w:rPr>
                    <w:t>数量</w:t>
                  </w:r>
                </w:p>
              </w:tc>
            </w:tr>
            <w:tr w14:paraId="582B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4" w:type="dxa"/>
                  <w:vAlign w:val="center"/>
                </w:tcPr>
                <w:p w14:paraId="18D66213">
                  <w:pPr>
                    <w:spacing w:line="0" w:lineRule="atLeast"/>
                    <w:ind w:left="0" w:leftChars="0" w:right="0" w:rightChars="0" w:firstLine="0" w:firstLineChars="0"/>
                    <w:jc w:val="center"/>
                    <w:rPr>
                      <w:rFonts w:hint="default" w:ascii="Times New Roman" w:hAnsi="宋体" w:eastAsia="宋体" w:cs="Times New Roman"/>
                      <w:lang w:val="en-US" w:eastAsia="zh-CN"/>
                    </w:rPr>
                  </w:pPr>
                  <w:r>
                    <w:rPr>
                      <w:rFonts w:hint="eastAsia" w:ascii="Times New Roman" w:hAnsi="宋体" w:eastAsia="宋体" w:cs="Times New Roman"/>
                      <w:lang w:val="en-US" w:eastAsia="zh-CN"/>
                    </w:rPr>
                    <w:t>1</w:t>
                  </w:r>
                </w:p>
              </w:tc>
              <w:tc>
                <w:tcPr>
                  <w:tcW w:w="2645" w:type="dxa"/>
                  <w:shd w:val="clear" w:color="auto" w:fill="auto"/>
                  <w:vAlign w:val="center"/>
                </w:tcPr>
                <w:p w14:paraId="243F3FE3">
                  <w:pPr>
                    <w:spacing w:line="0" w:lineRule="atLeast"/>
                    <w:ind w:left="0" w:leftChars="0" w:right="0" w:rightChars="0" w:firstLine="0" w:firstLineChars="0"/>
                    <w:jc w:val="center"/>
                    <w:rPr>
                      <w:rFonts w:hint="default" w:ascii="Times New Roman" w:hAnsi="宋体" w:eastAsia="宋体" w:cs="Times New Roman"/>
                      <w:kern w:val="2"/>
                      <w:sz w:val="21"/>
                      <w:szCs w:val="24"/>
                      <w:lang w:val="en-US" w:eastAsia="zh-CN" w:bidi="ar-SA"/>
                    </w:rPr>
                  </w:pPr>
                  <w:r>
                    <w:rPr>
                      <w:rFonts w:hint="eastAsia" w:ascii="Times New Roman" w:hAnsi="宋体" w:eastAsia="宋体" w:cs="Times New Roman"/>
                      <w:lang w:val="en-US" w:eastAsia="zh-CN"/>
                    </w:rPr>
                    <w:t>脱锌率</w:t>
                  </w:r>
                </w:p>
              </w:tc>
              <w:tc>
                <w:tcPr>
                  <w:tcW w:w="2646" w:type="dxa"/>
                  <w:shd w:val="clear" w:color="auto" w:fill="auto"/>
                  <w:vAlign w:val="center"/>
                </w:tcPr>
                <w:p w14:paraId="31BDF2AE">
                  <w:pPr>
                    <w:spacing w:line="0" w:lineRule="atLeast"/>
                    <w:ind w:left="0" w:leftChars="0" w:right="0" w:rightChars="0" w:firstLine="0" w:firstLineChars="0"/>
                    <w:jc w:val="center"/>
                    <w:rPr>
                      <w:rFonts w:hint="default" w:ascii="Times New Roman" w:hAnsi="宋体" w:eastAsia="宋体" w:cs="Times New Roman"/>
                      <w:kern w:val="2"/>
                      <w:sz w:val="21"/>
                      <w:szCs w:val="24"/>
                      <w:lang w:val="en-US" w:eastAsia="zh-CN" w:bidi="ar-SA"/>
                    </w:rPr>
                  </w:pPr>
                  <w:r>
                    <w:rPr>
                      <w:rFonts w:hint="eastAsia" w:ascii="Times New Roman" w:hAnsi="宋体" w:eastAsia="宋体" w:cs="Times New Roman"/>
                      <w:lang w:val="en-US" w:eastAsia="zh-CN"/>
                    </w:rPr>
                    <w:t>≥85%</w:t>
                  </w:r>
                </w:p>
              </w:tc>
            </w:tr>
            <w:tr w14:paraId="4D41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4" w:type="dxa"/>
                  <w:vAlign w:val="center"/>
                </w:tcPr>
                <w:p w14:paraId="1D674680">
                  <w:pPr>
                    <w:spacing w:line="0" w:lineRule="atLeast"/>
                    <w:ind w:left="0" w:leftChars="0" w:right="0" w:rightChars="0" w:firstLine="0" w:firstLineChars="0"/>
                    <w:jc w:val="center"/>
                    <w:rPr>
                      <w:rFonts w:hint="default" w:ascii="Times New Roman" w:hAnsi="宋体" w:eastAsia="宋体" w:cs="Times New Roman"/>
                      <w:lang w:val="en-US" w:eastAsia="zh-CN"/>
                    </w:rPr>
                  </w:pPr>
                  <w:r>
                    <w:rPr>
                      <w:rFonts w:hint="eastAsia" w:ascii="Times New Roman" w:hAnsi="宋体" w:eastAsia="宋体" w:cs="Times New Roman"/>
                      <w:lang w:val="en-US" w:eastAsia="zh-CN"/>
                    </w:rPr>
                    <w:t>2</w:t>
                  </w:r>
                </w:p>
              </w:tc>
              <w:tc>
                <w:tcPr>
                  <w:tcW w:w="2645" w:type="dxa"/>
                  <w:shd w:val="clear" w:color="auto" w:fill="auto"/>
                  <w:vAlign w:val="center"/>
                </w:tcPr>
                <w:p w14:paraId="0B7EE359">
                  <w:pPr>
                    <w:spacing w:line="0" w:lineRule="atLeast"/>
                    <w:ind w:left="0" w:leftChars="0" w:right="0" w:rightChars="0" w:firstLine="0" w:firstLineChars="0"/>
                    <w:jc w:val="center"/>
                    <w:rPr>
                      <w:rFonts w:hint="default" w:ascii="Times New Roman" w:hAnsi="宋体" w:eastAsia="宋体" w:cs="Times New Roman"/>
                      <w:kern w:val="2"/>
                      <w:sz w:val="21"/>
                      <w:szCs w:val="24"/>
                      <w:lang w:val="en-US" w:eastAsia="zh-CN" w:bidi="ar-SA"/>
                    </w:rPr>
                  </w:pPr>
                  <w:r>
                    <w:rPr>
                      <w:rFonts w:hint="eastAsia" w:ascii="Times New Roman" w:hAnsi="宋体" w:eastAsia="宋体" w:cs="Times New Roman"/>
                      <w:lang w:val="en-US" w:eastAsia="zh-CN"/>
                    </w:rPr>
                    <w:t>次氧化锌粉品</w:t>
                  </w:r>
                  <w:r>
                    <w:rPr>
                      <w:rFonts w:hint="eastAsia" w:hAnsi="宋体" w:cs="Times New Roman"/>
                      <w:lang w:val="en-US" w:eastAsia="zh-CN"/>
                    </w:rPr>
                    <w:t>位</w:t>
                  </w:r>
                </w:p>
              </w:tc>
              <w:tc>
                <w:tcPr>
                  <w:tcW w:w="2646" w:type="dxa"/>
                  <w:shd w:val="clear" w:color="auto" w:fill="auto"/>
                  <w:vAlign w:val="center"/>
                </w:tcPr>
                <w:p w14:paraId="2F197405">
                  <w:pPr>
                    <w:spacing w:line="0" w:lineRule="atLeast"/>
                    <w:ind w:left="0" w:leftChars="0" w:right="0" w:rightChars="0" w:firstLine="0" w:firstLineChars="0"/>
                    <w:jc w:val="center"/>
                    <w:rPr>
                      <w:rFonts w:hint="default" w:ascii="Times New Roman" w:hAnsi="宋体" w:eastAsia="宋体" w:cs="Times New Roman"/>
                      <w:kern w:val="2"/>
                      <w:sz w:val="21"/>
                      <w:szCs w:val="24"/>
                      <w:lang w:val="en-US" w:eastAsia="zh-CN" w:bidi="ar-SA"/>
                    </w:rPr>
                  </w:pPr>
                  <w:r>
                    <w:rPr>
                      <w:rFonts w:hint="eastAsia" w:hAnsi="宋体" w:cs="Times New Roman"/>
                      <w:lang w:val="en-US" w:eastAsia="zh-CN"/>
                    </w:rPr>
                    <w:t>25%—50%</w:t>
                  </w:r>
                </w:p>
              </w:tc>
            </w:tr>
          </w:tbl>
          <w:p w14:paraId="5188E4DF">
            <w:pPr>
              <w:spacing w:line="360" w:lineRule="auto"/>
              <w:ind w:firstLine="480" w:firstLineChars="200"/>
              <w:jc w:val="left"/>
              <w:rPr>
                <w:rFonts w:hint="eastAsia"/>
                <w:bCs/>
                <w:sz w:val="24"/>
                <w:lang w:val="en-US" w:eastAsia="zh-CN"/>
              </w:rPr>
            </w:pPr>
            <w:r>
              <w:rPr>
                <w:rFonts w:hint="eastAsia"/>
                <w:bCs/>
                <w:sz w:val="24"/>
                <w:lang w:val="en-US" w:eastAsia="zh-CN"/>
              </w:rPr>
              <w:t>整个回转窑煅烧过程中，窑内部为负压状态。锌蒸气及部分次氧化物在烟气流动过程中沉降冷却，最后被收锌布袋收尘器收集。该工序产生的污染物主要为窑头窑尾粉尘、回转窑烟气、窑渣、废耐火材料。</w:t>
            </w:r>
          </w:p>
          <w:p w14:paraId="5167C4B7">
            <w:pPr>
              <w:spacing w:line="360" w:lineRule="auto"/>
              <w:ind w:firstLine="482" w:firstLineChars="200"/>
              <w:jc w:val="left"/>
              <w:rPr>
                <w:rFonts w:hint="default"/>
                <w:b/>
                <w:bCs w:val="0"/>
                <w:sz w:val="24"/>
                <w:lang w:val="en-US" w:eastAsia="zh-CN"/>
              </w:rPr>
            </w:pPr>
            <w:r>
              <w:rPr>
                <w:rFonts w:hint="eastAsia"/>
                <w:b/>
                <w:bCs w:val="0"/>
                <w:sz w:val="24"/>
                <w:lang w:val="en-US" w:eastAsia="zh-CN"/>
              </w:rPr>
              <w:t>4、窑渣冷却及储存系统</w:t>
            </w:r>
          </w:p>
          <w:p w14:paraId="072D7316">
            <w:pPr>
              <w:spacing w:line="360" w:lineRule="auto"/>
              <w:ind w:firstLine="480" w:firstLineChars="200"/>
              <w:jc w:val="left"/>
              <w:rPr>
                <w:rFonts w:hint="eastAsia"/>
                <w:bCs/>
                <w:sz w:val="24"/>
                <w:lang w:val="en-US" w:eastAsia="zh-CN"/>
              </w:rPr>
            </w:pPr>
            <w:r>
              <w:rPr>
                <w:rFonts w:hint="eastAsia"/>
                <w:bCs/>
                <w:sz w:val="24"/>
                <w:lang w:val="en-US" w:eastAsia="zh-CN"/>
              </w:rPr>
              <w:t>本工程窑渣冷却采用水淬方式。回转窑炉渣冲入渣池水冷却、然后抓斗行车上车汽车转运，返回厂区内钢铁生产工序综合利用。</w:t>
            </w:r>
          </w:p>
          <w:p w14:paraId="57C1722C">
            <w:pPr>
              <w:spacing w:line="360" w:lineRule="auto"/>
              <w:ind w:firstLine="482" w:firstLineChars="200"/>
              <w:jc w:val="left"/>
              <w:rPr>
                <w:rFonts w:hint="eastAsia"/>
                <w:b/>
                <w:bCs w:val="0"/>
                <w:sz w:val="24"/>
                <w:lang w:val="en-US" w:eastAsia="zh-CN"/>
              </w:rPr>
            </w:pPr>
            <w:r>
              <w:rPr>
                <w:rFonts w:hint="eastAsia"/>
                <w:b/>
                <w:bCs w:val="0"/>
                <w:sz w:val="24"/>
                <w:lang w:val="en-US" w:eastAsia="zh-CN"/>
              </w:rPr>
              <w:t>5、次氧化锌粉收集及储存系统</w:t>
            </w:r>
          </w:p>
          <w:p w14:paraId="447D4222">
            <w:pPr>
              <w:spacing w:line="360" w:lineRule="auto"/>
              <w:ind w:firstLine="480" w:firstLineChars="200"/>
              <w:jc w:val="left"/>
              <w:rPr>
                <w:rFonts w:hint="default"/>
                <w:bCs/>
                <w:sz w:val="24"/>
                <w:lang w:val="en-US" w:eastAsia="zh-CN"/>
              </w:rPr>
            </w:pPr>
            <w:r>
              <w:rPr>
                <w:rFonts w:hint="default"/>
                <w:bCs/>
                <w:sz w:val="24"/>
                <w:lang w:val="en-US" w:eastAsia="zh-CN"/>
              </w:rPr>
              <w:t>从回转窑出来的高温烟气，先通过一个沉降室，之后经过余热锅炉进行余热回收，余热锅炉出来的烟气温度降至约300℃，经表冷</w:t>
            </w:r>
            <w:r>
              <w:rPr>
                <w:rFonts w:hint="eastAsia"/>
                <w:bCs/>
                <w:sz w:val="24"/>
                <w:lang w:val="en-US" w:eastAsia="zh-CN"/>
              </w:rPr>
              <w:t>器</w:t>
            </w:r>
            <w:r>
              <w:rPr>
                <w:rFonts w:hint="default"/>
                <w:bCs/>
                <w:sz w:val="24"/>
                <w:lang w:val="en-US" w:eastAsia="zh-CN"/>
              </w:rPr>
              <w:t>进一步降温后，由袋式除尘器净化后外排，次氧化锌在余热回收过程和袋式除尘器净化过程中逐级回收。</w:t>
            </w:r>
          </w:p>
          <w:p w14:paraId="45FC1AA6">
            <w:pPr>
              <w:spacing w:line="360" w:lineRule="auto"/>
              <w:ind w:firstLine="480" w:firstLineChars="200"/>
              <w:jc w:val="left"/>
              <w:rPr>
                <w:rFonts w:hint="default"/>
                <w:bCs/>
                <w:sz w:val="24"/>
                <w:lang w:val="en-US" w:eastAsia="zh-CN"/>
              </w:rPr>
            </w:pPr>
            <w:r>
              <w:rPr>
                <w:rFonts w:hint="default"/>
                <w:bCs/>
                <w:sz w:val="24"/>
                <w:lang w:val="en-US" w:eastAsia="zh-CN"/>
              </w:rPr>
              <w:t>收次氧化锌布袋除尘器收集的粉尘次氧化锌含量较高，作为副产品外售。收锌布袋除尘器收集的次氧化锌经过刮板输送机输送至端头采用打包机收集</w:t>
            </w:r>
            <w:r>
              <w:rPr>
                <w:rFonts w:hint="eastAsia"/>
                <w:bCs/>
                <w:sz w:val="24"/>
                <w:lang w:val="en-US" w:eastAsia="zh-CN"/>
              </w:rPr>
              <w:t>后外售</w:t>
            </w:r>
            <w:r>
              <w:rPr>
                <w:rFonts w:hint="default"/>
                <w:bCs/>
                <w:sz w:val="24"/>
                <w:lang w:val="en-US" w:eastAsia="zh-CN"/>
              </w:rPr>
              <w:t>。</w:t>
            </w:r>
          </w:p>
          <w:p w14:paraId="7F56BDAD">
            <w:pPr>
              <w:spacing w:line="360" w:lineRule="auto"/>
              <w:ind w:firstLine="482" w:firstLineChars="200"/>
              <w:jc w:val="left"/>
              <w:rPr>
                <w:rFonts w:hint="eastAsia"/>
                <w:b/>
                <w:bCs w:val="0"/>
                <w:sz w:val="24"/>
                <w:lang w:val="en-US" w:eastAsia="zh-CN"/>
              </w:rPr>
            </w:pPr>
            <w:r>
              <w:rPr>
                <w:rFonts w:hint="eastAsia"/>
                <w:b/>
                <w:bCs w:val="0"/>
                <w:sz w:val="24"/>
                <w:lang w:val="en-US" w:eastAsia="zh-CN"/>
              </w:rPr>
              <w:t>6、返料系统</w:t>
            </w:r>
          </w:p>
          <w:p w14:paraId="0C6933E2">
            <w:pPr>
              <w:spacing w:line="360" w:lineRule="auto"/>
              <w:ind w:firstLine="480" w:firstLineChars="200"/>
              <w:jc w:val="left"/>
              <w:rPr>
                <w:rFonts w:hint="default"/>
                <w:bCs/>
                <w:sz w:val="24"/>
                <w:lang w:val="en-US" w:eastAsia="zh-CN"/>
              </w:rPr>
            </w:pPr>
            <w:r>
              <w:rPr>
                <w:rFonts w:hint="default"/>
                <w:bCs/>
                <w:sz w:val="24"/>
                <w:lang w:val="en-US" w:eastAsia="zh-CN"/>
              </w:rPr>
              <w:t>重力沉降室灰斗返料及余热锅炉沉降室收集灰含锌量低，通过刮板机、斗提机送入回转窑重新参与焙烧。</w:t>
            </w:r>
          </w:p>
          <w:p w14:paraId="5443AD4D">
            <w:pPr>
              <w:spacing w:line="360" w:lineRule="auto"/>
              <w:ind w:firstLine="480" w:firstLineChars="200"/>
              <w:jc w:val="left"/>
              <w:rPr>
                <w:rFonts w:hint="default"/>
                <w:bCs/>
                <w:sz w:val="24"/>
                <w:lang w:val="en-US" w:eastAsia="zh-CN"/>
              </w:rPr>
            </w:pPr>
            <w:r>
              <w:rPr>
                <w:rFonts w:hint="default"/>
                <w:bCs/>
                <w:sz w:val="24"/>
                <w:lang w:val="en-US" w:eastAsia="zh-CN"/>
              </w:rPr>
              <w:t>环境除尘器收集到的灰通过气力输送送回配料室返料仓，重新参与配料、混合造球后返回回转窑重复利用。</w:t>
            </w:r>
          </w:p>
          <w:p w14:paraId="4CA7BAC7">
            <w:pPr>
              <w:spacing w:line="360" w:lineRule="auto"/>
              <w:ind w:firstLine="480" w:firstLineChars="200"/>
              <w:jc w:val="left"/>
              <w:rPr>
                <w:bCs/>
                <w:sz w:val="24"/>
                <w:u w:val="single"/>
              </w:rPr>
            </w:pPr>
            <w:r>
              <w:rPr>
                <w:rFonts w:hint="eastAsia"/>
                <w:bCs/>
                <w:sz w:val="24"/>
              </w:rPr>
              <w:t>本项目主要污染物见表2-</w:t>
            </w:r>
            <w:r>
              <w:rPr>
                <w:rFonts w:hint="eastAsia"/>
                <w:bCs/>
                <w:sz w:val="24"/>
                <w:lang w:val="en-US" w:eastAsia="zh-CN"/>
              </w:rPr>
              <w:t>11</w:t>
            </w:r>
            <w:r>
              <w:rPr>
                <w:rFonts w:hint="eastAsia"/>
                <w:bCs/>
                <w:sz w:val="24"/>
              </w:rPr>
              <w:t>。</w:t>
            </w:r>
          </w:p>
          <w:p w14:paraId="26561B5D">
            <w:pPr>
              <w:pStyle w:val="48"/>
              <w:numPr>
                <w:ilvl w:val="2"/>
                <w:numId w:val="2"/>
              </w:numPr>
              <w:spacing w:line="500" w:lineRule="atLeast"/>
              <w:ind w:firstLineChars="0"/>
              <w:jc w:val="center"/>
              <w:rPr>
                <w:b/>
                <w:sz w:val="24"/>
              </w:rPr>
            </w:pPr>
            <w:r>
              <w:rPr>
                <w:rFonts w:hint="eastAsia"/>
                <w:b/>
                <w:sz w:val="24"/>
              </w:rPr>
              <w:t>主要污染物一览表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709"/>
              <w:gridCol w:w="1479"/>
              <w:gridCol w:w="80"/>
              <w:gridCol w:w="1276"/>
              <w:gridCol w:w="1701"/>
              <w:gridCol w:w="2138"/>
            </w:tblGrid>
            <w:tr w14:paraId="09DB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552" w:type="dxa"/>
                  <w:tcBorders>
                    <w:top w:val="single" w:color="auto" w:sz="4" w:space="0"/>
                    <w:left w:val="single" w:color="auto" w:sz="4" w:space="0"/>
                    <w:bottom w:val="single" w:color="auto" w:sz="4" w:space="0"/>
                    <w:right w:val="single" w:color="auto" w:sz="4" w:space="0"/>
                  </w:tcBorders>
                  <w:vAlign w:val="center"/>
                </w:tcPr>
                <w:p w14:paraId="37D73E69">
                  <w:pPr>
                    <w:spacing w:line="0" w:lineRule="atLeast"/>
                    <w:jc w:val="center"/>
                    <w:rPr>
                      <w:rFonts w:hAnsi="宋体"/>
                    </w:rPr>
                  </w:pPr>
                  <w:r>
                    <w:rPr>
                      <w:rFonts w:hint="eastAsia" w:hAnsi="宋体"/>
                    </w:rPr>
                    <w:t>类别</w:t>
                  </w:r>
                </w:p>
              </w:tc>
              <w:tc>
                <w:tcPr>
                  <w:tcW w:w="709" w:type="dxa"/>
                  <w:tcBorders>
                    <w:top w:val="single" w:color="auto" w:sz="4" w:space="0"/>
                    <w:left w:val="single" w:color="auto" w:sz="4" w:space="0"/>
                    <w:bottom w:val="single" w:color="auto" w:sz="4" w:space="0"/>
                    <w:right w:val="single" w:color="auto" w:sz="4" w:space="0"/>
                  </w:tcBorders>
                  <w:vAlign w:val="center"/>
                </w:tcPr>
                <w:p w14:paraId="5A315AB5">
                  <w:pPr>
                    <w:spacing w:line="0" w:lineRule="atLeast"/>
                    <w:jc w:val="center"/>
                    <w:rPr>
                      <w:rFonts w:hAnsi="宋体"/>
                    </w:rPr>
                  </w:pPr>
                  <w:r>
                    <w:rPr>
                      <w:rFonts w:hint="eastAsia" w:hAnsi="宋体"/>
                    </w:rPr>
                    <w:t>编号</w:t>
                  </w:r>
                </w:p>
              </w:tc>
              <w:tc>
                <w:tcPr>
                  <w:tcW w:w="1479" w:type="dxa"/>
                  <w:tcBorders>
                    <w:top w:val="single" w:color="auto" w:sz="4" w:space="0"/>
                    <w:left w:val="single" w:color="auto" w:sz="4" w:space="0"/>
                    <w:bottom w:val="single" w:color="auto" w:sz="4" w:space="0"/>
                    <w:right w:val="single" w:color="auto" w:sz="4" w:space="0"/>
                  </w:tcBorders>
                  <w:vAlign w:val="center"/>
                </w:tcPr>
                <w:p w14:paraId="51744DB0">
                  <w:pPr>
                    <w:spacing w:line="0" w:lineRule="atLeast"/>
                    <w:jc w:val="center"/>
                    <w:rPr>
                      <w:rFonts w:hAnsi="宋体"/>
                    </w:rPr>
                  </w:pPr>
                  <w:r>
                    <w:rPr>
                      <w:rFonts w:hint="eastAsia" w:hAnsi="宋体"/>
                    </w:rPr>
                    <w:t>污染来源</w:t>
                  </w: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48502557">
                  <w:pPr>
                    <w:spacing w:line="0" w:lineRule="atLeast"/>
                    <w:jc w:val="center"/>
                    <w:rPr>
                      <w:rFonts w:hAnsi="宋体"/>
                    </w:rPr>
                  </w:pPr>
                  <w:r>
                    <w:rPr>
                      <w:rFonts w:hint="eastAsia" w:hAnsi="宋体"/>
                    </w:rPr>
                    <w:t>产生环节</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3D061E5">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rPr>
                    <w:t>主要污染因子</w:t>
                  </w:r>
                </w:p>
              </w:tc>
              <w:tc>
                <w:tcPr>
                  <w:tcW w:w="2138" w:type="dxa"/>
                  <w:tcBorders>
                    <w:top w:val="single" w:color="auto" w:sz="4" w:space="0"/>
                    <w:left w:val="single" w:color="auto" w:sz="4" w:space="0"/>
                    <w:bottom w:val="single" w:color="auto" w:sz="4" w:space="0"/>
                    <w:right w:val="single" w:color="auto" w:sz="4" w:space="0"/>
                  </w:tcBorders>
                  <w:vAlign w:val="center"/>
                </w:tcPr>
                <w:p w14:paraId="29B09268">
                  <w:pPr>
                    <w:spacing w:line="0" w:lineRule="atLeast"/>
                    <w:jc w:val="center"/>
                    <w:rPr>
                      <w:rFonts w:hint="default" w:hAnsi="宋体" w:eastAsia="宋体"/>
                      <w:lang w:val="en-US" w:eastAsia="zh-CN"/>
                    </w:rPr>
                  </w:pPr>
                  <w:r>
                    <w:rPr>
                      <w:rFonts w:hint="eastAsia" w:hAnsi="宋体"/>
                      <w:lang w:val="en-US" w:eastAsia="zh-CN"/>
                    </w:rPr>
                    <w:t>处理措施</w:t>
                  </w:r>
                </w:p>
              </w:tc>
            </w:tr>
            <w:tr w14:paraId="1997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vMerge w:val="restart"/>
                  <w:tcBorders>
                    <w:top w:val="single" w:color="auto" w:sz="4" w:space="0"/>
                    <w:left w:val="single" w:color="auto" w:sz="4" w:space="0"/>
                    <w:right w:val="single" w:color="auto" w:sz="4" w:space="0"/>
                  </w:tcBorders>
                  <w:vAlign w:val="center"/>
                </w:tcPr>
                <w:p w14:paraId="590A6CBE">
                  <w:pPr>
                    <w:spacing w:line="0" w:lineRule="atLeast"/>
                    <w:jc w:val="center"/>
                    <w:rPr>
                      <w:rFonts w:hint="eastAsia" w:hAnsi="宋体" w:eastAsia="宋体"/>
                      <w:lang w:val="en-US" w:eastAsia="zh-CN"/>
                    </w:rPr>
                  </w:pPr>
                  <w:r>
                    <w:rPr>
                      <w:rFonts w:hint="eastAsia" w:hAnsi="宋体"/>
                      <w:lang w:val="en-US" w:eastAsia="zh-CN"/>
                    </w:rPr>
                    <w:t>废水</w:t>
                  </w:r>
                </w:p>
              </w:tc>
              <w:tc>
                <w:tcPr>
                  <w:tcW w:w="709" w:type="dxa"/>
                  <w:tcBorders>
                    <w:top w:val="single" w:color="auto" w:sz="4" w:space="0"/>
                    <w:left w:val="single" w:color="auto" w:sz="4" w:space="0"/>
                    <w:bottom w:val="single" w:color="auto" w:sz="4" w:space="0"/>
                    <w:right w:val="single" w:color="auto" w:sz="4" w:space="0"/>
                  </w:tcBorders>
                  <w:vAlign w:val="center"/>
                </w:tcPr>
                <w:p w14:paraId="492351F2">
                  <w:pPr>
                    <w:spacing w:line="0" w:lineRule="atLeast"/>
                    <w:jc w:val="center"/>
                    <w:rPr>
                      <w:rFonts w:hint="default" w:hAnsi="宋体" w:eastAsia="宋体"/>
                      <w:lang w:val="en-US" w:eastAsia="zh-CN"/>
                    </w:rPr>
                  </w:pPr>
                  <w:r>
                    <w:rPr>
                      <w:rFonts w:hint="eastAsia" w:hAnsi="宋体"/>
                      <w:lang w:val="en-US" w:eastAsia="zh-CN"/>
                    </w:rPr>
                    <w:t>W1</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6D9258CC">
                  <w:pPr>
                    <w:spacing w:line="0" w:lineRule="atLeast"/>
                    <w:jc w:val="center"/>
                    <w:rPr>
                      <w:rFonts w:hint="default" w:ascii="Times New Roman" w:hAnsi="宋体" w:eastAsia="宋体" w:cs="Times New Roman"/>
                      <w:kern w:val="2"/>
                      <w:sz w:val="21"/>
                      <w:szCs w:val="24"/>
                      <w:lang w:val="en-US" w:eastAsia="zh-CN" w:bidi="ar-SA"/>
                    </w:rPr>
                  </w:pPr>
                  <w:r>
                    <w:rPr>
                      <w:rFonts w:hint="eastAsia" w:hAnsi="宋体"/>
                      <w:lang w:val="en-US" w:eastAsia="zh-CN"/>
                    </w:rPr>
                    <w:t>锅炉</w:t>
                  </w:r>
                </w:p>
              </w:tc>
              <w:tc>
                <w:tcPr>
                  <w:tcW w:w="1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D77932">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锅炉排水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5592DB1">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锅炉废水</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4A47C3FF">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排入盛隆污水处理站处理后回用</w:t>
                  </w:r>
                </w:p>
              </w:tc>
            </w:tr>
            <w:tr w14:paraId="4647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vMerge w:val="continue"/>
                  <w:tcBorders>
                    <w:left w:val="single" w:color="auto" w:sz="4" w:space="0"/>
                    <w:right w:val="single" w:color="auto" w:sz="4" w:space="0"/>
                  </w:tcBorders>
                  <w:vAlign w:val="center"/>
                </w:tcPr>
                <w:p w14:paraId="0E92DB0F">
                  <w:pPr>
                    <w:spacing w:line="0" w:lineRule="atLeast"/>
                    <w:jc w:val="center"/>
                    <w:rPr>
                      <w:rFonts w:hint="eastAsia"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06102722">
                  <w:pPr>
                    <w:spacing w:line="0" w:lineRule="atLeast"/>
                    <w:jc w:val="center"/>
                    <w:rPr>
                      <w:rFonts w:hint="default" w:hAnsi="宋体" w:eastAsia="宋体"/>
                      <w:lang w:val="en-US" w:eastAsia="zh-CN"/>
                    </w:rPr>
                  </w:pPr>
                  <w:r>
                    <w:rPr>
                      <w:rFonts w:hint="eastAsia" w:hAnsi="宋体"/>
                      <w:lang w:val="en-US" w:eastAsia="zh-CN"/>
                    </w:rPr>
                    <w:t>W2</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781715C2">
                  <w:pPr>
                    <w:spacing w:line="0" w:lineRule="atLeast"/>
                    <w:jc w:val="center"/>
                    <w:rPr>
                      <w:rFonts w:hint="default" w:ascii="Times New Roman" w:hAnsi="宋体" w:eastAsia="宋体" w:cs="Times New Roman"/>
                      <w:kern w:val="2"/>
                      <w:sz w:val="21"/>
                      <w:szCs w:val="24"/>
                      <w:lang w:val="en-US" w:eastAsia="zh-CN" w:bidi="ar-SA"/>
                    </w:rPr>
                  </w:pPr>
                  <w:r>
                    <w:rPr>
                      <w:rFonts w:hint="eastAsia" w:hAnsi="宋体"/>
                      <w:lang w:val="en-US" w:eastAsia="zh-CN"/>
                    </w:rPr>
                    <w:t>设备冷却</w:t>
                  </w:r>
                </w:p>
              </w:tc>
              <w:tc>
                <w:tcPr>
                  <w:tcW w:w="1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66314D">
                  <w:pPr>
                    <w:spacing w:line="0" w:lineRule="atLeast"/>
                    <w:jc w:val="center"/>
                    <w:rPr>
                      <w:rFonts w:hint="default" w:ascii="Times New Roman" w:hAnsi="宋体" w:eastAsia="宋体" w:cs="Times New Roman"/>
                      <w:kern w:val="2"/>
                      <w:sz w:val="21"/>
                      <w:szCs w:val="24"/>
                      <w:lang w:val="en-US" w:eastAsia="zh-CN" w:bidi="ar-SA"/>
                    </w:rPr>
                  </w:pPr>
                  <w:r>
                    <w:rPr>
                      <w:rFonts w:hint="eastAsia" w:hAnsi="宋体"/>
                    </w:rPr>
                    <w:t>冷却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1BE67FD">
                  <w:pPr>
                    <w:spacing w:line="0" w:lineRule="atLeast"/>
                    <w:jc w:val="center"/>
                    <w:rPr>
                      <w:rFonts w:hint="default" w:ascii="Times New Roman" w:hAnsi="宋体" w:eastAsia="宋体" w:cs="Times New Roman"/>
                      <w:kern w:val="2"/>
                      <w:sz w:val="21"/>
                      <w:szCs w:val="24"/>
                      <w:lang w:val="en-US" w:eastAsia="zh-CN" w:bidi="ar-SA"/>
                    </w:rPr>
                  </w:pPr>
                  <w:r>
                    <w:rPr>
                      <w:rFonts w:hint="eastAsia" w:hAnsi="宋体"/>
                    </w:rPr>
                    <w:t>冷却废水</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0568B0F7">
                  <w:pPr>
                    <w:spacing w:line="0" w:lineRule="atLeast"/>
                    <w:jc w:val="center"/>
                    <w:rPr>
                      <w:rFonts w:hint="default" w:ascii="Times New Roman" w:hAnsi="宋体" w:eastAsia="宋体" w:cs="Times New Roman"/>
                      <w:kern w:val="2"/>
                      <w:sz w:val="21"/>
                      <w:szCs w:val="24"/>
                      <w:lang w:val="en-US" w:eastAsia="zh-CN" w:bidi="ar-SA"/>
                    </w:rPr>
                  </w:pPr>
                  <w:r>
                    <w:rPr>
                      <w:rFonts w:hint="eastAsia" w:hAnsi="宋体"/>
                    </w:rPr>
                    <w:t>循环使用</w:t>
                  </w:r>
                </w:p>
              </w:tc>
            </w:tr>
            <w:tr w14:paraId="087A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vMerge w:val="restart"/>
                  <w:tcBorders>
                    <w:top w:val="single" w:color="auto" w:sz="4" w:space="0"/>
                    <w:left w:val="single" w:color="auto" w:sz="4" w:space="0"/>
                    <w:right w:val="single" w:color="auto" w:sz="4" w:space="0"/>
                  </w:tcBorders>
                  <w:vAlign w:val="center"/>
                </w:tcPr>
                <w:p w14:paraId="774F7C45">
                  <w:pPr>
                    <w:spacing w:line="0" w:lineRule="atLeast"/>
                    <w:jc w:val="center"/>
                    <w:rPr>
                      <w:rFonts w:hAnsi="宋体"/>
                    </w:rPr>
                  </w:pPr>
                  <w:r>
                    <w:rPr>
                      <w:rFonts w:hint="eastAsia" w:hAnsi="宋体"/>
                    </w:rPr>
                    <w:t>废气</w:t>
                  </w:r>
                </w:p>
              </w:tc>
              <w:tc>
                <w:tcPr>
                  <w:tcW w:w="709" w:type="dxa"/>
                  <w:tcBorders>
                    <w:top w:val="single" w:color="auto" w:sz="4" w:space="0"/>
                    <w:left w:val="single" w:color="auto" w:sz="4" w:space="0"/>
                    <w:bottom w:val="single" w:color="auto" w:sz="4" w:space="0"/>
                    <w:right w:val="single" w:color="auto" w:sz="4" w:space="0"/>
                  </w:tcBorders>
                  <w:vAlign w:val="center"/>
                </w:tcPr>
                <w:p w14:paraId="7272CE42">
                  <w:pPr>
                    <w:spacing w:line="0" w:lineRule="atLeast"/>
                    <w:jc w:val="center"/>
                    <w:rPr>
                      <w:rFonts w:hAnsi="宋体"/>
                    </w:rPr>
                  </w:pPr>
                  <w:r>
                    <w:rPr>
                      <w:rFonts w:hint="eastAsia" w:hAnsi="宋体"/>
                    </w:rPr>
                    <w:t>G1</w:t>
                  </w:r>
                </w:p>
              </w:tc>
              <w:tc>
                <w:tcPr>
                  <w:tcW w:w="1479" w:type="dxa"/>
                  <w:tcBorders>
                    <w:top w:val="single" w:color="auto" w:sz="4" w:space="0"/>
                    <w:left w:val="single" w:color="auto" w:sz="4" w:space="0"/>
                    <w:bottom w:val="single" w:color="auto" w:sz="4" w:space="0"/>
                    <w:right w:val="single" w:color="auto" w:sz="4" w:space="0"/>
                  </w:tcBorders>
                  <w:vAlign w:val="center"/>
                </w:tcPr>
                <w:p w14:paraId="77762B0A">
                  <w:pPr>
                    <w:spacing w:line="0" w:lineRule="atLeast"/>
                    <w:jc w:val="center"/>
                    <w:rPr>
                      <w:rFonts w:hint="default" w:hAnsi="宋体" w:eastAsia="宋体"/>
                      <w:lang w:val="en-US" w:eastAsia="zh-CN"/>
                    </w:rPr>
                  </w:pPr>
                  <w:r>
                    <w:rPr>
                      <w:rFonts w:hint="eastAsia" w:hAnsi="宋体"/>
                      <w:lang w:val="en-US" w:eastAsia="zh-CN"/>
                    </w:rPr>
                    <w:t>造球机、皮带输送、造球、窑头窑尾粉尘</w:t>
                  </w: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6371DE75">
                  <w:pPr>
                    <w:spacing w:line="0" w:lineRule="atLeast"/>
                    <w:jc w:val="center"/>
                    <w:rPr>
                      <w:rFonts w:hint="default" w:hAnsi="宋体" w:eastAsia="宋体"/>
                      <w:lang w:val="en-US" w:eastAsia="zh-CN"/>
                    </w:rPr>
                  </w:pPr>
                  <w:r>
                    <w:rPr>
                      <w:rFonts w:hint="eastAsia" w:hAnsi="宋体"/>
                      <w:lang w:val="en-US" w:eastAsia="zh-CN"/>
                    </w:rPr>
                    <w:t>配料、回转窑</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F860E9B">
                  <w:pPr>
                    <w:spacing w:line="0" w:lineRule="atLeast"/>
                    <w:jc w:val="center"/>
                    <w:rPr>
                      <w:rFonts w:hint="eastAsia" w:ascii="Times New Roman" w:hAnsi="宋体" w:eastAsia="宋体" w:cs="Times New Roman"/>
                      <w:kern w:val="2"/>
                      <w:sz w:val="21"/>
                      <w:szCs w:val="21"/>
                      <w:lang w:val="en-US" w:eastAsia="zh-CN" w:bidi="ar-SA"/>
                    </w:rPr>
                  </w:pPr>
                  <w:r>
                    <w:rPr>
                      <w:rFonts w:hint="eastAsia" w:hAnsi="宋体"/>
                      <w:szCs w:val="21"/>
                    </w:rPr>
                    <w:t>颗粒物</w:t>
                  </w:r>
                </w:p>
              </w:tc>
              <w:tc>
                <w:tcPr>
                  <w:tcW w:w="2138" w:type="dxa"/>
                  <w:tcBorders>
                    <w:top w:val="single" w:color="auto" w:sz="4" w:space="0"/>
                    <w:left w:val="single" w:color="auto" w:sz="4" w:space="0"/>
                    <w:bottom w:val="single" w:color="auto" w:sz="4" w:space="0"/>
                    <w:right w:val="single" w:color="auto" w:sz="4" w:space="0"/>
                  </w:tcBorders>
                  <w:vAlign w:val="center"/>
                </w:tcPr>
                <w:p w14:paraId="2FFDEF93">
                  <w:pPr>
                    <w:spacing w:line="0" w:lineRule="atLeast"/>
                    <w:jc w:val="center"/>
                    <w:rPr>
                      <w:rFonts w:hint="default" w:hAnsi="宋体" w:eastAsia="宋体"/>
                      <w:szCs w:val="21"/>
                      <w:lang w:val="en-US" w:eastAsia="zh-CN"/>
                    </w:rPr>
                  </w:pPr>
                  <w:r>
                    <w:rPr>
                      <w:rFonts w:hint="eastAsia" w:hAnsi="宋体"/>
                      <w:szCs w:val="21"/>
                      <w:lang w:val="en-US" w:eastAsia="zh-CN"/>
                    </w:rPr>
                    <w:t>布袋除尘器处理+26m高排气筒</w:t>
                  </w:r>
                </w:p>
              </w:tc>
            </w:tr>
            <w:tr w14:paraId="4258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vMerge w:val="continue"/>
                  <w:tcBorders>
                    <w:left w:val="single" w:color="auto" w:sz="4" w:space="0"/>
                    <w:right w:val="single" w:color="auto" w:sz="4" w:space="0"/>
                  </w:tcBorders>
                  <w:vAlign w:val="center"/>
                </w:tcPr>
                <w:p w14:paraId="30756173">
                  <w:pPr>
                    <w:spacing w:line="0" w:lineRule="atLeast"/>
                    <w:jc w:val="center"/>
                    <w:rPr>
                      <w:rFonts w:hint="eastAsia"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3EB7536">
                  <w:pPr>
                    <w:spacing w:line="0" w:lineRule="atLeast"/>
                    <w:jc w:val="center"/>
                    <w:rPr>
                      <w:rFonts w:hint="default" w:hAnsi="宋体" w:eastAsia="宋体"/>
                      <w:lang w:val="en-US" w:eastAsia="zh-CN"/>
                    </w:rPr>
                  </w:pPr>
                  <w:r>
                    <w:rPr>
                      <w:rFonts w:hint="eastAsia" w:hAnsi="宋体"/>
                      <w:lang w:val="en-US" w:eastAsia="zh-CN"/>
                    </w:rPr>
                    <w:t>G2</w:t>
                  </w:r>
                </w:p>
              </w:tc>
              <w:tc>
                <w:tcPr>
                  <w:tcW w:w="1479" w:type="dxa"/>
                  <w:tcBorders>
                    <w:top w:val="single" w:color="auto" w:sz="4" w:space="0"/>
                    <w:left w:val="single" w:color="auto" w:sz="4" w:space="0"/>
                    <w:bottom w:val="single" w:color="auto" w:sz="4" w:space="0"/>
                    <w:right w:val="single" w:color="auto" w:sz="4" w:space="0"/>
                  </w:tcBorders>
                  <w:vAlign w:val="center"/>
                </w:tcPr>
                <w:p w14:paraId="3861FD4E">
                  <w:pPr>
                    <w:spacing w:line="0" w:lineRule="atLeast"/>
                    <w:jc w:val="center"/>
                    <w:rPr>
                      <w:rFonts w:hint="default" w:hAnsi="宋体" w:eastAsia="宋体"/>
                      <w:lang w:val="en-US" w:eastAsia="zh-CN"/>
                    </w:rPr>
                  </w:pPr>
                  <w:r>
                    <w:rPr>
                      <w:rFonts w:hint="eastAsia" w:hAnsi="宋体"/>
                      <w:lang w:val="en-US" w:eastAsia="zh-CN"/>
                    </w:rPr>
                    <w:t>回转窑烟气</w:t>
                  </w: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70B16A97">
                  <w:pPr>
                    <w:spacing w:line="0" w:lineRule="atLeast"/>
                    <w:jc w:val="center"/>
                    <w:rPr>
                      <w:rFonts w:hint="eastAsia" w:hAnsi="宋体" w:eastAsia="宋体"/>
                      <w:lang w:val="en-US" w:eastAsia="zh-CN"/>
                    </w:rPr>
                  </w:pPr>
                  <w:r>
                    <w:rPr>
                      <w:rFonts w:hint="eastAsia" w:hAnsi="宋体"/>
                      <w:lang w:val="en-US" w:eastAsia="zh-CN"/>
                    </w:rPr>
                    <w:t>焙烧</w:t>
                  </w:r>
                </w:p>
              </w:tc>
              <w:tc>
                <w:tcPr>
                  <w:tcW w:w="1701" w:type="dxa"/>
                  <w:tcBorders>
                    <w:top w:val="single" w:color="auto" w:sz="4" w:space="0"/>
                    <w:left w:val="single" w:color="auto" w:sz="4" w:space="0"/>
                    <w:bottom w:val="single" w:color="auto" w:sz="4" w:space="0"/>
                    <w:right w:val="single" w:color="auto" w:sz="4" w:space="0"/>
                  </w:tcBorders>
                  <w:vAlign w:val="center"/>
                </w:tcPr>
                <w:p w14:paraId="51CA982A">
                  <w:pPr>
                    <w:spacing w:line="0" w:lineRule="atLeast"/>
                    <w:jc w:val="center"/>
                    <w:rPr>
                      <w:rFonts w:hint="default" w:hAnsi="宋体"/>
                      <w:lang w:val="en-US" w:eastAsia="zh-CN"/>
                    </w:rPr>
                  </w:pPr>
                  <w:r>
                    <w:rPr>
                      <w:rFonts w:hint="eastAsia" w:hAnsi="宋体"/>
                      <w:lang w:val="en-US" w:eastAsia="zh-CN"/>
                    </w:rPr>
                    <w:t>颗粒物、二氧化硫、氮氧化物、氟化物</w:t>
                  </w:r>
                </w:p>
              </w:tc>
              <w:tc>
                <w:tcPr>
                  <w:tcW w:w="2138" w:type="dxa"/>
                  <w:tcBorders>
                    <w:top w:val="single" w:color="auto" w:sz="4" w:space="0"/>
                    <w:left w:val="single" w:color="auto" w:sz="4" w:space="0"/>
                    <w:bottom w:val="single" w:color="auto" w:sz="4" w:space="0"/>
                    <w:right w:val="single" w:color="auto" w:sz="4" w:space="0"/>
                  </w:tcBorders>
                  <w:vAlign w:val="center"/>
                </w:tcPr>
                <w:p w14:paraId="5CD0F092">
                  <w:pPr>
                    <w:spacing w:line="0" w:lineRule="atLeast"/>
                    <w:jc w:val="center"/>
                    <w:rPr>
                      <w:rFonts w:hint="default" w:hAnsi="宋体" w:eastAsia="宋体"/>
                      <w:szCs w:val="21"/>
                      <w:lang w:val="en-US" w:eastAsia="zh-CN"/>
                    </w:rPr>
                  </w:pPr>
                  <w:r>
                    <w:rPr>
                      <w:rFonts w:hint="eastAsia" w:hAnsi="宋体"/>
                      <w:szCs w:val="21"/>
                      <w:lang w:val="en-US" w:eastAsia="zh-CN"/>
                    </w:rPr>
                    <w:t>布袋除尘器处理+32m高排气筒</w:t>
                  </w:r>
                </w:p>
              </w:tc>
            </w:tr>
            <w:tr w14:paraId="5874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tcBorders>
                    <w:top w:val="single" w:color="auto" w:sz="4" w:space="0"/>
                    <w:left w:val="single" w:color="auto" w:sz="4" w:space="0"/>
                    <w:right w:val="single" w:color="auto" w:sz="4" w:space="0"/>
                  </w:tcBorders>
                  <w:vAlign w:val="center"/>
                </w:tcPr>
                <w:p w14:paraId="7C24A7E3">
                  <w:pPr>
                    <w:spacing w:line="0" w:lineRule="atLeast"/>
                    <w:jc w:val="center"/>
                    <w:rPr>
                      <w:rFonts w:hint="eastAsia" w:hAnsi="宋体" w:eastAsia="宋体"/>
                      <w:lang w:val="en-US" w:eastAsia="zh-CN"/>
                    </w:rPr>
                  </w:pPr>
                  <w:r>
                    <w:rPr>
                      <w:rFonts w:hint="eastAsia" w:hAnsi="宋体"/>
                      <w:lang w:val="en-US" w:eastAsia="zh-CN"/>
                    </w:rPr>
                    <w:t>噪声</w:t>
                  </w:r>
                </w:p>
              </w:tc>
              <w:tc>
                <w:tcPr>
                  <w:tcW w:w="709" w:type="dxa"/>
                  <w:tcBorders>
                    <w:top w:val="single" w:color="auto" w:sz="4" w:space="0"/>
                    <w:left w:val="single" w:color="auto" w:sz="4" w:space="0"/>
                    <w:bottom w:val="single" w:color="auto" w:sz="4" w:space="0"/>
                    <w:right w:val="single" w:color="auto" w:sz="4" w:space="0"/>
                  </w:tcBorders>
                  <w:vAlign w:val="center"/>
                </w:tcPr>
                <w:p w14:paraId="1C0B3AA6">
                  <w:pPr>
                    <w:spacing w:line="0" w:lineRule="atLeast"/>
                    <w:jc w:val="center"/>
                    <w:rPr>
                      <w:rFonts w:hint="eastAsia" w:hAnsi="宋体" w:eastAsia="宋体"/>
                      <w:lang w:val="en-US" w:eastAsia="zh-CN"/>
                    </w:rPr>
                  </w:pPr>
                  <w:r>
                    <w:rPr>
                      <w:rFonts w:hint="eastAsia" w:hAnsi="宋体"/>
                      <w:lang w:val="en-US" w:eastAsia="zh-CN"/>
                    </w:rPr>
                    <w:t>N</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0DD43D19">
                  <w:pPr>
                    <w:spacing w:line="0" w:lineRule="atLeast"/>
                    <w:jc w:val="center"/>
                    <w:rPr>
                      <w:rFonts w:hint="eastAsia" w:hAnsi="宋体"/>
                    </w:rPr>
                  </w:pPr>
                  <w:r>
                    <w:rPr>
                      <w:rFonts w:hint="eastAsia" w:hAnsi="宋体"/>
                    </w:rPr>
                    <w:t>设备运行噪声</w:t>
                  </w:r>
                </w:p>
              </w:tc>
              <w:tc>
                <w:tcPr>
                  <w:tcW w:w="1701" w:type="dxa"/>
                  <w:tcBorders>
                    <w:top w:val="single" w:color="auto" w:sz="4" w:space="0"/>
                    <w:left w:val="single" w:color="auto" w:sz="4" w:space="0"/>
                    <w:bottom w:val="single" w:color="auto" w:sz="4" w:space="0"/>
                    <w:right w:val="single" w:color="auto" w:sz="4" w:space="0"/>
                  </w:tcBorders>
                  <w:vAlign w:val="center"/>
                </w:tcPr>
                <w:p w14:paraId="796B427C">
                  <w:pPr>
                    <w:spacing w:line="0" w:lineRule="atLeast"/>
                    <w:jc w:val="center"/>
                    <w:rPr>
                      <w:rFonts w:hint="eastAsia" w:hAnsi="宋体"/>
                    </w:rPr>
                  </w:pPr>
                  <w:r>
                    <w:rPr>
                      <w:rFonts w:hint="eastAsia" w:hAnsi="宋体"/>
                    </w:rPr>
                    <w:t>等效声级</w:t>
                  </w:r>
                  <w:r>
                    <w:rPr>
                      <w:rFonts w:hAnsi="宋体"/>
                    </w:rPr>
                    <w:t>dB</w:t>
                  </w:r>
                  <w:r>
                    <w:rPr>
                      <w:rFonts w:hint="eastAsia" w:hAnsi="宋体"/>
                    </w:rPr>
                    <w:t>（</w:t>
                  </w:r>
                  <w:r>
                    <w:rPr>
                      <w:rFonts w:hAnsi="宋体"/>
                    </w:rPr>
                    <w:t>A</w:t>
                  </w:r>
                  <w:r>
                    <w:rPr>
                      <w:rFonts w:hint="eastAsia" w:hAnsi="宋体"/>
                    </w:rPr>
                    <w:t>）</w:t>
                  </w:r>
                </w:p>
              </w:tc>
              <w:tc>
                <w:tcPr>
                  <w:tcW w:w="2138" w:type="dxa"/>
                  <w:tcBorders>
                    <w:top w:val="single" w:color="auto" w:sz="4" w:space="0"/>
                    <w:left w:val="single" w:color="auto" w:sz="4" w:space="0"/>
                    <w:bottom w:val="single" w:color="auto" w:sz="4" w:space="0"/>
                    <w:right w:val="single" w:color="auto" w:sz="4" w:space="0"/>
                  </w:tcBorders>
                  <w:vAlign w:val="center"/>
                </w:tcPr>
                <w:p w14:paraId="341AB922">
                  <w:pPr>
                    <w:spacing w:line="0" w:lineRule="atLeast"/>
                    <w:jc w:val="center"/>
                    <w:rPr>
                      <w:rFonts w:hint="default" w:hAnsi="宋体" w:eastAsia="宋体"/>
                      <w:szCs w:val="21"/>
                      <w:lang w:val="en-US" w:eastAsia="zh-CN"/>
                    </w:rPr>
                  </w:pPr>
                  <w:r>
                    <w:rPr>
                      <w:rFonts w:hint="eastAsia" w:hAnsi="宋体"/>
                      <w:szCs w:val="21"/>
                      <w:lang w:val="en-US" w:eastAsia="zh-CN"/>
                    </w:rPr>
                    <w:t>基础减振、厂房隔声</w:t>
                  </w:r>
                </w:p>
              </w:tc>
            </w:tr>
            <w:tr w14:paraId="059B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vMerge w:val="restart"/>
                  <w:tcBorders>
                    <w:top w:val="single" w:color="auto" w:sz="4" w:space="0"/>
                    <w:left w:val="single" w:color="auto" w:sz="4" w:space="0"/>
                    <w:right w:val="single" w:color="auto" w:sz="4" w:space="0"/>
                  </w:tcBorders>
                  <w:vAlign w:val="center"/>
                </w:tcPr>
                <w:p w14:paraId="00D49AD3">
                  <w:pPr>
                    <w:spacing w:line="0" w:lineRule="atLeast"/>
                    <w:jc w:val="center"/>
                    <w:rPr>
                      <w:rFonts w:hAnsi="宋体"/>
                    </w:rPr>
                  </w:pPr>
                  <w:r>
                    <w:rPr>
                      <w:rFonts w:hint="eastAsia" w:hAnsi="宋体"/>
                    </w:rPr>
                    <w:t>固废</w:t>
                  </w:r>
                </w:p>
              </w:tc>
              <w:tc>
                <w:tcPr>
                  <w:tcW w:w="709" w:type="dxa"/>
                  <w:tcBorders>
                    <w:top w:val="single" w:color="auto" w:sz="4" w:space="0"/>
                    <w:left w:val="single" w:color="auto" w:sz="4" w:space="0"/>
                    <w:bottom w:val="single" w:color="auto" w:sz="4" w:space="0"/>
                    <w:right w:val="single" w:color="auto" w:sz="4" w:space="0"/>
                  </w:tcBorders>
                  <w:vAlign w:val="center"/>
                </w:tcPr>
                <w:p w14:paraId="5E779210">
                  <w:pPr>
                    <w:spacing w:line="0" w:lineRule="atLeast"/>
                    <w:jc w:val="center"/>
                    <w:rPr>
                      <w:rFonts w:hint="default" w:hAnsi="宋体" w:eastAsia="宋体"/>
                      <w:lang w:val="en-US" w:eastAsia="zh-CN"/>
                    </w:rPr>
                  </w:pPr>
                  <w:r>
                    <w:rPr>
                      <w:rFonts w:hint="eastAsia" w:hAnsi="宋体"/>
                      <w:lang w:val="en-US" w:eastAsia="zh-CN"/>
                    </w:rPr>
                    <w:t>S1</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2E678E">
                  <w:pPr>
                    <w:spacing w:line="0" w:lineRule="atLeast"/>
                    <w:jc w:val="center"/>
                    <w:rPr>
                      <w:rFonts w:hint="default" w:ascii="Times New Roman" w:hAnsi="宋体" w:eastAsia="宋体" w:cs="Times New Roman"/>
                      <w:kern w:val="2"/>
                      <w:sz w:val="21"/>
                      <w:szCs w:val="24"/>
                      <w:lang w:val="en-US" w:eastAsia="zh-CN" w:bidi="ar-SA"/>
                    </w:rPr>
                  </w:pPr>
                  <w:r>
                    <w:rPr>
                      <w:rFonts w:hint="eastAsia" w:hAnsi="宋体" w:cs="Times New Roman"/>
                      <w:kern w:val="2"/>
                      <w:sz w:val="21"/>
                      <w:szCs w:val="24"/>
                      <w:lang w:val="en-US" w:eastAsia="zh-CN" w:bidi="ar-SA"/>
                    </w:rPr>
                    <w:t>窑渣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FF089B">
                  <w:pPr>
                    <w:spacing w:line="0" w:lineRule="atLeast"/>
                    <w:jc w:val="center"/>
                    <w:rPr>
                      <w:rFonts w:hint="default" w:ascii="Times New Roman" w:hAnsi="宋体" w:eastAsia="宋体" w:cs="Times New Roman"/>
                      <w:kern w:val="2"/>
                      <w:sz w:val="21"/>
                      <w:szCs w:val="24"/>
                      <w:lang w:val="en-US" w:eastAsia="zh-CN" w:bidi="ar-SA"/>
                    </w:rPr>
                  </w:pPr>
                  <w:r>
                    <w:rPr>
                      <w:rFonts w:hint="eastAsia" w:hAnsi="宋体" w:cs="Times New Roman"/>
                      <w:kern w:val="2"/>
                      <w:sz w:val="21"/>
                      <w:szCs w:val="24"/>
                      <w:lang w:val="en-US" w:eastAsia="zh-CN" w:bidi="ar-SA"/>
                    </w:rPr>
                    <w:t>回转窑</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0941324">
                  <w:pPr>
                    <w:spacing w:line="0" w:lineRule="atLeast"/>
                    <w:jc w:val="center"/>
                    <w:rPr>
                      <w:rFonts w:hint="default" w:ascii="Times New Roman" w:hAnsi="宋体" w:eastAsia="宋体" w:cs="Times New Roman"/>
                      <w:kern w:val="2"/>
                      <w:sz w:val="21"/>
                      <w:szCs w:val="24"/>
                      <w:lang w:val="en-US" w:eastAsia="zh-CN" w:bidi="ar-SA"/>
                    </w:rPr>
                  </w:pPr>
                  <w:r>
                    <w:rPr>
                      <w:rFonts w:hint="eastAsia" w:hAnsi="宋体" w:cs="Times New Roman"/>
                      <w:kern w:val="2"/>
                      <w:sz w:val="21"/>
                      <w:szCs w:val="24"/>
                      <w:lang w:val="en-US" w:eastAsia="zh-CN" w:bidi="ar-SA"/>
                    </w:rPr>
                    <w:t>窑渣</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70AE7D85">
                  <w:pPr>
                    <w:spacing w:line="0" w:lineRule="atLeast"/>
                    <w:jc w:val="center"/>
                    <w:rPr>
                      <w:rFonts w:hint="default" w:ascii="Times New Roman" w:hAnsi="宋体" w:eastAsia="宋体" w:cs="Times New Roman"/>
                      <w:kern w:val="2"/>
                      <w:sz w:val="21"/>
                      <w:szCs w:val="24"/>
                      <w:lang w:val="en-US" w:eastAsia="zh-CN" w:bidi="ar-SA"/>
                    </w:rPr>
                  </w:pPr>
                  <w:r>
                    <w:rPr>
                      <w:rFonts w:hint="eastAsia" w:hAnsi="宋体" w:cs="Times New Roman"/>
                      <w:kern w:val="2"/>
                      <w:sz w:val="21"/>
                      <w:szCs w:val="24"/>
                      <w:lang w:val="en-US" w:eastAsia="zh-CN" w:bidi="ar-SA"/>
                    </w:rPr>
                    <w:t>返回盛隆钢铁生产工序综合利用</w:t>
                  </w:r>
                </w:p>
              </w:tc>
            </w:tr>
            <w:tr w14:paraId="233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vMerge w:val="continue"/>
                  <w:tcBorders>
                    <w:left w:val="single" w:color="auto" w:sz="4" w:space="0"/>
                    <w:right w:val="single" w:color="auto" w:sz="4" w:space="0"/>
                  </w:tcBorders>
                  <w:vAlign w:val="center"/>
                </w:tcPr>
                <w:p w14:paraId="0854685C">
                  <w:pPr>
                    <w:spacing w:line="0" w:lineRule="atLeast"/>
                    <w:jc w:val="center"/>
                    <w:rPr>
                      <w:rFonts w:hint="eastAsia" w:hAnsi="宋体"/>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7057929">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S2</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0AC1DA">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废耐火材料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030DE8E">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回转窑</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6F6F976">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废耐火材料</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56E39FDA">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外售综合利用</w:t>
                  </w:r>
                </w:p>
              </w:tc>
            </w:tr>
            <w:tr w14:paraId="2A5B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vMerge w:val="continue"/>
                  <w:tcBorders>
                    <w:left w:val="single" w:color="auto" w:sz="4" w:space="0"/>
                    <w:right w:val="single" w:color="auto" w:sz="4" w:space="0"/>
                  </w:tcBorders>
                  <w:vAlign w:val="center"/>
                </w:tcPr>
                <w:p w14:paraId="5366CEEA">
                  <w:pPr>
                    <w:spacing w:line="0" w:lineRule="atLeast"/>
                    <w:jc w:val="center"/>
                    <w:rPr>
                      <w:rFonts w:hint="eastAsia" w:hAnsi="宋体"/>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036939A">
                  <w:pPr>
                    <w:spacing w:line="0" w:lineRule="atLeast"/>
                    <w:jc w:val="center"/>
                    <w:rPr>
                      <w:rFonts w:hint="default" w:ascii="Times New Roman" w:hAnsi="宋体" w:eastAsia="宋体" w:cs="Times New Roman"/>
                      <w:kern w:val="2"/>
                      <w:sz w:val="21"/>
                      <w:szCs w:val="24"/>
                      <w:lang w:val="en-US" w:eastAsia="zh-CN" w:bidi="ar-SA"/>
                    </w:rPr>
                  </w:pPr>
                  <w:r>
                    <w:rPr>
                      <w:rFonts w:hint="eastAsia" w:hAnsi="宋体"/>
                    </w:rPr>
                    <w:t>S</w:t>
                  </w:r>
                  <w:r>
                    <w:rPr>
                      <w:rFonts w:hint="eastAsia" w:hAnsi="宋体"/>
                      <w:lang w:val="en-US" w:eastAsia="zh-CN"/>
                    </w:rPr>
                    <w:t>3</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33F517">
                  <w:pPr>
                    <w:spacing w:line="0" w:lineRule="atLeast"/>
                    <w:jc w:val="center"/>
                    <w:rPr>
                      <w:rFonts w:hint="default" w:ascii="Times New Roman" w:hAnsi="宋体" w:eastAsia="宋体" w:cs="Times New Roman"/>
                      <w:kern w:val="2"/>
                      <w:sz w:val="21"/>
                      <w:szCs w:val="24"/>
                      <w:lang w:val="en-US" w:eastAsia="zh-CN" w:bidi="ar-SA"/>
                    </w:rPr>
                  </w:pPr>
                  <w:r>
                    <w:rPr>
                      <w:rFonts w:hint="eastAsia" w:hAnsi="宋体"/>
                      <w:lang w:val="en-US" w:eastAsia="zh-CN"/>
                    </w:rPr>
                    <w:t>废机油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F385805">
                  <w:pPr>
                    <w:spacing w:line="0" w:lineRule="atLeast"/>
                    <w:jc w:val="center"/>
                    <w:rPr>
                      <w:rFonts w:hint="default" w:ascii="Times New Roman" w:hAnsi="宋体" w:eastAsia="宋体" w:cs="Times New Roman"/>
                      <w:kern w:val="2"/>
                      <w:sz w:val="21"/>
                      <w:szCs w:val="24"/>
                      <w:lang w:val="en-US" w:eastAsia="zh-CN" w:bidi="ar-SA"/>
                    </w:rPr>
                  </w:pPr>
                  <w:r>
                    <w:rPr>
                      <w:rFonts w:hint="eastAsia" w:hAnsi="宋体" w:cs="Times New Roman"/>
                      <w:kern w:val="2"/>
                      <w:sz w:val="21"/>
                      <w:szCs w:val="24"/>
                      <w:lang w:val="en-US" w:eastAsia="zh-CN" w:bidi="ar-SA"/>
                    </w:rPr>
                    <w:t>设备维护</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4B605A5">
                  <w:pPr>
                    <w:spacing w:line="0" w:lineRule="atLeast"/>
                    <w:jc w:val="center"/>
                    <w:rPr>
                      <w:rFonts w:hint="default" w:ascii="Times New Roman" w:hAnsi="宋体" w:eastAsia="宋体" w:cs="Times New Roman"/>
                      <w:kern w:val="2"/>
                      <w:sz w:val="21"/>
                      <w:szCs w:val="24"/>
                      <w:lang w:val="en-US" w:eastAsia="zh-CN" w:bidi="ar-SA"/>
                    </w:rPr>
                  </w:pPr>
                  <w:r>
                    <w:rPr>
                      <w:rFonts w:hint="eastAsia" w:hAnsi="宋体"/>
                      <w:lang w:val="en-US" w:eastAsia="zh-CN"/>
                    </w:rPr>
                    <w:t>废机油</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41E6D81F">
                  <w:pPr>
                    <w:spacing w:line="0" w:lineRule="atLeast"/>
                    <w:jc w:val="center"/>
                    <w:rPr>
                      <w:rFonts w:hint="eastAsia" w:ascii="Times New Roman" w:hAnsi="宋体" w:eastAsia="宋体" w:cs="Times New Roman"/>
                      <w:kern w:val="2"/>
                      <w:sz w:val="21"/>
                      <w:szCs w:val="24"/>
                      <w:lang w:val="en-US" w:eastAsia="zh-CN" w:bidi="ar-SA"/>
                    </w:rPr>
                  </w:pPr>
                  <w:r>
                    <w:rPr>
                      <w:rFonts w:hint="eastAsia" w:hAnsi="宋体"/>
                      <w:lang w:val="en-US" w:eastAsia="zh-CN"/>
                    </w:rPr>
                    <w:t>由有资质单位处理</w:t>
                  </w:r>
                </w:p>
              </w:tc>
            </w:tr>
            <w:tr w14:paraId="01E5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2" w:type="dxa"/>
                  <w:vMerge w:val="continue"/>
                  <w:tcBorders>
                    <w:left w:val="single" w:color="auto" w:sz="4" w:space="0"/>
                    <w:right w:val="single" w:color="auto" w:sz="4" w:space="0"/>
                  </w:tcBorders>
                  <w:vAlign w:val="center"/>
                </w:tcPr>
                <w:p w14:paraId="247A2BF8">
                  <w:pPr>
                    <w:spacing w:line="0" w:lineRule="atLeast"/>
                    <w:jc w:val="center"/>
                    <w:rPr>
                      <w:rFonts w:hint="eastAsia"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00B8429">
                  <w:pPr>
                    <w:spacing w:line="0" w:lineRule="atLeast"/>
                    <w:jc w:val="center"/>
                    <w:rPr>
                      <w:rFonts w:hint="default" w:hAnsi="宋体"/>
                      <w:lang w:val="en-US" w:eastAsia="zh-CN"/>
                    </w:rPr>
                  </w:pPr>
                  <w:r>
                    <w:rPr>
                      <w:rFonts w:hint="eastAsia" w:hAnsi="宋体"/>
                      <w:lang w:val="en-US" w:eastAsia="zh-CN"/>
                    </w:rPr>
                    <w:t>S4</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4F8363">
                  <w:pPr>
                    <w:spacing w:line="0" w:lineRule="atLeast"/>
                    <w:jc w:val="center"/>
                    <w:rPr>
                      <w:rFonts w:hint="default" w:ascii="Times New Roman" w:hAnsi="宋体" w:eastAsia="宋体" w:cs="Times New Roman"/>
                      <w:kern w:val="2"/>
                      <w:sz w:val="21"/>
                      <w:szCs w:val="24"/>
                      <w:lang w:val="en-US" w:eastAsia="zh-CN" w:bidi="ar-SA"/>
                    </w:rPr>
                  </w:pPr>
                  <w:r>
                    <w:rPr>
                      <w:rFonts w:hint="eastAsia" w:hAnsi="宋体"/>
                      <w:lang w:val="en-US" w:eastAsia="zh-CN"/>
                    </w:rPr>
                    <w:t>废含油抹布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16C77B9">
                  <w:pPr>
                    <w:spacing w:line="0" w:lineRule="atLeast"/>
                    <w:jc w:val="center"/>
                    <w:rPr>
                      <w:rFonts w:hint="default" w:ascii="Times New Roman" w:hAnsi="宋体" w:eastAsia="宋体" w:cs="Times New Roman"/>
                      <w:kern w:val="2"/>
                      <w:sz w:val="21"/>
                      <w:szCs w:val="24"/>
                      <w:lang w:val="en-US" w:eastAsia="zh-CN" w:bidi="ar-SA"/>
                    </w:rPr>
                  </w:pPr>
                  <w:r>
                    <w:rPr>
                      <w:rFonts w:hint="eastAsia" w:hAnsi="宋体"/>
                      <w:lang w:val="en-US" w:eastAsia="zh-CN"/>
                    </w:rPr>
                    <w:t>设备维护</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077AAB8">
                  <w:pPr>
                    <w:spacing w:line="0" w:lineRule="atLeast"/>
                    <w:jc w:val="center"/>
                    <w:rPr>
                      <w:rFonts w:hint="default" w:ascii="Times New Roman" w:hAnsi="宋体" w:eastAsia="宋体" w:cs="Times New Roman"/>
                      <w:kern w:val="2"/>
                      <w:sz w:val="21"/>
                      <w:szCs w:val="24"/>
                      <w:lang w:val="en-US" w:eastAsia="zh-CN" w:bidi="ar-SA"/>
                    </w:rPr>
                  </w:pPr>
                  <w:r>
                    <w:rPr>
                      <w:rFonts w:hint="eastAsia" w:hAnsi="宋体"/>
                      <w:lang w:val="en-US" w:eastAsia="zh-CN"/>
                    </w:rPr>
                    <w:t>废含油抹布</w:t>
                  </w:r>
                </w:p>
              </w:tc>
              <w:tc>
                <w:tcPr>
                  <w:tcW w:w="2138" w:type="dxa"/>
                  <w:tcBorders>
                    <w:top w:val="single" w:color="auto" w:sz="4" w:space="0"/>
                    <w:left w:val="single" w:color="auto" w:sz="4" w:space="0"/>
                    <w:bottom w:val="single" w:color="auto" w:sz="4" w:space="0"/>
                    <w:right w:val="single" w:color="auto" w:sz="4" w:space="0"/>
                  </w:tcBorders>
                  <w:shd w:val="clear" w:color="auto" w:fill="auto"/>
                  <w:vAlign w:val="center"/>
                </w:tcPr>
                <w:p w14:paraId="7D4EDA93">
                  <w:pPr>
                    <w:spacing w:line="0" w:lineRule="atLeast"/>
                    <w:jc w:val="center"/>
                    <w:rPr>
                      <w:rFonts w:hint="default" w:ascii="Times New Roman" w:hAnsi="宋体" w:eastAsia="宋体" w:cs="Times New Roman"/>
                      <w:kern w:val="2"/>
                      <w:sz w:val="21"/>
                      <w:szCs w:val="24"/>
                      <w:lang w:val="en-US" w:eastAsia="zh-CN" w:bidi="ar-SA"/>
                    </w:rPr>
                  </w:pPr>
                  <w:r>
                    <w:rPr>
                      <w:rFonts w:hint="eastAsia" w:hAnsi="宋体"/>
                      <w:lang w:val="en-US" w:eastAsia="zh-CN"/>
                    </w:rPr>
                    <w:t>由有资质单位处理</w:t>
                  </w:r>
                </w:p>
              </w:tc>
            </w:tr>
          </w:tbl>
          <w:p w14:paraId="336DAF3C">
            <w:pPr>
              <w:spacing w:line="500" w:lineRule="exact"/>
              <w:ind w:firstLine="482"/>
              <w:rPr>
                <w:sz w:val="24"/>
              </w:rPr>
            </w:pPr>
          </w:p>
        </w:tc>
      </w:tr>
      <w:tr w14:paraId="266B0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23" w:type="dxa"/>
            <w:vAlign w:val="center"/>
          </w:tcPr>
          <w:p w14:paraId="5C8CD6C2">
            <w:pPr>
              <w:pStyle w:val="19"/>
              <w:adjustRightInd w:val="0"/>
              <w:snapToGrid w:val="0"/>
              <w:spacing w:before="0" w:beforeAutospacing="0" w:after="0" w:afterAutospacing="0"/>
              <w:jc w:val="center"/>
              <w:rPr>
                <w:rFonts w:cs="宋体"/>
                <w:sz w:val="21"/>
                <w:szCs w:val="21"/>
              </w:rPr>
            </w:pPr>
            <w:r>
              <w:rPr>
                <w:rFonts w:hint="eastAsia" w:cs="宋体"/>
                <w:bCs/>
                <w:kern w:val="2"/>
                <w:sz w:val="21"/>
                <w:szCs w:val="21"/>
              </w:rPr>
              <w:t>与项目有关的原有环境污染问题</w:t>
            </w:r>
          </w:p>
        </w:tc>
        <w:tc>
          <w:tcPr>
            <w:tcW w:w="8161" w:type="dxa"/>
          </w:tcPr>
          <w:p w14:paraId="6D34EFB5">
            <w:pPr>
              <w:spacing w:line="500" w:lineRule="atLeast"/>
              <w:ind w:firstLine="480" w:firstLineChars="200"/>
              <w:rPr>
                <w:bCs/>
                <w:sz w:val="24"/>
              </w:rPr>
            </w:pPr>
            <w:r>
              <w:rPr>
                <w:rFonts w:hint="eastAsia"/>
                <w:bCs/>
                <w:sz w:val="24"/>
              </w:rPr>
              <w:t>本项目为扩建项目，原有污染源主要为广西盛隆冶金有限公司现有项目生产过</w:t>
            </w:r>
            <w:r>
              <w:rPr>
                <w:rFonts w:hint="eastAsia"/>
                <w:bCs/>
                <w:sz w:val="24"/>
                <w:lang w:eastAsia="zh-CN"/>
              </w:rPr>
              <w:t>程中</w:t>
            </w:r>
            <w:r>
              <w:rPr>
                <w:rFonts w:hint="eastAsia"/>
                <w:bCs/>
                <w:sz w:val="24"/>
              </w:rPr>
              <w:t>产生的废气、废水、噪声和固体废物。</w:t>
            </w:r>
          </w:p>
          <w:p w14:paraId="52BA7F44">
            <w:pPr>
              <w:spacing w:line="500" w:lineRule="atLeast"/>
              <w:ind w:firstLine="482" w:firstLineChars="200"/>
              <w:rPr>
                <w:b/>
                <w:bCs/>
                <w:sz w:val="24"/>
              </w:rPr>
            </w:pPr>
            <w:r>
              <w:rPr>
                <w:rFonts w:hint="eastAsia"/>
                <w:b/>
                <w:bCs/>
                <w:sz w:val="24"/>
              </w:rPr>
              <w:t>1、现有项目环保手续情况</w:t>
            </w:r>
          </w:p>
          <w:p w14:paraId="2D900F6D">
            <w:pPr>
              <w:spacing w:line="500" w:lineRule="atLeast"/>
              <w:ind w:firstLine="480" w:firstLineChars="200"/>
              <w:rPr>
                <w:rFonts w:hint="eastAsia"/>
                <w:bCs/>
                <w:sz w:val="24"/>
              </w:rPr>
            </w:pPr>
            <w:r>
              <w:rPr>
                <w:rFonts w:hint="eastAsia"/>
                <w:bCs/>
                <w:sz w:val="24"/>
              </w:rPr>
              <w:t>广西盛隆冶金有限公司现有项目的环保手续情况详见下表。</w:t>
            </w:r>
          </w:p>
          <w:p w14:paraId="4258827F">
            <w:pPr>
              <w:pStyle w:val="48"/>
              <w:numPr>
                <w:ilvl w:val="2"/>
                <w:numId w:val="2"/>
              </w:numPr>
              <w:spacing w:line="500" w:lineRule="atLeast"/>
              <w:ind w:firstLineChars="0"/>
              <w:jc w:val="center"/>
              <w:rPr>
                <w:b/>
                <w:sz w:val="24"/>
              </w:rPr>
            </w:pPr>
            <w:r>
              <w:rPr>
                <w:rFonts w:hint="eastAsia"/>
                <w:b/>
                <w:sz w:val="24"/>
              </w:rPr>
              <w:t>盛隆公司</w:t>
            </w:r>
            <w:r>
              <w:rPr>
                <w:rFonts w:hint="eastAsia"/>
                <w:b/>
                <w:sz w:val="24"/>
                <w:lang w:val="en-US" w:eastAsia="zh-CN"/>
              </w:rPr>
              <w:t>现有</w:t>
            </w:r>
            <w:r>
              <w:rPr>
                <w:rFonts w:hint="eastAsia"/>
                <w:b/>
                <w:sz w:val="24"/>
              </w:rPr>
              <w:t>项目审批情况汇总表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161"/>
              <w:gridCol w:w="4332"/>
              <w:gridCol w:w="975"/>
              <w:gridCol w:w="944"/>
            </w:tblGrid>
            <w:tr w14:paraId="28B3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23" w:type="dxa"/>
                  <w:tcMar>
                    <w:left w:w="57" w:type="dxa"/>
                    <w:right w:w="57" w:type="dxa"/>
                  </w:tcMar>
                  <w:vAlign w:val="center"/>
                </w:tcPr>
                <w:p w14:paraId="4DDEBE55">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序号</w:t>
                  </w:r>
                </w:p>
              </w:tc>
              <w:tc>
                <w:tcPr>
                  <w:tcW w:w="1161" w:type="dxa"/>
                  <w:tcMar>
                    <w:left w:w="57" w:type="dxa"/>
                    <w:right w:w="57" w:type="dxa"/>
                  </w:tcMar>
                  <w:vAlign w:val="center"/>
                </w:tcPr>
                <w:p w14:paraId="6F449D25">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项目名称</w:t>
                  </w:r>
                </w:p>
              </w:tc>
              <w:tc>
                <w:tcPr>
                  <w:tcW w:w="4332" w:type="dxa"/>
                  <w:tcMar>
                    <w:left w:w="57" w:type="dxa"/>
                    <w:right w:w="57" w:type="dxa"/>
                  </w:tcMar>
                  <w:vAlign w:val="center"/>
                </w:tcPr>
                <w:p w14:paraId="1F773C5D">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主要建设内容</w:t>
                  </w:r>
                </w:p>
              </w:tc>
              <w:tc>
                <w:tcPr>
                  <w:tcW w:w="975" w:type="dxa"/>
                  <w:tcMar>
                    <w:left w:w="57" w:type="dxa"/>
                    <w:right w:w="57" w:type="dxa"/>
                  </w:tcMar>
                  <w:vAlign w:val="center"/>
                </w:tcPr>
                <w:p w14:paraId="2D925CA7">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环评批复</w:t>
                  </w:r>
                </w:p>
              </w:tc>
              <w:tc>
                <w:tcPr>
                  <w:tcW w:w="944" w:type="dxa"/>
                  <w:tcMar>
                    <w:left w:w="57" w:type="dxa"/>
                    <w:right w:w="57" w:type="dxa"/>
                  </w:tcMar>
                  <w:vAlign w:val="center"/>
                </w:tcPr>
                <w:p w14:paraId="01BCC833">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验收情况</w:t>
                  </w:r>
                </w:p>
              </w:tc>
            </w:tr>
            <w:tr w14:paraId="1D27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tcMar>
                    <w:left w:w="57" w:type="dxa"/>
                    <w:right w:w="57" w:type="dxa"/>
                  </w:tcMar>
                  <w:vAlign w:val="center"/>
                </w:tcPr>
                <w:p w14:paraId="39EF9657">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1</w:t>
                  </w:r>
                </w:p>
              </w:tc>
              <w:tc>
                <w:tcPr>
                  <w:tcW w:w="1161" w:type="dxa"/>
                  <w:tcMar>
                    <w:left w:w="57" w:type="dxa"/>
                    <w:right w:w="57" w:type="dxa"/>
                  </w:tcMar>
                  <w:vAlign w:val="center"/>
                </w:tcPr>
                <w:p w14:paraId="2B40FC82">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广西盛隆冶金有限公司建成违规项目环保备案</w:t>
                  </w:r>
                </w:p>
              </w:tc>
              <w:tc>
                <w:tcPr>
                  <w:tcW w:w="4332" w:type="dxa"/>
                  <w:tcMar>
                    <w:left w:w="57" w:type="dxa"/>
                    <w:right w:w="57" w:type="dxa"/>
                  </w:tcMar>
                  <w:vAlign w:val="center"/>
                </w:tcPr>
                <w:p w14:paraId="65C9FFB9">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4座焦炉（2×60孔顶装焦炉+2×60孔捣固焦炉）、4台烧结机（2×90m</w:t>
                  </w:r>
                  <w:r>
                    <w:rPr>
                      <w:rFonts w:ascii="Times New Roman" w:eastAsiaTheme="minorEastAsia"/>
                      <w:szCs w:val="21"/>
                      <w:vertAlign w:val="superscript"/>
                    </w:rPr>
                    <w:t>2</w:t>
                  </w:r>
                  <w:r>
                    <w:rPr>
                      <w:rFonts w:ascii="Times New Roman" w:eastAsiaTheme="minorEastAsia"/>
                      <w:szCs w:val="21"/>
                    </w:rPr>
                    <w:t>+2×320m</w:t>
                  </w:r>
                  <w:r>
                    <w:rPr>
                      <w:rFonts w:ascii="Times New Roman" w:eastAsiaTheme="minorEastAsia"/>
                      <w:szCs w:val="21"/>
                      <w:vertAlign w:val="superscript"/>
                    </w:rPr>
                    <w:t>2</w:t>
                  </w:r>
                  <w:r>
                    <w:rPr>
                      <w:rFonts w:ascii="Times New Roman" w:eastAsiaTheme="minorEastAsia"/>
                      <w:szCs w:val="21"/>
                    </w:rPr>
                    <w:t>）、2座16m</w:t>
                  </w:r>
                  <w:r>
                    <w:rPr>
                      <w:rFonts w:ascii="Times New Roman" w:eastAsiaTheme="minorEastAsia"/>
                      <w:szCs w:val="21"/>
                      <w:vertAlign w:val="superscript"/>
                    </w:rPr>
                    <w:t>2</w:t>
                  </w:r>
                  <w:r>
                    <w:rPr>
                      <w:rFonts w:ascii="Times New Roman" w:eastAsiaTheme="minorEastAsia"/>
                      <w:szCs w:val="21"/>
                    </w:rPr>
                    <w:t>球团竖炉、6座高炉（2×450m</w:t>
                  </w:r>
                  <w:r>
                    <w:rPr>
                      <w:rFonts w:ascii="Times New Roman" w:eastAsiaTheme="minorEastAsia"/>
                      <w:szCs w:val="21"/>
                      <w:vertAlign w:val="superscript"/>
                    </w:rPr>
                    <w:t>3</w:t>
                  </w:r>
                  <w:r>
                    <w:rPr>
                      <w:rFonts w:ascii="Times New Roman" w:eastAsiaTheme="minorEastAsia"/>
                      <w:szCs w:val="21"/>
                    </w:rPr>
                    <w:t>+2×600m</w:t>
                  </w:r>
                  <w:r>
                    <w:rPr>
                      <w:rFonts w:ascii="Times New Roman" w:eastAsiaTheme="minorEastAsia"/>
                      <w:szCs w:val="21"/>
                      <w:vertAlign w:val="superscript"/>
                    </w:rPr>
                    <w:t>3</w:t>
                  </w:r>
                  <w:r>
                    <w:rPr>
                      <w:rFonts w:ascii="Times New Roman" w:eastAsiaTheme="minorEastAsia"/>
                      <w:szCs w:val="21"/>
                    </w:rPr>
                    <w:t>+2×1600m</w:t>
                  </w:r>
                  <w:r>
                    <w:rPr>
                      <w:rFonts w:ascii="Times New Roman" w:eastAsiaTheme="minorEastAsia"/>
                      <w:szCs w:val="21"/>
                      <w:vertAlign w:val="superscript"/>
                    </w:rPr>
                    <w:t>3</w:t>
                  </w:r>
                  <w:r>
                    <w:rPr>
                      <w:rFonts w:ascii="Times New Roman" w:eastAsiaTheme="minorEastAsia"/>
                      <w:szCs w:val="21"/>
                    </w:rPr>
                    <w:t>）、5座转炉（2×60t+3×80t）、6条热轧生产线（2×切分轧制高速棒材生产线+2×90m高速线材生产线+1×95m高速线材生产线）、8座500t/d石灰窑和5套燃气发电机组（2×30MW+2×80MW+1×85MW）</w:t>
                  </w:r>
                </w:p>
              </w:tc>
              <w:tc>
                <w:tcPr>
                  <w:tcW w:w="975" w:type="dxa"/>
                  <w:tcMar>
                    <w:left w:w="57" w:type="dxa"/>
                    <w:right w:w="57" w:type="dxa"/>
                  </w:tcMar>
                  <w:vAlign w:val="center"/>
                </w:tcPr>
                <w:p w14:paraId="3E38BC25">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桂环函〔2017〕697号</w:t>
                  </w:r>
                </w:p>
              </w:tc>
              <w:tc>
                <w:tcPr>
                  <w:tcW w:w="944" w:type="dxa"/>
                  <w:tcMar>
                    <w:left w:w="57" w:type="dxa"/>
                    <w:right w:w="57" w:type="dxa"/>
                  </w:tcMar>
                  <w:vAlign w:val="center"/>
                </w:tcPr>
                <w:p w14:paraId="65989939">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环保备案，不另验收</w:t>
                  </w:r>
                </w:p>
              </w:tc>
            </w:tr>
            <w:tr w14:paraId="76DF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tcMar>
                    <w:left w:w="57" w:type="dxa"/>
                    <w:right w:w="57" w:type="dxa"/>
                  </w:tcMar>
                  <w:vAlign w:val="center"/>
                </w:tcPr>
                <w:p w14:paraId="6195F9CD">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w:t>
                  </w:r>
                </w:p>
              </w:tc>
              <w:tc>
                <w:tcPr>
                  <w:tcW w:w="1161" w:type="dxa"/>
                  <w:tcMar>
                    <w:left w:w="57" w:type="dxa"/>
                    <w:right w:w="57" w:type="dxa"/>
                  </w:tcMar>
                  <w:vAlign w:val="center"/>
                </w:tcPr>
                <w:p w14:paraId="08AF194B">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广西盛隆冶金有限公司产业升级技术改造工程</w:t>
                  </w:r>
                </w:p>
              </w:tc>
              <w:tc>
                <w:tcPr>
                  <w:tcW w:w="4332" w:type="dxa"/>
                  <w:tcMar>
                    <w:left w:w="57" w:type="dxa"/>
                    <w:right w:w="57" w:type="dxa"/>
                  </w:tcMar>
                  <w:vAlign w:val="center"/>
                </w:tcPr>
                <w:p w14:paraId="7E8FCAC2">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2台360m</w:t>
                  </w:r>
                  <w:r>
                    <w:rPr>
                      <w:rFonts w:ascii="Times New Roman" w:eastAsiaTheme="minorEastAsia"/>
                      <w:szCs w:val="21"/>
                      <w:vertAlign w:val="superscript"/>
                    </w:rPr>
                    <w:t>2</w:t>
                  </w:r>
                  <w:r>
                    <w:rPr>
                      <w:rFonts w:ascii="Times New Roman" w:eastAsiaTheme="minorEastAsia"/>
                      <w:szCs w:val="21"/>
                    </w:rPr>
                    <w:t>烧结机、2座1680m</w:t>
                  </w:r>
                  <w:r>
                    <w:rPr>
                      <w:rFonts w:ascii="Times New Roman" w:eastAsiaTheme="minorEastAsia"/>
                      <w:szCs w:val="21"/>
                      <w:vertAlign w:val="superscript"/>
                    </w:rPr>
                    <w:t>3</w:t>
                  </w:r>
                  <w:r>
                    <w:rPr>
                      <w:rFonts w:ascii="Times New Roman" w:eastAsiaTheme="minorEastAsia"/>
                      <w:szCs w:val="21"/>
                    </w:rPr>
                    <w:t>高炉、2座150t顶底复吹转炉（配套2套KR铁水预处理装置、2座150t LF钢包精炼炉和2台R9m双流直弧形板坯连铸机）、1条1780mm热轧带钢生产线以及相关配套设施，新建1座800m</w:t>
                  </w:r>
                  <w:r>
                    <w:rPr>
                      <w:rFonts w:ascii="Times New Roman" w:eastAsiaTheme="minorEastAsia"/>
                      <w:szCs w:val="21"/>
                      <w:vertAlign w:val="superscript"/>
                    </w:rPr>
                    <w:t>3</w:t>
                  </w:r>
                  <w:r>
                    <w:rPr>
                      <w:rFonts w:ascii="Times New Roman" w:eastAsiaTheme="minorEastAsia"/>
                      <w:szCs w:val="21"/>
                    </w:rPr>
                    <w:t>/h生产废水处理站和1座80m</w:t>
                  </w:r>
                  <w:r>
                    <w:rPr>
                      <w:rFonts w:ascii="Times New Roman" w:eastAsiaTheme="minorEastAsia"/>
                      <w:szCs w:val="21"/>
                      <w:vertAlign w:val="superscript"/>
                    </w:rPr>
                    <w:t>3</w:t>
                  </w:r>
                  <w:r>
                    <w:rPr>
                      <w:rFonts w:ascii="Times New Roman" w:eastAsiaTheme="minorEastAsia"/>
                      <w:szCs w:val="21"/>
                    </w:rPr>
                    <w:t>/h生活污水处理站，设计年产298万t铁、340万t钢和330万t材。同步淘汰低效炼铁产能300万t和炼钢产能340万t，包括：2台90m</w:t>
                  </w:r>
                  <w:r>
                    <w:rPr>
                      <w:rFonts w:ascii="Times New Roman" w:eastAsiaTheme="minorEastAsia"/>
                      <w:szCs w:val="21"/>
                      <w:vertAlign w:val="superscript"/>
                    </w:rPr>
                    <w:t>2</w:t>
                  </w:r>
                  <w:r>
                    <w:rPr>
                      <w:rFonts w:ascii="Times New Roman" w:eastAsiaTheme="minorEastAsia"/>
                      <w:szCs w:val="21"/>
                    </w:rPr>
                    <w:t>烧结机、2座450m</w:t>
                  </w:r>
                  <w:r>
                    <w:rPr>
                      <w:rFonts w:ascii="Times New Roman" w:eastAsiaTheme="minorEastAsia"/>
                      <w:szCs w:val="21"/>
                      <w:vertAlign w:val="superscript"/>
                    </w:rPr>
                    <w:t>3</w:t>
                  </w:r>
                  <w:r>
                    <w:rPr>
                      <w:rFonts w:ascii="Times New Roman" w:eastAsiaTheme="minorEastAsia"/>
                      <w:szCs w:val="21"/>
                    </w:rPr>
                    <w:t>高炉、2座600m</w:t>
                  </w:r>
                  <w:r>
                    <w:rPr>
                      <w:rFonts w:ascii="Times New Roman" w:eastAsiaTheme="minorEastAsia"/>
                      <w:szCs w:val="21"/>
                      <w:vertAlign w:val="superscript"/>
                    </w:rPr>
                    <w:t>3</w:t>
                  </w:r>
                  <w:r>
                    <w:rPr>
                      <w:rFonts w:ascii="Times New Roman" w:eastAsiaTheme="minorEastAsia"/>
                      <w:szCs w:val="21"/>
                    </w:rPr>
                    <w:t>高炉、2座60t转炉、1座80t转炉以及相关配套设施（包括2×5机5流方坯连铸机、1×6机6流方坯连铸机）</w:t>
                  </w:r>
                </w:p>
              </w:tc>
              <w:tc>
                <w:tcPr>
                  <w:tcW w:w="975" w:type="dxa"/>
                  <w:tcMar>
                    <w:left w:w="57" w:type="dxa"/>
                    <w:right w:w="57" w:type="dxa"/>
                  </w:tcMar>
                  <w:vAlign w:val="center"/>
                </w:tcPr>
                <w:p w14:paraId="4385E84B">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桂环审〔2018〕181号</w:t>
                  </w:r>
                </w:p>
              </w:tc>
              <w:tc>
                <w:tcPr>
                  <w:tcW w:w="944" w:type="dxa"/>
                  <w:tcMar>
                    <w:left w:w="57" w:type="dxa"/>
                    <w:right w:w="57" w:type="dxa"/>
                  </w:tcMar>
                  <w:vAlign w:val="center"/>
                </w:tcPr>
                <w:p w14:paraId="0DD4DF87">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2022年9月底已通过环保自主验收</w:t>
                  </w:r>
                </w:p>
              </w:tc>
            </w:tr>
            <w:tr w14:paraId="2C87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tcMar>
                    <w:left w:w="57" w:type="dxa"/>
                    <w:right w:w="57" w:type="dxa"/>
                  </w:tcMar>
                  <w:vAlign w:val="center"/>
                </w:tcPr>
                <w:p w14:paraId="72289206">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3</w:t>
                  </w:r>
                </w:p>
              </w:tc>
              <w:tc>
                <w:tcPr>
                  <w:tcW w:w="1161" w:type="dxa"/>
                  <w:tcMar>
                    <w:left w:w="57" w:type="dxa"/>
                    <w:right w:w="57" w:type="dxa"/>
                  </w:tcMar>
                  <w:vAlign w:val="center"/>
                </w:tcPr>
                <w:p w14:paraId="35B8A237">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广西盛隆冶金有限公司4×600t石灰窑项目</w:t>
                  </w:r>
                </w:p>
              </w:tc>
              <w:tc>
                <w:tcPr>
                  <w:tcW w:w="4332" w:type="dxa"/>
                  <w:tcMar>
                    <w:left w:w="57" w:type="dxa"/>
                    <w:right w:w="57" w:type="dxa"/>
                  </w:tcMar>
                  <w:vAlign w:val="center"/>
                </w:tcPr>
                <w:p w14:paraId="6C28EE76">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 xml:space="preserve">4座600t/d石灰窑及相关配套设施，设计年产活性石灰80万t </w:t>
                  </w:r>
                </w:p>
              </w:tc>
              <w:tc>
                <w:tcPr>
                  <w:tcW w:w="975" w:type="dxa"/>
                  <w:tcMar>
                    <w:left w:w="57" w:type="dxa"/>
                    <w:right w:w="57" w:type="dxa"/>
                  </w:tcMar>
                  <w:vAlign w:val="center"/>
                </w:tcPr>
                <w:p w14:paraId="21810BD0">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港区环管发〔2019〕16号</w:t>
                  </w:r>
                </w:p>
              </w:tc>
              <w:tc>
                <w:tcPr>
                  <w:tcW w:w="944" w:type="dxa"/>
                  <w:tcMar>
                    <w:left w:w="57" w:type="dxa"/>
                    <w:right w:w="57" w:type="dxa"/>
                  </w:tcMar>
                  <w:vAlign w:val="center"/>
                </w:tcPr>
                <w:p w14:paraId="3E9BEE78">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2021年1月已通过环保自主验收</w:t>
                  </w:r>
                </w:p>
              </w:tc>
            </w:tr>
            <w:tr w14:paraId="56A1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tcMar>
                    <w:left w:w="57" w:type="dxa"/>
                    <w:right w:w="57" w:type="dxa"/>
                  </w:tcMar>
                  <w:vAlign w:val="center"/>
                </w:tcPr>
                <w:p w14:paraId="6B408206">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4</w:t>
                  </w:r>
                </w:p>
              </w:tc>
              <w:tc>
                <w:tcPr>
                  <w:tcW w:w="1161" w:type="dxa"/>
                  <w:tcMar>
                    <w:left w:w="57" w:type="dxa"/>
                    <w:right w:w="57" w:type="dxa"/>
                  </w:tcMar>
                  <w:vAlign w:val="center"/>
                </w:tcPr>
                <w:p w14:paraId="10EBEA1F">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石墨烯基海洋工程用防腐钢材产业化生产线（一期）</w:t>
                  </w:r>
                </w:p>
              </w:tc>
              <w:tc>
                <w:tcPr>
                  <w:tcW w:w="4332" w:type="dxa"/>
                  <w:tcMar>
                    <w:left w:w="57" w:type="dxa"/>
                    <w:right w:w="57" w:type="dxa"/>
                  </w:tcMar>
                  <w:vAlign w:val="center"/>
                </w:tcPr>
                <w:p w14:paraId="493B8268">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 xml:space="preserve">1条100万t/a高速棒材生产线（预留石墨烯防腐涂层涂装工段位置）及相关配套设施，设计年产Φ12mm~Φ16mm螺纹钢100万t </w:t>
                  </w:r>
                </w:p>
              </w:tc>
              <w:tc>
                <w:tcPr>
                  <w:tcW w:w="975" w:type="dxa"/>
                  <w:tcMar>
                    <w:left w:w="57" w:type="dxa"/>
                    <w:right w:w="57" w:type="dxa"/>
                  </w:tcMar>
                  <w:vAlign w:val="center"/>
                </w:tcPr>
                <w:p w14:paraId="436C50B3">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港区环管发〔2019〕23号</w:t>
                  </w:r>
                </w:p>
              </w:tc>
              <w:tc>
                <w:tcPr>
                  <w:tcW w:w="944" w:type="dxa"/>
                  <w:tcMar>
                    <w:left w:w="57" w:type="dxa"/>
                    <w:right w:w="57" w:type="dxa"/>
                  </w:tcMar>
                  <w:vAlign w:val="center"/>
                </w:tcPr>
                <w:p w14:paraId="0AF52B17">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2020年12月已通过环保自主验收</w:t>
                  </w:r>
                </w:p>
              </w:tc>
            </w:tr>
            <w:tr w14:paraId="3959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tcMar>
                    <w:left w:w="57" w:type="dxa"/>
                    <w:right w:w="57" w:type="dxa"/>
                  </w:tcMar>
                  <w:vAlign w:val="center"/>
                </w:tcPr>
                <w:p w14:paraId="2A488ABA">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5</w:t>
                  </w:r>
                </w:p>
              </w:tc>
              <w:tc>
                <w:tcPr>
                  <w:tcW w:w="1161" w:type="dxa"/>
                  <w:tcMar>
                    <w:left w:w="57" w:type="dxa"/>
                    <w:right w:w="57" w:type="dxa"/>
                  </w:tcMar>
                  <w:vAlign w:val="center"/>
                </w:tcPr>
                <w:p w14:paraId="56F09A4A">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石墨烯基海洋工程用防腐钢材产业化生产线（二期）</w:t>
                  </w:r>
                </w:p>
              </w:tc>
              <w:tc>
                <w:tcPr>
                  <w:tcW w:w="4332" w:type="dxa"/>
                  <w:tcMar>
                    <w:left w:w="57" w:type="dxa"/>
                    <w:right w:w="57" w:type="dxa"/>
                  </w:tcMar>
                  <w:vAlign w:val="center"/>
                </w:tcPr>
                <w:p w14:paraId="73E082D0">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石墨烯一期工程预留的石墨烯防腐涂装设备及配套设施，对一期工程生产的100万t/aΦ12mm~Φ16mm螺纹钢进行石墨烯防腐表面处理</w:t>
                  </w:r>
                </w:p>
              </w:tc>
              <w:tc>
                <w:tcPr>
                  <w:tcW w:w="975" w:type="dxa"/>
                  <w:tcMar>
                    <w:left w:w="57" w:type="dxa"/>
                    <w:right w:w="57" w:type="dxa"/>
                  </w:tcMar>
                  <w:vAlign w:val="center"/>
                </w:tcPr>
                <w:p w14:paraId="13901EA4">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防审批市政交通环保〔2019〕124号</w:t>
                  </w:r>
                </w:p>
              </w:tc>
              <w:tc>
                <w:tcPr>
                  <w:tcW w:w="944" w:type="dxa"/>
                  <w:tcMar>
                    <w:left w:w="57" w:type="dxa"/>
                    <w:right w:w="57" w:type="dxa"/>
                  </w:tcMar>
                  <w:vAlign w:val="center"/>
                </w:tcPr>
                <w:p w14:paraId="5EB8107E">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2020年12月已通过环保自主验收</w:t>
                  </w:r>
                </w:p>
              </w:tc>
            </w:tr>
            <w:tr w14:paraId="5E2E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tcMar>
                    <w:left w:w="57" w:type="dxa"/>
                    <w:right w:w="57" w:type="dxa"/>
                  </w:tcMar>
                  <w:vAlign w:val="center"/>
                </w:tcPr>
                <w:p w14:paraId="655C4E95">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6</w:t>
                  </w:r>
                </w:p>
              </w:tc>
              <w:tc>
                <w:tcPr>
                  <w:tcW w:w="1161" w:type="dxa"/>
                  <w:tcMar>
                    <w:left w:w="57" w:type="dxa"/>
                    <w:right w:w="57" w:type="dxa"/>
                  </w:tcMar>
                  <w:vAlign w:val="center"/>
                </w:tcPr>
                <w:p w14:paraId="6E507EA5">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钛纳米涂层阻锈钢筋生产线项目</w:t>
                  </w:r>
                </w:p>
              </w:tc>
              <w:tc>
                <w:tcPr>
                  <w:tcW w:w="4332" w:type="dxa"/>
                  <w:tcMar>
                    <w:left w:w="57" w:type="dxa"/>
                    <w:right w:w="57" w:type="dxa"/>
                  </w:tcMar>
                  <w:vAlign w:val="center"/>
                </w:tcPr>
                <w:p w14:paraId="089A3C2F">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1条120万t/a全连轧棒材生产线，设计年产钢筋120万t（其中：Ф16mm~Φ32mm热轧带肋钢筋100万t/a，Ф16mm~Φ25mm热轧圆钢5万t/a，Ф20mm~Φ60mm热轧圆钢15万t/a）</w:t>
                  </w:r>
                </w:p>
              </w:tc>
              <w:tc>
                <w:tcPr>
                  <w:tcW w:w="975" w:type="dxa"/>
                  <w:tcMar>
                    <w:left w:w="57" w:type="dxa"/>
                    <w:right w:w="57" w:type="dxa"/>
                  </w:tcMar>
                  <w:vAlign w:val="center"/>
                </w:tcPr>
                <w:p w14:paraId="7EEB49EA">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防审批市政交通环保〔2019〕194号</w:t>
                  </w:r>
                </w:p>
              </w:tc>
              <w:tc>
                <w:tcPr>
                  <w:tcW w:w="944" w:type="dxa"/>
                  <w:tcMar>
                    <w:left w:w="57" w:type="dxa"/>
                    <w:right w:w="57" w:type="dxa"/>
                  </w:tcMar>
                  <w:vAlign w:val="center"/>
                </w:tcPr>
                <w:p w14:paraId="253D839B">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2020年12月已通过环保自主验收</w:t>
                  </w:r>
                </w:p>
              </w:tc>
            </w:tr>
            <w:tr w14:paraId="3C4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tcMar>
                    <w:left w:w="57" w:type="dxa"/>
                    <w:right w:w="57" w:type="dxa"/>
                  </w:tcMar>
                  <w:vAlign w:val="center"/>
                </w:tcPr>
                <w:p w14:paraId="0FAA3704">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7</w:t>
                  </w:r>
                </w:p>
              </w:tc>
              <w:tc>
                <w:tcPr>
                  <w:tcW w:w="1161" w:type="dxa"/>
                  <w:tcMar>
                    <w:left w:w="57" w:type="dxa"/>
                    <w:right w:w="57" w:type="dxa"/>
                  </w:tcMar>
                  <w:vAlign w:val="center"/>
                </w:tcPr>
                <w:p w14:paraId="5EC0F9C7">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广西盛隆冶金有限公司产业升级技术改造工程（第二阶段）变更项目</w:t>
                  </w:r>
                </w:p>
              </w:tc>
              <w:tc>
                <w:tcPr>
                  <w:tcW w:w="4332" w:type="dxa"/>
                  <w:tcMar>
                    <w:left w:w="57" w:type="dxa"/>
                    <w:right w:w="57" w:type="dxa"/>
                  </w:tcMar>
                  <w:vAlign w:val="center"/>
                </w:tcPr>
                <w:p w14:paraId="24B7997D">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对原环评批复的1台320m</w:t>
                  </w:r>
                  <w:r>
                    <w:rPr>
                      <w:rFonts w:ascii="Times New Roman" w:eastAsiaTheme="minorEastAsia"/>
                      <w:szCs w:val="21"/>
                      <w:vertAlign w:val="superscript"/>
                    </w:rPr>
                    <w:t>2</w:t>
                  </w:r>
                  <w:r>
                    <w:rPr>
                      <w:rFonts w:ascii="Times New Roman" w:eastAsiaTheme="minorEastAsia"/>
                      <w:szCs w:val="21"/>
                    </w:rPr>
                    <w:t>烧结机变更为1台450m</w:t>
                  </w:r>
                  <w:r>
                    <w:rPr>
                      <w:rFonts w:ascii="Times New Roman" w:eastAsiaTheme="minorEastAsia"/>
                      <w:szCs w:val="21"/>
                      <w:vertAlign w:val="superscript"/>
                    </w:rPr>
                    <w:t>2</w:t>
                  </w:r>
                  <w:r>
                    <w:rPr>
                      <w:rFonts w:ascii="Times New Roman" w:eastAsiaTheme="minorEastAsia"/>
                      <w:szCs w:val="21"/>
                    </w:rPr>
                    <w:t>烧结机、1条400万t/a带式焙烧机变更为1条300万t/a带式焙烧机、1条1580mm热轧板带钢生产线进行变更为1条2250mm热轧板带钢生产线，另将企业原有的2条切分轧制高速棒材生产线置换为1条双高速棒材生产线</w:t>
                  </w:r>
                </w:p>
              </w:tc>
              <w:tc>
                <w:tcPr>
                  <w:tcW w:w="975" w:type="dxa"/>
                  <w:tcMar>
                    <w:left w:w="57" w:type="dxa"/>
                    <w:right w:w="57" w:type="dxa"/>
                  </w:tcMar>
                  <w:vAlign w:val="center"/>
                </w:tcPr>
                <w:p w14:paraId="2811BAB1">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桂环审〔2023〕220号</w:t>
                  </w:r>
                </w:p>
              </w:tc>
              <w:tc>
                <w:tcPr>
                  <w:tcW w:w="944" w:type="dxa"/>
                  <w:tcMar>
                    <w:left w:w="57" w:type="dxa"/>
                    <w:right w:w="57" w:type="dxa"/>
                  </w:tcMar>
                  <w:vAlign w:val="center"/>
                </w:tcPr>
                <w:p w14:paraId="3AAD278C">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2023年8月通过环保自主验收</w:t>
                  </w:r>
                </w:p>
              </w:tc>
            </w:tr>
            <w:tr w14:paraId="06C4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tcMar>
                    <w:left w:w="57" w:type="dxa"/>
                    <w:right w:w="57" w:type="dxa"/>
                  </w:tcMar>
                  <w:vAlign w:val="center"/>
                </w:tcPr>
                <w:p w14:paraId="7285BE08">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8</w:t>
                  </w:r>
                </w:p>
              </w:tc>
              <w:tc>
                <w:tcPr>
                  <w:tcW w:w="1161" w:type="dxa"/>
                  <w:tcMar>
                    <w:left w:w="57" w:type="dxa"/>
                    <w:right w:w="57" w:type="dxa"/>
                  </w:tcMar>
                  <w:vAlign w:val="center"/>
                </w:tcPr>
                <w:p w14:paraId="56A7932B">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广西盛隆冶金有限公司产业升级技术改造工程（第二阶段）配套余气发电项目</w:t>
                  </w:r>
                </w:p>
              </w:tc>
              <w:tc>
                <w:tcPr>
                  <w:tcW w:w="4332" w:type="dxa"/>
                  <w:tcMar>
                    <w:left w:w="57" w:type="dxa"/>
                    <w:right w:w="57" w:type="dxa"/>
                  </w:tcMar>
                  <w:vAlign w:val="center"/>
                </w:tcPr>
                <w:p w14:paraId="52D1F5D1">
                  <w:pPr>
                    <w:pStyle w:val="38"/>
                    <w:spacing w:before="24" w:beforeAutospacing="1" w:after="24" w:afterAutospacing="1" w:line="240" w:lineRule="exact"/>
                    <w:rPr>
                      <w:rFonts w:ascii="Times New Roman" w:eastAsiaTheme="minorEastAsia"/>
                      <w:szCs w:val="21"/>
                    </w:rPr>
                  </w:pPr>
                  <w:r>
                    <w:rPr>
                      <w:rFonts w:ascii="Times New Roman" w:eastAsiaTheme="minorEastAsia"/>
                      <w:bCs/>
                      <w:szCs w:val="21"/>
                    </w:rPr>
                    <w:t>3×430t/h高效超临界煤气锅炉+3×145MW高效超临界中间再热凝汽式汽轮机+3×150MW发电机</w:t>
                  </w:r>
                </w:p>
              </w:tc>
              <w:tc>
                <w:tcPr>
                  <w:tcW w:w="975" w:type="dxa"/>
                  <w:tcMar>
                    <w:left w:w="57" w:type="dxa"/>
                    <w:right w:w="57" w:type="dxa"/>
                  </w:tcMar>
                  <w:vAlign w:val="center"/>
                </w:tcPr>
                <w:p w14:paraId="64B0FC56">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防审批市政交通环保〔2021〕218号</w:t>
                  </w:r>
                </w:p>
              </w:tc>
              <w:tc>
                <w:tcPr>
                  <w:tcW w:w="944" w:type="dxa"/>
                  <w:tcMar>
                    <w:left w:w="57" w:type="dxa"/>
                    <w:right w:w="57" w:type="dxa"/>
                  </w:tcMar>
                  <w:vAlign w:val="center"/>
                </w:tcPr>
                <w:p w14:paraId="453F169C">
                  <w:pPr>
                    <w:pStyle w:val="38"/>
                    <w:spacing w:before="24" w:beforeAutospacing="1" w:after="24" w:afterAutospacing="1" w:line="240" w:lineRule="exact"/>
                    <w:rPr>
                      <w:rFonts w:ascii="Times New Roman" w:eastAsiaTheme="minorEastAsia"/>
                      <w:szCs w:val="21"/>
                    </w:rPr>
                  </w:pPr>
                  <w:r>
                    <w:rPr>
                      <w:rFonts w:ascii="Times New Roman" w:eastAsiaTheme="minorEastAsia"/>
                      <w:szCs w:val="21"/>
                    </w:rPr>
                    <w:t>2023年8月已完成环保自主验收</w:t>
                  </w:r>
                </w:p>
              </w:tc>
            </w:tr>
            <w:tr w14:paraId="6F1E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shd w:val="clear" w:color="auto" w:fill="auto"/>
                  <w:tcMar>
                    <w:left w:w="57" w:type="dxa"/>
                    <w:right w:w="57" w:type="dxa"/>
                  </w:tcMar>
                  <w:vAlign w:val="center"/>
                </w:tcPr>
                <w:p w14:paraId="0C689630">
                  <w:pPr>
                    <w:pStyle w:val="38"/>
                    <w:spacing w:before="24" w:beforeAutospacing="1" w:after="24" w:afterAutospacing="1" w:line="240" w:lineRule="exact"/>
                    <w:rPr>
                      <w:rFonts w:ascii="Times New Roman" w:hAnsi="Times New Roman" w:eastAsia="宋体" w:cs="Times New Roman"/>
                      <w:color w:val="auto"/>
                      <w:kern w:val="0"/>
                      <w:sz w:val="18"/>
                      <w:szCs w:val="18"/>
                      <w:lang w:val="en-US" w:eastAsia="zh-CN" w:bidi="ar-SA"/>
                    </w:rPr>
                  </w:pPr>
                  <w:r>
                    <w:rPr>
                      <w:rFonts w:hint="eastAsia" w:ascii="Times New Roman"/>
                      <w:color w:val="auto"/>
                      <w:sz w:val="18"/>
                      <w:szCs w:val="18"/>
                    </w:rPr>
                    <w:t>9</w:t>
                  </w:r>
                </w:p>
              </w:tc>
              <w:tc>
                <w:tcPr>
                  <w:tcW w:w="1161" w:type="dxa"/>
                  <w:shd w:val="clear" w:color="auto" w:fill="auto"/>
                  <w:tcMar>
                    <w:left w:w="57" w:type="dxa"/>
                    <w:right w:w="57" w:type="dxa"/>
                  </w:tcMar>
                  <w:vAlign w:val="center"/>
                </w:tcPr>
                <w:p w14:paraId="35314976">
                  <w:pPr>
                    <w:pStyle w:val="38"/>
                    <w:spacing w:before="24" w:beforeAutospacing="1" w:after="24" w:afterAutospacing="1" w:line="240" w:lineRule="exact"/>
                    <w:rPr>
                      <w:rFonts w:ascii="Times New Roman" w:hAnsi="Times New Roman" w:eastAsia="宋体" w:cs="Times New Roman"/>
                      <w:color w:val="auto"/>
                      <w:kern w:val="0"/>
                      <w:sz w:val="18"/>
                      <w:szCs w:val="18"/>
                      <w:lang w:val="en-US" w:eastAsia="zh-CN" w:bidi="ar-SA"/>
                    </w:rPr>
                  </w:pPr>
                  <w:r>
                    <w:rPr>
                      <w:rFonts w:ascii="Times New Roman"/>
                      <w:color w:val="auto"/>
                      <w:sz w:val="18"/>
                      <w:szCs w:val="18"/>
                    </w:rPr>
                    <w:t>广西盛隆冶金有限公司焦化三期焦炉煤气脱硫副产物利用项目变更</w:t>
                  </w:r>
                </w:p>
              </w:tc>
              <w:tc>
                <w:tcPr>
                  <w:tcW w:w="4332" w:type="dxa"/>
                  <w:shd w:val="clear" w:color="auto" w:fill="auto"/>
                  <w:tcMar>
                    <w:left w:w="57" w:type="dxa"/>
                    <w:right w:w="57" w:type="dxa"/>
                  </w:tcMar>
                  <w:vAlign w:val="center"/>
                </w:tcPr>
                <w:p w14:paraId="495C36BD">
                  <w:pPr>
                    <w:pStyle w:val="38"/>
                    <w:spacing w:before="24" w:beforeAutospacing="1" w:after="24" w:afterAutospacing="1" w:line="240" w:lineRule="exact"/>
                    <w:rPr>
                      <w:rFonts w:ascii="Times New Roman" w:hAnsi="Times New Roman" w:eastAsia="宋体" w:cs="Times New Roman"/>
                      <w:bCs/>
                      <w:color w:val="auto"/>
                      <w:kern w:val="0"/>
                      <w:sz w:val="18"/>
                      <w:szCs w:val="18"/>
                      <w:lang w:val="en-US" w:eastAsia="zh-CN" w:bidi="ar-SA"/>
                    </w:rPr>
                  </w:pPr>
                  <w:r>
                    <w:rPr>
                      <w:rFonts w:ascii="Times New Roman"/>
                      <w:bCs/>
                      <w:color w:val="auto"/>
                      <w:sz w:val="18"/>
                      <w:szCs w:val="18"/>
                    </w:rPr>
                    <w:t>主要建设1条利用焦化煤气脱硫副产物制浓硫酸的生产线，并配套建设附属工程，可年处理脱硫废液2.02万吨（或粗盐约1.22万吨），年产98%硫酸约2.5万吨</w:t>
                  </w:r>
                </w:p>
              </w:tc>
              <w:tc>
                <w:tcPr>
                  <w:tcW w:w="975" w:type="dxa"/>
                  <w:shd w:val="clear" w:color="auto" w:fill="auto"/>
                  <w:tcMar>
                    <w:left w:w="57" w:type="dxa"/>
                    <w:right w:w="57" w:type="dxa"/>
                  </w:tcMar>
                  <w:vAlign w:val="center"/>
                </w:tcPr>
                <w:p w14:paraId="75118260">
                  <w:pPr>
                    <w:pStyle w:val="38"/>
                    <w:spacing w:before="24" w:beforeAutospacing="1" w:after="24" w:afterAutospacing="1" w:line="240" w:lineRule="exact"/>
                    <w:rPr>
                      <w:rFonts w:ascii="Times New Roman" w:hAnsi="Times New Roman" w:eastAsia="宋体" w:cs="Times New Roman"/>
                      <w:color w:val="auto"/>
                      <w:kern w:val="0"/>
                      <w:sz w:val="18"/>
                      <w:szCs w:val="18"/>
                      <w:lang w:val="en-US" w:eastAsia="zh-CN" w:bidi="ar-SA"/>
                    </w:rPr>
                  </w:pPr>
                  <w:r>
                    <w:rPr>
                      <w:rFonts w:ascii="Times New Roman"/>
                      <w:color w:val="auto"/>
                      <w:sz w:val="18"/>
                      <w:szCs w:val="18"/>
                    </w:rPr>
                    <w:t>防审批市政交通环保〔2024〕125号</w:t>
                  </w:r>
                </w:p>
              </w:tc>
              <w:tc>
                <w:tcPr>
                  <w:tcW w:w="944" w:type="dxa"/>
                  <w:shd w:val="clear" w:color="auto" w:fill="auto"/>
                  <w:tcMar>
                    <w:left w:w="57" w:type="dxa"/>
                    <w:right w:w="57" w:type="dxa"/>
                  </w:tcMar>
                  <w:vAlign w:val="center"/>
                </w:tcPr>
                <w:p w14:paraId="2A06EE49">
                  <w:pPr>
                    <w:pStyle w:val="38"/>
                    <w:spacing w:before="24" w:beforeAutospacing="1" w:after="24" w:afterAutospacing="1" w:line="240" w:lineRule="exact"/>
                    <w:rPr>
                      <w:rFonts w:ascii="Times New Roman" w:hAnsi="Times New Roman" w:eastAsia="宋体" w:cs="Times New Roman"/>
                      <w:color w:val="auto"/>
                      <w:kern w:val="0"/>
                      <w:sz w:val="18"/>
                      <w:szCs w:val="18"/>
                      <w:lang w:val="en-US" w:eastAsia="zh-CN" w:bidi="ar-SA"/>
                    </w:rPr>
                  </w:pPr>
                  <w:r>
                    <w:rPr>
                      <w:rFonts w:ascii="Times New Roman"/>
                      <w:color w:val="auto"/>
                      <w:sz w:val="18"/>
                      <w:szCs w:val="18"/>
                    </w:rPr>
                    <w:t>202</w:t>
                  </w:r>
                  <w:r>
                    <w:rPr>
                      <w:rFonts w:hint="eastAsia" w:ascii="Times New Roman"/>
                      <w:color w:val="auto"/>
                      <w:sz w:val="18"/>
                      <w:szCs w:val="18"/>
                    </w:rPr>
                    <w:t>4</w:t>
                  </w:r>
                  <w:r>
                    <w:rPr>
                      <w:rFonts w:ascii="Times New Roman"/>
                      <w:color w:val="auto"/>
                      <w:sz w:val="18"/>
                      <w:szCs w:val="18"/>
                    </w:rPr>
                    <w:t>年</w:t>
                  </w:r>
                  <w:r>
                    <w:rPr>
                      <w:rFonts w:hint="eastAsia" w:ascii="Times New Roman"/>
                      <w:color w:val="auto"/>
                      <w:sz w:val="18"/>
                      <w:szCs w:val="18"/>
                    </w:rPr>
                    <w:t>11</w:t>
                  </w:r>
                  <w:r>
                    <w:rPr>
                      <w:rFonts w:ascii="Times New Roman"/>
                      <w:color w:val="auto"/>
                      <w:sz w:val="18"/>
                      <w:szCs w:val="18"/>
                    </w:rPr>
                    <w:t>月已完成环保自主验收</w:t>
                  </w:r>
                </w:p>
              </w:tc>
            </w:tr>
            <w:tr w14:paraId="7615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dxa"/>
                  <w:shd w:val="clear" w:color="auto" w:fill="auto"/>
                  <w:tcMar>
                    <w:left w:w="57" w:type="dxa"/>
                    <w:right w:w="57" w:type="dxa"/>
                  </w:tcMar>
                  <w:vAlign w:val="center"/>
                </w:tcPr>
                <w:p w14:paraId="2A5835D7">
                  <w:pPr>
                    <w:pStyle w:val="38"/>
                    <w:spacing w:before="24" w:beforeAutospacing="1" w:after="24" w:afterAutospacing="1" w:line="240" w:lineRule="exact"/>
                    <w:rPr>
                      <w:rFonts w:hint="default" w:ascii="Times New Roman" w:eastAsia="宋体"/>
                      <w:color w:val="auto"/>
                      <w:sz w:val="18"/>
                      <w:szCs w:val="18"/>
                      <w:lang w:val="en-US" w:eastAsia="zh-CN"/>
                    </w:rPr>
                  </w:pPr>
                  <w:r>
                    <w:rPr>
                      <w:rFonts w:hint="eastAsia" w:ascii="Times New Roman"/>
                      <w:color w:val="auto"/>
                      <w:sz w:val="18"/>
                      <w:szCs w:val="18"/>
                      <w:lang w:val="en-US" w:eastAsia="zh-CN"/>
                    </w:rPr>
                    <w:t>10</w:t>
                  </w:r>
                </w:p>
              </w:tc>
              <w:tc>
                <w:tcPr>
                  <w:tcW w:w="1161" w:type="dxa"/>
                  <w:shd w:val="clear" w:color="auto" w:fill="auto"/>
                  <w:tcMar>
                    <w:left w:w="57" w:type="dxa"/>
                    <w:right w:w="57" w:type="dxa"/>
                  </w:tcMar>
                  <w:vAlign w:val="center"/>
                </w:tcPr>
                <w:p w14:paraId="7BE0E749">
                  <w:pPr>
                    <w:pStyle w:val="38"/>
                    <w:spacing w:before="24" w:beforeAutospacing="1" w:after="24" w:afterAutospacing="1" w:line="240" w:lineRule="exact"/>
                    <w:rPr>
                      <w:rFonts w:ascii="Times New Roman"/>
                      <w:color w:val="auto"/>
                      <w:sz w:val="18"/>
                      <w:szCs w:val="18"/>
                    </w:rPr>
                  </w:pPr>
                  <w:r>
                    <w:rPr>
                      <w:rFonts w:hint="eastAsia" w:ascii="Times New Roman"/>
                      <w:color w:val="auto"/>
                      <w:sz w:val="18"/>
                      <w:szCs w:val="18"/>
                    </w:rPr>
                    <w:t>广西盛隆冶金有限公司4#干熄焦项目</w:t>
                  </w:r>
                </w:p>
              </w:tc>
              <w:tc>
                <w:tcPr>
                  <w:tcW w:w="4332" w:type="dxa"/>
                  <w:shd w:val="clear" w:color="auto" w:fill="auto"/>
                  <w:tcMar>
                    <w:left w:w="57" w:type="dxa"/>
                    <w:right w:w="57" w:type="dxa"/>
                  </w:tcMar>
                  <w:vAlign w:val="center"/>
                </w:tcPr>
                <w:p w14:paraId="468273FC">
                  <w:pPr>
                    <w:pStyle w:val="38"/>
                    <w:spacing w:before="24" w:beforeAutospacing="1" w:after="24" w:afterAutospacing="1" w:line="240" w:lineRule="exact"/>
                    <w:rPr>
                      <w:rFonts w:ascii="Times New Roman"/>
                      <w:bCs/>
                      <w:color w:val="auto"/>
                      <w:sz w:val="18"/>
                      <w:szCs w:val="18"/>
                    </w:rPr>
                  </w:pPr>
                  <w:r>
                    <w:rPr>
                      <w:rFonts w:hint="eastAsia" w:ascii="Times New Roman"/>
                      <w:bCs/>
                      <w:color w:val="auto"/>
                      <w:sz w:val="18"/>
                      <w:szCs w:val="18"/>
                    </w:rPr>
                    <w:t>广西盛隆冶金有限公司三区焦化在现有210吨/小时干熄焦的基础上，拆除三区焦化原焦炉机侧除尘站、迁车台及部分附属设施，易地建设焦炉机侧除尘站和迁车台及附属轨道（利旧不新建），在熄焦车轨道的另一侧对称位置，利用迁车台位置布置建设1套210吨/小时干熄焦装置，实现正常生产及检修或故障停炉生产时百分之百全干熄焦工艺。并配套建设干熄焦锅炉、综合电气室、干熄焦除尘地面站、迁车台、总图运输、外部管线、给排水、热力、通风、通信、供配电、仪表及生产过程控制等</w:t>
                  </w:r>
                </w:p>
              </w:tc>
              <w:tc>
                <w:tcPr>
                  <w:tcW w:w="975" w:type="dxa"/>
                  <w:shd w:val="clear" w:color="auto" w:fill="auto"/>
                  <w:tcMar>
                    <w:left w:w="57" w:type="dxa"/>
                    <w:right w:w="57" w:type="dxa"/>
                  </w:tcMar>
                  <w:vAlign w:val="center"/>
                </w:tcPr>
                <w:p w14:paraId="59533F47">
                  <w:pPr>
                    <w:pStyle w:val="38"/>
                    <w:spacing w:before="24" w:beforeAutospacing="1" w:after="24" w:afterAutospacing="1" w:line="240" w:lineRule="exact"/>
                    <w:rPr>
                      <w:rFonts w:ascii="Times New Roman"/>
                      <w:color w:val="auto"/>
                      <w:sz w:val="18"/>
                      <w:szCs w:val="18"/>
                    </w:rPr>
                  </w:pPr>
                  <w:r>
                    <w:rPr>
                      <w:rFonts w:ascii="Times New Roman"/>
                      <w:color w:val="auto"/>
                      <w:sz w:val="18"/>
                      <w:szCs w:val="18"/>
                    </w:rPr>
                    <w:t>防审批市政交通环保〔20</w:t>
                  </w:r>
                  <w:r>
                    <w:rPr>
                      <w:rFonts w:hint="eastAsia" w:ascii="Times New Roman"/>
                      <w:color w:val="auto"/>
                      <w:sz w:val="18"/>
                      <w:szCs w:val="18"/>
                      <w:lang w:val="en-US" w:eastAsia="zh-CN"/>
                    </w:rPr>
                    <w:t>25</w:t>
                  </w:r>
                  <w:r>
                    <w:rPr>
                      <w:rFonts w:ascii="Times New Roman"/>
                      <w:color w:val="auto"/>
                      <w:sz w:val="18"/>
                      <w:szCs w:val="18"/>
                    </w:rPr>
                    <w:t>〕1</w:t>
                  </w:r>
                  <w:r>
                    <w:rPr>
                      <w:rFonts w:hint="eastAsia" w:ascii="Times New Roman"/>
                      <w:color w:val="auto"/>
                      <w:sz w:val="18"/>
                      <w:szCs w:val="18"/>
                      <w:lang w:val="en-US" w:eastAsia="zh-CN"/>
                    </w:rPr>
                    <w:t>01</w:t>
                  </w:r>
                  <w:r>
                    <w:rPr>
                      <w:rFonts w:ascii="Times New Roman"/>
                      <w:color w:val="auto"/>
                      <w:sz w:val="18"/>
                      <w:szCs w:val="18"/>
                    </w:rPr>
                    <w:t>号</w:t>
                  </w:r>
                </w:p>
              </w:tc>
              <w:tc>
                <w:tcPr>
                  <w:tcW w:w="944" w:type="dxa"/>
                  <w:shd w:val="clear" w:color="auto" w:fill="auto"/>
                  <w:tcMar>
                    <w:left w:w="57" w:type="dxa"/>
                    <w:right w:w="57" w:type="dxa"/>
                  </w:tcMar>
                  <w:vAlign w:val="center"/>
                </w:tcPr>
                <w:p w14:paraId="68569855">
                  <w:pPr>
                    <w:pStyle w:val="38"/>
                    <w:spacing w:before="24" w:beforeAutospacing="1" w:after="24" w:afterAutospacing="1" w:line="240" w:lineRule="exact"/>
                    <w:rPr>
                      <w:rFonts w:hint="default" w:ascii="Times New Roman" w:eastAsia="宋体"/>
                      <w:color w:val="auto"/>
                      <w:sz w:val="18"/>
                      <w:szCs w:val="18"/>
                      <w:lang w:val="en-US" w:eastAsia="zh-CN"/>
                    </w:rPr>
                  </w:pPr>
                  <w:r>
                    <w:rPr>
                      <w:rFonts w:hint="eastAsia" w:ascii="Times New Roman"/>
                      <w:color w:val="auto"/>
                      <w:sz w:val="18"/>
                      <w:szCs w:val="18"/>
                      <w:lang w:val="en-US" w:eastAsia="zh-CN"/>
                    </w:rPr>
                    <w:t>未建设完成，未验收</w:t>
                  </w:r>
                </w:p>
              </w:tc>
            </w:tr>
          </w:tbl>
          <w:p w14:paraId="72A195EC">
            <w:pPr>
              <w:spacing w:line="500" w:lineRule="atLeast"/>
              <w:ind w:firstLine="482" w:firstLineChars="200"/>
              <w:rPr>
                <w:b/>
                <w:bCs/>
                <w:sz w:val="24"/>
              </w:rPr>
            </w:pPr>
            <w:r>
              <w:rPr>
                <w:rFonts w:hint="eastAsia"/>
                <w:b/>
                <w:bCs/>
                <w:sz w:val="24"/>
              </w:rPr>
              <w:t>2、现有项目污染物排放情况</w:t>
            </w:r>
          </w:p>
          <w:p w14:paraId="3428558B">
            <w:pPr>
              <w:spacing w:line="500" w:lineRule="atLeast"/>
              <w:ind w:firstLine="482" w:firstLineChars="200"/>
              <w:rPr>
                <w:b/>
                <w:bCs/>
                <w:sz w:val="24"/>
              </w:rPr>
            </w:pPr>
            <w:r>
              <w:rPr>
                <w:rFonts w:hint="eastAsia"/>
                <w:b/>
                <w:bCs/>
                <w:sz w:val="24"/>
              </w:rPr>
              <w:t>（1）废气</w:t>
            </w:r>
          </w:p>
          <w:p w14:paraId="7D2B88FA">
            <w:pPr>
              <w:spacing w:line="500" w:lineRule="atLeast"/>
              <w:ind w:firstLine="480" w:firstLineChars="200"/>
              <w:rPr>
                <w:bCs/>
                <w:sz w:val="24"/>
              </w:rPr>
            </w:pPr>
            <w:r>
              <w:rPr>
                <w:rFonts w:hint="eastAsia"/>
                <w:bCs/>
                <w:sz w:val="24"/>
              </w:rPr>
              <w:t>根据企业排污许可执行报告、在线监测数据、自行监测报告、验收监测数据等数据进行核算，现有工程各工序有组织排放的主要大气污染物均可达标排放。</w:t>
            </w:r>
          </w:p>
          <w:p w14:paraId="2385DFD6">
            <w:pPr>
              <w:spacing w:line="500" w:lineRule="atLeast"/>
              <w:ind w:firstLine="480" w:firstLineChars="200"/>
              <w:rPr>
                <w:rFonts w:hint="eastAsia"/>
                <w:bCs/>
                <w:sz w:val="24"/>
              </w:rPr>
            </w:pPr>
            <w:r>
              <w:rPr>
                <w:rFonts w:hint="eastAsia"/>
                <w:bCs/>
                <w:sz w:val="24"/>
              </w:rPr>
              <w:t>根据《广西盛隆冶金有限公司产业升级技术改造工程（第二阶段）变更竣工环境保护验收监测报告》（无组织监测时间2023年6月27日、28日），盛隆公司厂界无组织废气中颗粒物、二氧化硫、氮氧化物及非甲烷总烃均符合《大气污染物综合排放标准》（GB16297-1996）规定的表2新污染源大气污染物排放限值，氨、硫化氢、苯并[a]芘、氰化氢、苯、酚类符合《炼焦化学工业大气污染物排放标准》（GB 16171.1-2024）企业边界大气污染物浓度限值；厂区内焦化工程无组织排放的非甲烷总烃符合《挥发性有机物无组织排放控制标准》（GB37822-2019）表A.1的排放限值。</w:t>
            </w:r>
          </w:p>
          <w:p w14:paraId="5EDFBD6C">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现有工程烧结、球团、炼铁、炼钢工序及原料场无组织颗粒物排放量按照《排污许可证申请与核发技术规范 钢铁工业》（HJ846-2017）“表11钢铁工业不同污染控制措施下的颗粒物排污系数”中的“无组织排污系数”进行核算；鉴于焦化工序未发布无组织颗粒物排污系数，其无组织排放量参照相应环评报告中的核算量（特指PM</w:t>
            </w:r>
            <w:r>
              <w:rPr>
                <w:rFonts w:hint="eastAsia" w:ascii="Times New Roman" w:hAnsi="Times New Roman" w:eastAsia="宋体" w:cs="Times New Roman"/>
                <w:bCs/>
                <w:sz w:val="24"/>
                <w:vertAlign w:val="subscript"/>
              </w:rPr>
              <w:t>10</w:t>
            </w:r>
            <w:r>
              <w:rPr>
                <w:rFonts w:hint="eastAsia" w:ascii="Times New Roman" w:hAnsi="Times New Roman" w:eastAsia="宋体" w:cs="Times New Roman"/>
                <w:bCs/>
                <w:sz w:val="24"/>
              </w:rPr>
              <w:t>）。</w:t>
            </w:r>
          </w:p>
          <w:p w14:paraId="234676D6">
            <w:pPr>
              <w:pStyle w:val="48"/>
              <w:numPr>
                <w:ilvl w:val="2"/>
                <w:numId w:val="2"/>
              </w:numPr>
              <w:spacing w:line="500" w:lineRule="atLeast"/>
              <w:ind w:firstLineChars="0"/>
              <w:jc w:val="center"/>
              <w:rPr>
                <w:rFonts w:hint="eastAsia" w:ascii="Times New Roman" w:hAnsi="Times New Roman" w:eastAsia="宋体" w:cs="Times New Roman"/>
                <w:bCs/>
                <w:sz w:val="24"/>
              </w:rPr>
            </w:pPr>
            <w:r>
              <w:rPr>
                <w:rFonts w:hint="eastAsia" w:ascii="Times New Roman" w:hAnsi="Times New Roman" w:eastAsia="宋体" w:cs="Times New Roman"/>
                <w:b/>
                <w:sz w:val="24"/>
              </w:rPr>
              <w:t>现有工程常规大气污染物排放量汇总表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254"/>
              <w:gridCol w:w="1297"/>
              <w:gridCol w:w="1019"/>
              <w:gridCol w:w="1297"/>
              <w:gridCol w:w="1159"/>
              <w:gridCol w:w="1155"/>
            </w:tblGrid>
            <w:tr w14:paraId="0BA6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Merge w:val="restart"/>
                  <w:vAlign w:val="center"/>
                </w:tcPr>
                <w:p w14:paraId="3186B929">
                  <w:pPr>
                    <w:spacing w:line="240" w:lineRule="exact"/>
                    <w:jc w:val="center"/>
                    <w:rPr>
                      <w:color w:val="auto"/>
                      <w:szCs w:val="21"/>
                    </w:rPr>
                  </w:pPr>
                  <w:r>
                    <w:rPr>
                      <w:color w:val="auto"/>
                      <w:szCs w:val="21"/>
                    </w:rPr>
                    <w:t>序号</w:t>
                  </w:r>
                </w:p>
              </w:tc>
              <w:tc>
                <w:tcPr>
                  <w:tcW w:w="790" w:type="pct"/>
                  <w:vMerge w:val="restart"/>
                  <w:vAlign w:val="center"/>
                </w:tcPr>
                <w:p w14:paraId="4E38E210">
                  <w:pPr>
                    <w:spacing w:line="240" w:lineRule="exact"/>
                    <w:jc w:val="center"/>
                    <w:rPr>
                      <w:color w:val="auto"/>
                      <w:szCs w:val="21"/>
                    </w:rPr>
                  </w:pPr>
                  <w:r>
                    <w:rPr>
                      <w:color w:val="auto"/>
                      <w:szCs w:val="21"/>
                    </w:rPr>
                    <w:t>生产工序</w:t>
                  </w:r>
                </w:p>
              </w:tc>
              <w:tc>
                <w:tcPr>
                  <w:tcW w:w="3735" w:type="pct"/>
                  <w:gridSpan w:val="5"/>
                  <w:vAlign w:val="center"/>
                </w:tcPr>
                <w:p w14:paraId="4E321E8D">
                  <w:pPr>
                    <w:spacing w:line="240" w:lineRule="exact"/>
                    <w:jc w:val="center"/>
                    <w:rPr>
                      <w:color w:val="auto"/>
                      <w:szCs w:val="21"/>
                    </w:rPr>
                  </w:pPr>
                  <w:r>
                    <w:rPr>
                      <w:color w:val="auto"/>
                      <w:szCs w:val="21"/>
                    </w:rPr>
                    <w:t>主要污染物排放量（t/a）</w:t>
                  </w:r>
                </w:p>
              </w:tc>
            </w:tr>
            <w:tr w14:paraId="04BA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Merge w:val="continue"/>
                  <w:vAlign w:val="center"/>
                </w:tcPr>
                <w:p w14:paraId="294E03AA">
                  <w:pPr>
                    <w:spacing w:line="240" w:lineRule="exact"/>
                    <w:jc w:val="center"/>
                    <w:rPr>
                      <w:color w:val="auto"/>
                      <w:szCs w:val="21"/>
                    </w:rPr>
                  </w:pPr>
                </w:p>
              </w:tc>
              <w:tc>
                <w:tcPr>
                  <w:tcW w:w="790" w:type="pct"/>
                  <w:vMerge w:val="continue"/>
                  <w:vAlign w:val="center"/>
                </w:tcPr>
                <w:p w14:paraId="17174F13">
                  <w:pPr>
                    <w:spacing w:line="240" w:lineRule="exact"/>
                    <w:jc w:val="center"/>
                    <w:rPr>
                      <w:color w:val="auto"/>
                      <w:szCs w:val="21"/>
                    </w:rPr>
                  </w:pPr>
                </w:p>
              </w:tc>
              <w:tc>
                <w:tcPr>
                  <w:tcW w:w="2275" w:type="pct"/>
                  <w:gridSpan w:val="3"/>
                  <w:vAlign w:val="center"/>
                </w:tcPr>
                <w:p w14:paraId="11500DBE">
                  <w:pPr>
                    <w:spacing w:line="240" w:lineRule="exact"/>
                    <w:jc w:val="center"/>
                    <w:rPr>
                      <w:color w:val="auto"/>
                      <w:szCs w:val="21"/>
                    </w:rPr>
                  </w:pPr>
                  <w:r>
                    <w:rPr>
                      <w:color w:val="auto"/>
                      <w:szCs w:val="21"/>
                    </w:rPr>
                    <w:t>颗粒物</w:t>
                  </w:r>
                </w:p>
              </w:tc>
              <w:tc>
                <w:tcPr>
                  <w:tcW w:w="730" w:type="pct"/>
                  <w:vMerge w:val="restart"/>
                  <w:vAlign w:val="center"/>
                </w:tcPr>
                <w:p w14:paraId="38FC1153">
                  <w:pPr>
                    <w:spacing w:line="240" w:lineRule="exact"/>
                    <w:jc w:val="center"/>
                    <w:rPr>
                      <w:color w:val="auto"/>
                      <w:szCs w:val="21"/>
                    </w:rPr>
                  </w:pPr>
                  <w:r>
                    <w:rPr>
                      <w:color w:val="auto"/>
                      <w:szCs w:val="21"/>
                    </w:rPr>
                    <w:t>SO</w:t>
                  </w:r>
                  <w:r>
                    <w:rPr>
                      <w:color w:val="auto"/>
                      <w:szCs w:val="21"/>
                      <w:vertAlign w:val="subscript"/>
                    </w:rPr>
                    <w:t>2</w:t>
                  </w:r>
                </w:p>
              </w:tc>
              <w:tc>
                <w:tcPr>
                  <w:tcW w:w="730" w:type="pct"/>
                  <w:vMerge w:val="restart"/>
                  <w:vAlign w:val="center"/>
                </w:tcPr>
                <w:p w14:paraId="3BB10238">
                  <w:pPr>
                    <w:spacing w:line="240" w:lineRule="exact"/>
                    <w:jc w:val="center"/>
                    <w:rPr>
                      <w:color w:val="auto"/>
                      <w:szCs w:val="21"/>
                    </w:rPr>
                  </w:pPr>
                  <w:r>
                    <w:rPr>
                      <w:color w:val="auto"/>
                      <w:szCs w:val="21"/>
                    </w:rPr>
                    <w:t>NO</w:t>
                  </w:r>
                  <w:r>
                    <w:rPr>
                      <w:i/>
                      <w:color w:val="auto"/>
                      <w:szCs w:val="21"/>
                      <w:vertAlign w:val="subscript"/>
                    </w:rPr>
                    <w:t>x</w:t>
                  </w:r>
                </w:p>
              </w:tc>
            </w:tr>
            <w:tr w14:paraId="7AF7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Merge w:val="continue"/>
                  <w:vAlign w:val="center"/>
                </w:tcPr>
                <w:p w14:paraId="204BE194">
                  <w:pPr>
                    <w:spacing w:line="240" w:lineRule="exact"/>
                    <w:jc w:val="center"/>
                    <w:rPr>
                      <w:color w:val="auto"/>
                      <w:szCs w:val="21"/>
                    </w:rPr>
                  </w:pPr>
                </w:p>
              </w:tc>
              <w:tc>
                <w:tcPr>
                  <w:tcW w:w="790" w:type="pct"/>
                  <w:vMerge w:val="continue"/>
                  <w:vAlign w:val="center"/>
                </w:tcPr>
                <w:p w14:paraId="5F09B844">
                  <w:pPr>
                    <w:spacing w:line="240" w:lineRule="exact"/>
                    <w:jc w:val="center"/>
                    <w:rPr>
                      <w:color w:val="auto"/>
                      <w:szCs w:val="21"/>
                    </w:rPr>
                  </w:pPr>
                </w:p>
              </w:tc>
              <w:tc>
                <w:tcPr>
                  <w:tcW w:w="817" w:type="pct"/>
                  <w:vAlign w:val="center"/>
                </w:tcPr>
                <w:p w14:paraId="12FEAE12">
                  <w:pPr>
                    <w:spacing w:line="240" w:lineRule="exact"/>
                    <w:jc w:val="center"/>
                    <w:rPr>
                      <w:color w:val="auto"/>
                      <w:szCs w:val="21"/>
                    </w:rPr>
                  </w:pPr>
                  <w:r>
                    <w:rPr>
                      <w:color w:val="auto"/>
                      <w:szCs w:val="21"/>
                    </w:rPr>
                    <w:t>有组织</w:t>
                  </w:r>
                </w:p>
              </w:tc>
              <w:tc>
                <w:tcPr>
                  <w:tcW w:w="642" w:type="pct"/>
                  <w:vAlign w:val="center"/>
                </w:tcPr>
                <w:p w14:paraId="329E4F95">
                  <w:pPr>
                    <w:spacing w:line="240" w:lineRule="exact"/>
                    <w:jc w:val="center"/>
                    <w:rPr>
                      <w:color w:val="auto"/>
                      <w:szCs w:val="21"/>
                    </w:rPr>
                  </w:pPr>
                  <w:r>
                    <w:rPr>
                      <w:color w:val="auto"/>
                      <w:szCs w:val="21"/>
                    </w:rPr>
                    <w:t>无组织</w:t>
                  </w:r>
                </w:p>
              </w:tc>
              <w:tc>
                <w:tcPr>
                  <w:tcW w:w="817" w:type="pct"/>
                  <w:vAlign w:val="center"/>
                </w:tcPr>
                <w:p w14:paraId="5D0FDF01">
                  <w:pPr>
                    <w:spacing w:line="240" w:lineRule="exact"/>
                    <w:jc w:val="center"/>
                    <w:rPr>
                      <w:color w:val="auto"/>
                      <w:szCs w:val="21"/>
                    </w:rPr>
                  </w:pPr>
                  <w:r>
                    <w:rPr>
                      <w:color w:val="auto"/>
                      <w:szCs w:val="21"/>
                    </w:rPr>
                    <w:t>小计</w:t>
                  </w:r>
                </w:p>
              </w:tc>
              <w:tc>
                <w:tcPr>
                  <w:tcW w:w="730" w:type="pct"/>
                  <w:vMerge w:val="continue"/>
                  <w:vAlign w:val="center"/>
                </w:tcPr>
                <w:p w14:paraId="174F0372">
                  <w:pPr>
                    <w:spacing w:line="240" w:lineRule="exact"/>
                    <w:jc w:val="center"/>
                    <w:rPr>
                      <w:b/>
                      <w:color w:val="auto"/>
                      <w:szCs w:val="21"/>
                    </w:rPr>
                  </w:pPr>
                </w:p>
              </w:tc>
              <w:tc>
                <w:tcPr>
                  <w:tcW w:w="730" w:type="pct"/>
                  <w:vMerge w:val="continue"/>
                  <w:vAlign w:val="center"/>
                </w:tcPr>
                <w:p w14:paraId="394BFE84">
                  <w:pPr>
                    <w:spacing w:line="240" w:lineRule="exact"/>
                    <w:jc w:val="center"/>
                    <w:rPr>
                      <w:b/>
                      <w:color w:val="auto"/>
                      <w:szCs w:val="21"/>
                    </w:rPr>
                  </w:pPr>
                </w:p>
              </w:tc>
            </w:tr>
            <w:tr w14:paraId="6726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2C224CE4">
                  <w:pPr>
                    <w:spacing w:line="240" w:lineRule="exact"/>
                    <w:jc w:val="center"/>
                    <w:rPr>
                      <w:color w:val="auto"/>
                      <w:szCs w:val="21"/>
                    </w:rPr>
                  </w:pPr>
                  <w:r>
                    <w:rPr>
                      <w:color w:val="auto"/>
                      <w:szCs w:val="21"/>
                    </w:rPr>
                    <w:t>1</w:t>
                  </w:r>
                </w:p>
              </w:tc>
              <w:tc>
                <w:tcPr>
                  <w:tcW w:w="790" w:type="pct"/>
                  <w:vAlign w:val="center"/>
                </w:tcPr>
                <w:p w14:paraId="57DF105B">
                  <w:pPr>
                    <w:spacing w:line="240" w:lineRule="exact"/>
                    <w:jc w:val="center"/>
                    <w:rPr>
                      <w:color w:val="auto"/>
                      <w:szCs w:val="21"/>
                    </w:rPr>
                  </w:pPr>
                  <w:r>
                    <w:rPr>
                      <w:color w:val="auto"/>
                      <w:szCs w:val="21"/>
                    </w:rPr>
                    <w:t>焦化</w:t>
                  </w:r>
                </w:p>
              </w:tc>
              <w:tc>
                <w:tcPr>
                  <w:tcW w:w="817" w:type="pct"/>
                  <w:vAlign w:val="center"/>
                </w:tcPr>
                <w:p w14:paraId="105DA777">
                  <w:pPr>
                    <w:spacing w:line="240" w:lineRule="exact"/>
                    <w:jc w:val="center"/>
                    <w:rPr>
                      <w:color w:val="auto"/>
                      <w:szCs w:val="21"/>
                    </w:rPr>
                  </w:pPr>
                  <w:r>
                    <w:rPr>
                      <w:color w:val="auto"/>
                      <w:szCs w:val="21"/>
                    </w:rPr>
                    <w:t>92.515</w:t>
                  </w:r>
                </w:p>
              </w:tc>
              <w:tc>
                <w:tcPr>
                  <w:tcW w:w="642" w:type="pct"/>
                  <w:vAlign w:val="center"/>
                </w:tcPr>
                <w:p w14:paraId="0B8204BA">
                  <w:pPr>
                    <w:spacing w:line="240" w:lineRule="exact"/>
                    <w:jc w:val="center"/>
                    <w:rPr>
                      <w:color w:val="auto"/>
                      <w:szCs w:val="21"/>
                    </w:rPr>
                  </w:pPr>
                  <w:r>
                    <w:rPr>
                      <w:color w:val="auto"/>
                      <w:szCs w:val="21"/>
                    </w:rPr>
                    <w:t>45</w:t>
                  </w:r>
                </w:p>
              </w:tc>
              <w:tc>
                <w:tcPr>
                  <w:tcW w:w="817" w:type="pct"/>
                  <w:vAlign w:val="center"/>
                </w:tcPr>
                <w:p w14:paraId="30508EEB">
                  <w:pPr>
                    <w:spacing w:line="240" w:lineRule="exact"/>
                    <w:jc w:val="center"/>
                    <w:rPr>
                      <w:color w:val="auto"/>
                      <w:szCs w:val="21"/>
                    </w:rPr>
                  </w:pPr>
                  <w:r>
                    <w:rPr>
                      <w:color w:val="auto"/>
                      <w:szCs w:val="21"/>
                    </w:rPr>
                    <w:t>137.515</w:t>
                  </w:r>
                </w:p>
              </w:tc>
              <w:tc>
                <w:tcPr>
                  <w:tcW w:w="730" w:type="pct"/>
                  <w:vAlign w:val="center"/>
                </w:tcPr>
                <w:p w14:paraId="2D8961EB">
                  <w:pPr>
                    <w:spacing w:line="240" w:lineRule="exact"/>
                    <w:jc w:val="center"/>
                    <w:rPr>
                      <w:color w:val="auto"/>
                      <w:szCs w:val="21"/>
                    </w:rPr>
                  </w:pPr>
                  <w:r>
                    <w:rPr>
                      <w:color w:val="auto"/>
                      <w:szCs w:val="21"/>
                    </w:rPr>
                    <w:t>206.36</w:t>
                  </w:r>
                </w:p>
              </w:tc>
              <w:tc>
                <w:tcPr>
                  <w:tcW w:w="730" w:type="pct"/>
                  <w:vAlign w:val="center"/>
                </w:tcPr>
                <w:p w14:paraId="1AB8AD82">
                  <w:pPr>
                    <w:spacing w:line="240" w:lineRule="exact"/>
                    <w:jc w:val="center"/>
                    <w:rPr>
                      <w:color w:val="auto"/>
                      <w:szCs w:val="21"/>
                    </w:rPr>
                  </w:pPr>
                  <w:r>
                    <w:rPr>
                      <w:color w:val="auto"/>
                      <w:szCs w:val="21"/>
                    </w:rPr>
                    <w:t>545.63</w:t>
                  </w:r>
                </w:p>
              </w:tc>
            </w:tr>
            <w:tr w14:paraId="2219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702A088A">
                  <w:pPr>
                    <w:spacing w:line="240" w:lineRule="exact"/>
                    <w:jc w:val="center"/>
                    <w:rPr>
                      <w:color w:val="auto"/>
                      <w:szCs w:val="21"/>
                    </w:rPr>
                  </w:pPr>
                  <w:r>
                    <w:rPr>
                      <w:color w:val="auto"/>
                      <w:szCs w:val="21"/>
                    </w:rPr>
                    <w:t>2</w:t>
                  </w:r>
                </w:p>
              </w:tc>
              <w:tc>
                <w:tcPr>
                  <w:tcW w:w="790" w:type="pct"/>
                  <w:vAlign w:val="center"/>
                </w:tcPr>
                <w:p w14:paraId="2FE8A6FE">
                  <w:pPr>
                    <w:spacing w:line="240" w:lineRule="exact"/>
                    <w:jc w:val="center"/>
                    <w:rPr>
                      <w:color w:val="auto"/>
                      <w:szCs w:val="21"/>
                    </w:rPr>
                  </w:pPr>
                  <w:r>
                    <w:rPr>
                      <w:color w:val="auto"/>
                      <w:szCs w:val="21"/>
                    </w:rPr>
                    <w:t>烧结</w:t>
                  </w:r>
                </w:p>
              </w:tc>
              <w:tc>
                <w:tcPr>
                  <w:tcW w:w="817" w:type="pct"/>
                  <w:vAlign w:val="center"/>
                </w:tcPr>
                <w:p w14:paraId="67E7356B">
                  <w:pPr>
                    <w:spacing w:line="240" w:lineRule="exact"/>
                    <w:jc w:val="center"/>
                    <w:rPr>
                      <w:color w:val="auto"/>
                      <w:szCs w:val="21"/>
                    </w:rPr>
                  </w:pPr>
                  <w:r>
                    <w:rPr>
                      <w:color w:val="auto"/>
                      <w:szCs w:val="21"/>
                    </w:rPr>
                    <w:t>315.27</w:t>
                  </w:r>
                </w:p>
              </w:tc>
              <w:tc>
                <w:tcPr>
                  <w:tcW w:w="642" w:type="pct"/>
                  <w:vAlign w:val="center"/>
                </w:tcPr>
                <w:p w14:paraId="0BD8EFF7">
                  <w:pPr>
                    <w:spacing w:line="240" w:lineRule="exact"/>
                    <w:jc w:val="center"/>
                    <w:rPr>
                      <w:color w:val="auto"/>
                      <w:szCs w:val="21"/>
                    </w:rPr>
                  </w:pPr>
                  <w:r>
                    <w:rPr>
                      <w:color w:val="auto"/>
                      <w:szCs w:val="21"/>
                    </w:rPr>
                    <w:t>293.38</w:t>
                  </w:r>
                </w:p>
              </w:tc>
              <w:tc>
                <w:tcPr>
                  <w:tcW w:w="817" w:type="pct"/>
                  <w:vAlign w:val="center"/>
                </w:tcPr>
                <w:p w14:paraId="53FE01E5">
                  <w:pPr>
                    <w:spacing w:line="240" w:lineRule="exact"/>
                    <w:jc w:val="center"/>
                    <w:rPr>
                      <w:color w:val="auto"/>
                      <w:szCs w:val="21"/>
                    </w:rPr>
                  </w:pPr>
                  <w:r>
                    <w:rPr>
                      <w:color w:val="auto"/>
                      <w:szCs w:val="21"/>
                    </w:rPr>
                    <w:t>608.65</w:t>
                  </w:r>
                </w:p>
              </w:tc>
              <w:tc>
                <w:tcPr>
                  <w:tcW w:w="730" w:type="pct"/>
                  <w:vAlign w:val="center"/>
                </w:tcPr>
                <w:p w14:paraId="7028A1B9">
                  <w:pPr>
                    <w:spacing w:line="240" w:lineRule="exact"/>
                    <w:jc w:val="center"/>
                    <w:rPr>
                      <w:color w:val="auto"/>
                      <w:szCs w:val="21"/>
                    </w:rPr>
                  </w:pPr>
                  <w:r>
                    <w:rPr>
                      <w:color w:val="auto"/>
                      <w:szCs w:val="21"/>
                    </w:rPr>
                    <w:t>282.73</w:t>
                  </w:r>
                </w:p>
              </w:tc>
              <w:tc>
                <w:tcPr>
                  <w:tcW w:w="730" w:type="pct"/>
                  <w:vAlign w:val="center"/>
                </w:tcPr>
                <w:p w14:paraId="171F9F12">
                  <w:pPr>
                    <w:spacing w:line="240" w:lineRule="exact"/>
                    <w:jc w:val="center"/>
                    <w:rPr>
                      <w:color w:val="auto"/>
                      <w:szCs w:val="21"/>
                    </w:rPr>
                  </w:pPr>
                  <w:r>
                    <w:rPr>
                      <w:color w:val="auto"/>
                      <w:szCs w:val="21"/>
                    </w:rPr>
                    <w:t>803.49</w:t>
                  </w:r>
                </w:p>
              </w:tc>
            </w:tr>
            <w:tr w14:paraId="7C36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14FC33DD">
                  <w:pPr>
                    <w:spacing w:line="240" w:lineRule="exact"/>
                    <w:jc w:val="center"/>
                    <w:rPr>
                      <w:color w:val="auto"/>
                      <w:szCs w:val="21"/>
                    </w:rPr>
                  </w:pPr>
                  <w:r>
                    <w:rPr>
                      <w:color w:val="auto"/>
                      <w:szCs w:val="21"/>
                    </w:rPr>
                    <w:t>3</w:t>
                  </w:r>
                </w:p>
              </w:tc>
              <w:tc>
                <w:tcPr>
                  <w:tcW w:w="790" w:type="pct"/>
                  <w:vAlign w:val="center"/>
                </w:tcPr>
                <w:p w14:paraId="5FDAC180">
                  <w:pPr>
                    <w:spacing w:line="240" w:lineRule="exact"/>
                    <w:jc w:val="center"/>
                    <w:rPr>
                      <w:color w:val="auto"/>
                      <w:szCs w:val="21"/>
                    </w:rPr>
                  </w:pPr>
                  <w:r>
                    <w:rPr>
                      <w:color w:val="auto"/>
                      <w:szCs w:val="21"/>
                    </w:rPr>
                    <w:t>球团</w:t>
                  </w:r>
                </w:p>
              </w:tc>
              <w:tc>
                <w:tcPr>
                  <w:tcW w:w="817" w:type="pct"/>
                  <w:vAlign w:val="center"/>
                </w:tcPr>
                <w:p w14:paraId="324AFFB9">
                  <w:pPr>
                    <w:spacing w:line="240" w:lineRule="exact"/>
                    <w:jc w:val="center"/>
                    <w:rPr>
                      <w:color w:val="auto"/>
                      <w:szCs w:val="21"/>
                    </w:rPr>
                  </w:pPr>
                  <w:r>
                    <w:rPr>
                      <w:color w:val="auto"/>
                      <w:szCs w:val="21"/>
                    </w:rPr>
                    <w:t>10.29</w:t>
                  </w:r>
                </w:p>
              </w:tc>
              <w:tc>
                <w:tcPr>
                  <w:tcW w:w="642" w:type="pct"/>
                  <w:vAlign w:val="center"/>
                </w:tcPr>
                <w:p w14:paraId="7987A3B5">
                  <w:pPr>
                    <w:spacing w:line="240" w:lineRule="exact"/>
                    <w:jc w:val="center"/>
                    <w:rPr>
                      <w:color w:val="auto"/>
                      <w:szCs w:val="21"/>
                    </w:rPr>
                  </w:pPr>
                  <w:r>
                    <w:rPr>
                      <w:color w:val="auto"/>
                      <w:szCs w:val="21"/>
                    </w:rPr>
                    <w:t>26.83</w:t>
                  </w:r>
                </w:p>
              </w:tc>
              <w:tc>
                <w:tcPr>
                  <w:tcW w:w="817" w:type="pct"/>
                  <w:vAlign w:val="center"/>
                </w:tcPr>
                <w:p w14:paraId="77EC5349">
                  <w:pPr>
                    <w:spacing w:line="240" w:lineRule="exact"/>
                    <w:jc w:val="center"/>
                    <w:rPr>
                      <w:color w:val="auto"/>
                      <w:szCs w:val="21"/>
                    </w:rPr>
                  </w:pPr>
                  <w:r>
                    <w:rPr>
                      <w:color w:val="auto"/>
                      <w:szCs w:val="21"/>
                    </w:rPr>
                    <w:t>37.12</w:t>
                  </w:r>
                </w:p>
              </w:tc>
              <w:tc>
                <w:tcPr>
                  <w:tcW w:w="730" w:type="pct"/>
                  <w:vAlign w:val="center"/>
                </w:tcPr>
                <w:p w14:paraId="0C467887">
                  <w:pPr>
                    <w:spacing w:line="240" w:lineRule="exact"/>
                    <w:jc w:val="center"/>
                    <w:rPr>
                      <w:color w:val="auto"/>
                      <w:szCs w:val="21"/>
                    </w:rPr>
                  </w:pPr>
                  <w:r>
                    <w:rPr>
                      <w:color w:val="auto"/>
                      <w:szCs w:val="21"/>
                    </w:rPr>
                    <w:t>22.81</w:t>
                  </w:r>
                </w:p>
              </w:tc>
              <w:tc>
                <w:tcPr>
                  <w:tcW w:w="730" w:type="pct"/>
                  <w:vAlign w:val="center"/>
                </w:tcPr>
                <w:p w14:paraId="4CBF04DC">
                  <w:pPr>
                    <w:spacing w:line="240" w:lineRule="exact"/>
                    <w:jc w:val="center"/>
                    <w:rPr>
                      <w:color w:val="auto"/>
                      <w:szCs w:val="21"/>
                    </w:rPr>
                  </w:pPr>
                  <w:r>
                    <w:rPr>
                      <w:color w:val="auto"/>
                      <w:szCs w:val="21"/>
                    </w:rPr>
                    <w:t>128.30</w:t>
                  </w:r>
                </w:p>
              </w:tc>
            </w:tr>
            <w:tr w14:paraId="767C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309A128D">
                  <w:pPr>
                    <w:spacing w:line="240" w:lineRule="exact"/>
                    <w:jc w:val="center"/>
                    <w:rPr>
                      <w:color w:val="auto"/>
                      <w:szCs w:val="21"/>
                    </w:rPr>
                  </w:pPr>
                  <w:r>
                    <w:rPr>
                      <w:color w:val="auto"/>
                      <w:szCs w:val="21"/>
                    </w:rPr>
                    <w:t>4</w:t>
                  </w:r>
                </w:p>
              </w:tc>
              <w:tc>
                <w:tcPr>
                  <w:tcW w:w="790" w:type="pct"/>
                  <w:vAlign w:val="center"/>
                </w:tcPr>
                <w:p w14:paraId="5B18376A">
                  <w:pPr>
                    <w:spacing w:line="240" w:lineRule="exact"/>
                    <w:jc w:val="center"/>
                    <w:rPr>
                      <w:color w:val="auto"/>
                      <w:szCs w:val="21"/>
                    </w:rPr>
                  </w:pPr>
                  <w:r>
                    <w:rPr>
                      <w:color w:val="auto"/>
                      <w:szCs w:val="21"/>
                    </w:rPr>
                    <w:t>炼铁</w:t>
                  </w:r>
                </w:p>
              </w:tc>
              <w:tc>
                <w:tcPr>
                  <w:tcW w:w="817" w:type="pct"/>
                  <w:vAlign w:val="center"/>
                </w:tcPr>
                <w:p w14:paraId="08F14FF9">
                  <w:pPr>
                    <w:spacing w:line="240" w:lineRule="exact"/>
                    <w:jc w:val="center"/>
                    <w:rPr>
                      <w:color w:val="auto"/>
                      <w:szCs w:val="21"/>
                    </w:rPr>
                  </w:pPr>
                  <w:r>
                    <w:rPr>
                      <w:color w:val="auto"/>
                      <w:szCs w:val="21"/>
                    </w:rPr>
                    <w:t>287.30</w:t>
                  </w:r>
                </w:p>
              </w:tc>
              <w:tc>
                <w:tcPr>
                  <w:tcW w:w="642" w:type="pct"/>
                  <w:vAlign w:val="center"/>
                </w:tcPr>
                <w:p w14:paraId="6F1AB157">
                  <w:pPr>
                    <w:spacing w:line="240" w:lineRule="exact"/>
                    <w:jc w:val="center"/>
                    <w:rPr>
                      <w:color w:val="auto"/>
                      <w:szCs w:val="21"/>
                    </w:rPr>
                  </w:pPr>
                  <w:r>
                    <w:rPr>
                      <w:color w:val="auto"/>
                      <w:szCs w:val="21"/>
                    </w:rPr>
                    <w:t>563.39</w:t>
                  </w:r>
                </w:p>
              </w:tc>
              <w:tc>
                <w:tcPr>
                  <w:tcW w:w="817" w:type="pct"/>
                  <w:vAlign w:val="center"/>
                </w:tcPr>
                <w:p w14:paraId="773DBCE1">
                  <w:pPr>
                    <w:spacing w:line="240" w:lineRule="exact"/>
                    <w:jc w:val="center"/>
                    <w:rPr>
                      <w:color w:val="auto"/>
                      <w:szCs w:val="21"/>
                    </w:rPr>
                  </w:pPr>
                  <w:r>
                    <w:rPr>
                      <w:color w:val="auto"/>
                      <w:szCs w:val="21"/>
                    </w:rPr>
                    <w:t>850.69</w:t>
                  </w:r>
                </w:p>
              </w:tc>
              <w:tc>
                <w:tcPr>
                  <w:tcW w:w="730" w:type="pct"/>
                  <w:vAlign w:val="center"/>
                </w:tcPr>
                <w:p w14:paraId="05703DA4">
                  <w:pPr>
                    <w:spacing w:line="240" w:lineRule="exact"/>
                    <w:jc w:val="center"/>
                    <w:rPr>
                      <w:color w:val="auto"/>
                      <w:szCs w:val="21"/>
                    </w:rPr>
                  </w:pPr>
                  <w:r>
                    <w:rPr>
                      <w:color w:val="auto"/>
                      <w:szCs w:val="21"/>
                    </w:rPr>
                    <w:t>365.31</w:t>
                  </w:r>
                </w:p>
              </w:tc>
              <w:tc>
                <w:tcPr>
                  <w:tcW w:w="730" w:type="pct"/>
                  <w:vAlign w:val="center"/>
                </w:tcPr>
                <w:p w14:paraId="07A037D8">
                  <w:pPr>
                    <w:spacing w:line="240" w:lineRule="exact"/>
                    <w:jc w:val="center"/>
                    <w:rPr>
                      <w:color w:val="auto"/>
                      <w:szCs w:val="21"/>
                    </w:rPr>
                  </w:pPr>
                  <w:r>
                    <w:rPr>
                      <w:color w:val="auto"/>
                      <w:szCs w:val="21"/>
                    </w:rPr>
                    <w:t>315.66</w:t>
                  </w:r>
                </w:p>
              </w:tc>
            </w:tr>
            <w:tr w14:paraId="2087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51EFF500">
                  <w:pPr>
                    <w:spacing w:line="240" w:lineRule="exact"/>
                    <w:jc w:val="center"/>
                    <w:rPr>
                      <w:color w:val="auto"/>
                      <w:szCs w:val="21"/>
                    </w:rPr>
                  </w:pPr>
                  <w:r>
                    <w:rPr>
                      <w:color w:val="auto"/>
                      <w:szCs w:val="21"/>
                    </w:rPr>
                    <w:t>5</w:t>
                  </w:r>
                </w:p>
              </w:tc>
              <w:tc>
                <w:tcPr>
                  <w:tcW w:w="790" w:type="pct"/>
                  <w:vAlign w:val="center"/>
                </w:tcPr>
                <w:p w14:paraId="56B47BAB">
                  <w:pPr>
                    <w:spacing w:line="240" w:lineRule="exact"/>
                    <w:jc w:val="center"/>
                    <w:rPr>
                      <w:color w:val="auto"/>
                      <w:szCs w:val="21"/>
                    </w:rPr>
                  </w:pPr>
                  <w:r>
                    <w:rPr>
                      <w:color w:val="auto"/>
                      <w:szCs w:val="21"/>
                    </w:rPr>
                    <w:t>炼钢</w:t>
                  </w:r>
                </w:p>
              </w:tc>
              <w:tc>
                <w:tcPr>
                  <w:tcW w:w="817" w:type="pct"/>
                  <w:vAlign w:val="center"/>
                </w:tcPr>
                <w:p w14:paraId="56A74DE0">
                  <w:pPr>
                    <w:spacing w:line="240" w:lineRule="exact"/>
                    <w:jc w:val="center"/>
                    <w:rPr>
                      <w:color w:val="auto"/>
                      <w:szCs w:val="21"/>
                    </w:rPr>
                  </w:pPr>
                  <w:r>
                    <w:rPr>
                      <w:color w:val="auto"/>
                      <w:szCs w:val="21"/>
                    </w:rPr>
                    <w:t>307.86</w:t>
                  </w:r>
                </w:p>
              </w:tc>
              <w:tc>
                <w:tcPr>
                  <w:tcW w:w="642" w:type="pct"/>
                  <w:vAlign w:val="center"/>
                </w:tcPr>
                <w:p w14:paraId="520429EE">
                  <w:pPr>
                    <w:spacing w:line="240" w:lineRule="exact"/>
                    <w:jc w:val="center"/>
                    <w:rPr>
                      <w:color w:val="auto"/>
                      <w:szCs w:val="21"/>
                    </w:rPr>
                  </w:pPr>
                  <w:r>
                    <w:rPr>
                      <w:color w:val="auto"/>
                      <w:szCs w:val="21"/>
                    </w:rPr>
                    <w:t>494.50</w:t>
                  </w:r>
                </w:p>
              </w:tc>
              <w:tc>
                <w:tcPr>
                  <w:tcW w:w="817" w:type="pct"/>
                  <w:vAlign w:val="center"/>
                </w:tcPr>
                <w:p w14:paraId="049B576F">
                  <w:pPr>
                    <w:spacing w:line="240" w:lineRule="exact"/>
                    <w:jc w:val="center"/>
                    <w:rPr>
                      <w:color w:val="auto"/>
                      <w:szCs w:val="21"/>
                    </w:rPr>
                  </w:pPr>
                  <w:r>
                    <w:rPr>
                      <w:color w:val="auto"/>
                      <w:szCs w:val="21"/>
                    </w:rPr>
                    <w:t>802.36</w:t>
                  </w:r>
                </w:p>
              </w:tc>
              <w:tc>
                <w:tcPr>
                  <w:tcW w:w="730" w:type="pct"/>
                  <w:vAlign w:val="center"/>
                </w:tcPr>
                <w:p w14:paraId="3561C242">
                  <w:pPr>
                    <w:spacing w:line="240" w:lineRule="exact"/>
                    <w:jc w:val="center"/>
                    <w:rPr>
                      <w:color w:val="auto"/>
                      <w:szCs w:val="21"/>
                    </w:rPr>
                  </w:pPr>
                  <w:r>
                    <w:rPr>
                      <w:color w:val="auto"/>
                      <w:szCs w:val="21"/>
                    </w:rPr>
                    <w:t>/</w:t>
                  </w:r>
                </w:p>
              </w:tc>
              <w:tc>
                <w:tcPr>
                  <w:tcW w:w="730" w:type="pct"/>
                  <w:vAlign w:val="center"/>
                </w:tcPr>
                <w:p w14:paraId="16F939A1">
                  <w:pPr>
                    <w:spacing w:line="240" w:lineRule="exact"/>
                    <w:jc w:val="center"/>
                    <w:rPr>
                      <w:color w:val="auto"/>
                      <w:szCs w:val="21"/>
                    </w:rPr>
                  </w:pPr>
                  <w:r>
                    <w:rPr>
                      <w:color w:val="auto"/>
                      <w:szCs w:val="21"/>
                    </w:rPr>
                    <w:t>/</w:t>
                  </w:r>
                </w:p>
              </w:tc>
            </w:tr>
            <w:tr w14:paraId="713A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7D367F51">
                  <w:pPr>
                    <w:spacing w:line="240" w:lineRule="exact"/>
                    <w:jc w:val="center"/>
                    <w:rPr>
                      <w:color w:val="auto"/>
                      <w:szCs w:val="21"/>
                    </w:rPr>
                  </w:pPr>
                  <w:r>
                    <w:rPr>
                      <w:color w:val="auto"/>
                      <w:szCs w:val="21"/>
                    </w:rPr>
                    <w:t>6</w:t>
                  </w:r>
                </w:p>
              </w:tc>
              <w:tc>
                <w:tcPr>
                  <w:tcW w:w="790" w:type="pct"/>
                  <w:vAlign w:val="center"/>
                </w:tcPr>
                <w:p w14:paraId="6EB37E6B">
                  <w:pPr>
                    <w:spacing w:line="240" w:lineRule="exact"/>
                    <w:jc w:val="center"/>
                    <w:rPr>
                      <w:color w:val="auto"/>
                      <w:szCs w:val="21"/>
                    </w:rPr>
                  </w:pPr>
                  <w:r>
                    <w:rPr>
                      <w:color w:val="auto"/>
                      <w:szCs w:val="21"/>
                    </w:rPr>
                    <w:t>轧钢</w:t>
                  </w:r>
                </w:p>
              </w:tc>
              <w:tc>
                <w:tcPr>
                  <w:tcW w:w="817" w:type="pct"/>
                  <w:vAlign w:val="center"/>
                </w:tcPr>
                <w:p w14:paraId="3F94CDD9">
                  <w:pPr>
                    <w:spacing w:line="240" w:lineRule="exact"/>
                    <w:jc w:val="center"/>
                    <w:rPr>
                      <w:color w:val="auto"/>
                      <w:szCs w:val="21"/>
                    </w:rPr>
                  </w:pPr>
                  <w:r>
                    <w:rPr>
                      <w:color w:val="auto"/>
                      <w:szCs w:val="21"/>
                    </w:rPr>
                    <w:t>195.96</w:t>
                  </w:r>
                </w:p>
              </w:tc>
              <w:tc>
                <w:tcPr>
                  <w:tcW w:w="642" w:type="pct"/>
                  <w:vAlign w:val="center"/>
                </w:tcPr>
                <w:p w14:paraId="5DBCF4C7">
                  <w:pPr>
                    <w:spacing w:line="240" w:lineRule="exact"/>
                    <w:jc w:val="center"/>
                    <w:rPr>
                      <w:color w:val="auto"/>
                      <w:szCs w:val="21"/>
                    </w:rPr>
                  </w:pPr>
                  <w:r>
                    <w:rPr>
                      <w:color w:val="auto"/>
                      <w:szCs w:val="21"/>
                    </w:rPr>
                    <w:t>/</w:t>
                  </w:r>
                </w:p>
              </w:tc>
              <w:tc>
                <w:tcPr>
                  <w:tcW w:w="817" w:type="pct"/>
                  <w:vAlign w:val="center"/>
                </w:tcPr>
                <w:p w14:paraId="2AF7610F">
                  <w:pPr>
                    <w:spacing w:line="240" w:lineRule="exact"/>
                    <w:jc w:val="center"/>
                    <w:rPr>
                      <w:color w:val="auto"/>
                      <w:szCs w:val="21"/>
                    </w:rPr>
                  </w:pPr>
                  <w:r>
                    <w:rPr>
                      <w:color w:val="auto"/>
                      <w:szCs w:val="21"/>
                    </w:rPr>
                    <w:t>195.96</w:t>
                  </w:r>
                </w:p>
              </w:tc>
              <w:tc>
                <w:tcPr>
                  <w:tcW w:w="730" w:type="pct"/>
                  <w:vAlign w:val="center"/>
                </w:tcPr>
                <w:p w14:paraId="2FB64B7F">
                  <w:pPr>
                    <w:spacing w:line="240" w:lineRule="exact"/>
                    <w:jc w:val="center"/>
                    <w:rPr>
                      <w:color w:val="auto"/>
                      <w:szCs w:val="21"/>
                    </w:rPr>
                  </w:pPr>
                  <w:r>
                    <w:rPr>
                      <w:color w:val="auto"/>
                      <w:szCs w:val="21"/>
                    </w:rPr>
                    <w:t>371.11</w:t>
                  </w:r>
                </w:p>
              </w:tc>
              <w:tc>
                <w:tcPr>
                  <w:tcW w:w="730" w:type="pct"/>
                  <w:vAlign w:val="center"/>
                </w:tcPr>
                <w:p w14:paraId="3F8A000A">
                  <w:pPr>
                    <w:spacing w:line="240" w:lineRule="exact"/>
                    <w:jc w:val="center"/>
                    <w:rPr>
                      <w:color w:val="auto"/>
                      <w:szCs w:val="21"/>
                    </w:rPr>
                  </w:pPr>
                  <w:r>
                    <w:rPr>
                      <w:color w:val="auto"/>
                      <w:szCs w:val="21"/>
                    </w:rPr>
                    <w:t>1922.64</w:t>
                  </w:r>
                </w:p>
              </w:tc>
            </w:tr>
            <w:tr w14:paraId="76EB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2D9A1A9D">
                  <w:pPr>
                    <w:spacing w:line="240" w:lineRule="exact"/>
                    <w:jc w:val="center"/>
                    <w:rPr>
                      <w:color w:val="auto"/>
                      <w:szCs w:val="21"/>
                    </w:rPr>
                  </w:pPr>
                  <w:r>
                    <w:rPr>
                      <w:color w:val="auto"/>
                      <w:szCs w:val="21"/>
                    </w:rPr>
                    <w:t>7</w:t>
                  </w:r>
                </w:p>
              </w:tc>
              <w:tc>
                <w:tcPr>
                  <w:tcW w:w="790" w:type="pct"/>
                  <w:vAlign w:val="center"/>
                </w:tcPr>
                <w:p w14:paraId="520FF329">
                  <w:pPr>
                    <w:spacing w:line="240" w:lineRule="exact"/>
                    <w:jc w:val="center"/>
                    <w:rPr>
                      <w:color w:val="auto"/>
                      <w:szCs w:val="21"/>
                    </w:rPr>
                  </w:pPr>
                  <w:r>
                    <w:rPr>
                      <w:color w:val="auto"/>
                      <w:szCs w:val="21"/>
                    </w:rPr>
                    <w:t>石灰窑</w:t>
                  </w:r>
                </w:p>
              </w:tc>
              <w:tc>
                <w:tcPr>
                  <w:tcW w:w="817" w:type="pct"/>
                  <w:vAlign w:val="center"/>
                </w:tcPr>
                <w:p w14:paraId="7CBC68EC">
                  <w:pPr>
                    <w:spacing w:line="240" w:lineRule="exact"/>
                    <w:jc w:val="center"/>
                    <w:rPr>
                      <w:color w:val="auto"/>
                      <w:szCs w:val="21"/>
                    </w:rPr>
                  </w:pPr>
                  <w:r>
                    <w:rPr>
                      <w:color w:val="auto"/>
                      <w:szCs w:val="21"/>
                    </w:rPr>
                    <w:t>86.52</w:t>
                  </w:r>
                </w:p>
              </w:tc>
              <w:tc>
                <w:tcPr>
                  <w:tcW w:w="642" w:type="pct"/>
                  <w:vAlign w:val="center"/>
                </w:tcPr>
                <w:p w14:paraId="2CE99233">
                  <w:pPr>
                    <w:spacing w:line="240" w:lineRule="exact"/>
                    <w:jc w:val="center"/>
                    <w:rPr>
                      <w:color w:val="auto"/>
                      <w:szCs w:val="21"/>
                    </w:rPr>
                  </w:pPr>
                  <w:r>
                    <w:rPr>
                      <w:color w:val="auto"/>
                      <w:szCs w:val="21"/>
                    </w:rPr>
                    <w:t>/</w:t>
                  </w:r>
                </w:p>
              </w:tc>
              <w:tc>
                <w:tcPr>
                  <w:tcW w:w="817" w:type="pct"/>
                  <w:vAlign w:val="center"/>
                </w:tcPr>
                <w:p w14:paraId="0799919B">
                  <w:pPr>
                    <w:spacing w:line="240" w:lineRule="exact"/>
                    <w:jc w:val="center"/>
                    <w:rPr>
                      <w:color w:val="auto"/>
                      <w:szCs w:val="21"/>
                    </w:rPr>
                  </w:pPr>
                  <w:r>
                    <w:rPr>
                      <w:color w:val="auto"/>
                      <w:szCs w:val="21"/>
                    </w:rPr>
                    <w:t>86.52</w:t>
                  </w:r>
                </w:p>
              </w:tc>
              <w:tc>
                <w:tcPr>
                  <w:tcW w:w="730" w:type="pct"/>
                  <w:vAlign w:val="center"/>
                </w:tcPr>
                <w:p w14:paraId="7C32D125">
                  <w:pPr>
                    <w:spacing w:line="240" w:lineRule="exact"/>
                    <w:jc w:val="center"/>
                    <w:rPr>
                      <w:color w:val="auto"/>
                      <w:szCs w:val="21"/>
                    </w:rPr>
                  </w:pPr>
                  <w:r>
                    <w:rPr>
                      <w:color w:val="auto"/>
                      <w:szCs w:val="21"/>
                    </w:rPr>
                    <w:t>47.20</w:t>
                  </w:r>
                </w:p>
              </w:tc>
              <w:tc>
                <w:tcPr>
                  <w:tcW w:w="730" w:type="pct"/>
                  <w:vAlign w:val="center"/>
                </w:tcPr>
                <w:p w14:paraId="519CCB3D">
                  <w:pPr>
                    <w:spacing w:line="240" w:lineRule="exact"/>
                    <w:jc w:val="center"/>
                    <w:rPr>
                      <w:color w:val="auto"/>
                      <w:szCs w:val="21"/>
                    </w:rPr>
                  </w:pPr>
                  <w:r>
                    <w:rPr>
                      <w:color w:val="auto"/>
                      <w:szCs w:val="21"/>
                    </w:rPr>
                    <w:t>164.91</w:t>
                  </w:r>
                </w:p>
              </w:tc>
            </w:tr>
            <w:tr w14:paraId="572F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6ABCFE8A">
                  <w:pPr>
                    <w:spacing w:line="240" w:lineRule="exact"/>
                    <w:jc w:val="center"/>
                    <w:rPr>
                      <w:color w:val="auto"/>
                      <w:szCs w:val="21"/>
                    </w:rPr>
                  </w:pPr>
                  <w:r>
                    <w:rPr>
                      <w:color w:val="auto"/>
                      <w:szCs w:val="21"/>
                    </w:rPr>
                    <w:t>8</w:t>
                  </w:r>
                </w:p>
              </w:tc>
              <w:tc>
                <w:tcPr>
                  <w:tcW w:w="790" w:type="pct"/>
                  <w:vAlign w:val="center"/>
                </w:tcPr>
                <w:p w14:paraId="55B47ECD">
                  <w:pPr>
                    <w:spacing w:line="240" w:lineRule="exact"/>
                    <w:jc w:val="center"/>
                    <w:rPr>
                      <w:color w:val="auto"/>
                      <w:szCs w:val="21"/>
                    </w:rPr>
                  </w:pPr>
                  <w:r>
                    <w:rPr>
                      <w:color w:val="auto"/>
                      <w:szCs w:val="21"/>
                    </w:rPr>
                    <w:t>煤气发电</w:t>
                  </w:r>
                </w:p>
              </w:tc>
              <w:tc>
                <w:tcPr>
                  <w:tcW w:w="817" w:type="pct"/>
                  <w:vAlign w:val="center"/>
                </w:tcPr>
                <w:p w14:paraId="014EDD0D">
                  <w:pPr>
                    <w:spacing w:line="240" w:lineRule="exact"/>
                    <w:jc w:val="center"/>
                    <w:rPr>
                      <w:color w:val="auto"/>
                      <w:szCs w:val="21"/>
                    </w:rPr>
                  </w:pPr>
                  <w:r>
                    <w:rPr>
                      <w:color w:val="auto"/>
                      <w:szCs w:val="21"/>
                    </w:rPr>
                    <w:t>53.72</w:t>
                  </w:r>
                </w:p>
              </w:tc>
              <w:tc>
                <w:tcPr>
                  <w:tcW w:w="642" w:type="pct"/>
                  <w:vAlign w:val="center"/>
                </w:tcPr>
                <w:p w14:paraId="2261DA59">
                  <w:pPr>
                    <w:spacing w:line="240" w:lineRule="exact"/>
                    <w:jc w:val="center"/>
                    <w:rPr>
                      <w:color w:val="auto"/>
                      <w:szCs w:val="21"/>
                    </w:rPr>
                  </w:pPr>
                  <w:r>
                    <w:rPr>
                      <w:color w:val="auto"/>
                      <w:szCs w:val="21"/>
                    </w:rPr>
                    <w:t>/</w:t>
                  </w:r>
                </w:p>
              </w:tc>
              <w:tc>
                <w:tcPr>
                  <w:tcW w:w="817" w:type="pct"/>
                  <w:vAlign w:val="center"/>
                </w:tcPr>
                <w:p w14:paraId="3D6B6C67">
                  <w:pPr>
                    <w:spacing w:line="240" w:lineRule="exact"/>
                    <w:jc w:val="center"/>
                    <w:rPr>
                      <w:color w:val="auto"/>
                      <w:szCs w:val="21"/>
                    </w:rPr>
                  </w:pPr>
                  <w:r>
                    <w:rPr>
                      <w:color w:val="auto"/>
                      <w:szCs w:val="21"/>
                    </w:rPr>
                    <w:t>53.72</w:t>
                  </w:r>
                </w:p>
              </w:tc>
              <w:tc>
                <w:tcPr>
                  <w:tcW w:w="730" w:type="pct"/>
                  <w:vAlign w:val="center"/>
                </w:tcPr>
                <w:p w14:paraId="66A10BAB">
                  <w:pPr>
                    <w:spacing w:line="240" w:lineRule="exact"/>
                    <w:jc w:val="center"/>
                    <w:rPr>
                      <w:color w:val="auto"/>
                      <w:szCs w:val="21"/>
                    </w:rPr>
                  </w:pPr>
                  <w:r>
                    <w:rPr>
                      <w:color w:val="auto"/>
                      <w:szCs w:val="21"/>
                    </w:rPr>
                    <w:t>1204.51</w:t>
                  </w:r>
                </w:p>
              </w:tc>
              <w:tc>
                <w:tcPr>
                  <w:tcW w:w="730" w:type="pct"/>
                  <w:vAlign w:val="center"/>
                </w:tcPr>
                <w:p w14:paraId="01B310DC">
                  <w:pPr>
                    <w:spacing w:line="240" w:lineRule="exact"/>
                    <w:jc w:val="center"/>
                    <w:rPr>
                      <w:color w:val="auto"/>
                      <w:szCs w:val="21"/>
                    </w:rPr>
                  </w:pPr>
                  <w:r>
                    <w:rPr>
                      <w:color w:val="auto"/>
                      <w:szCs w:val="21"/>
                    </w:rPr>
                    <w:t>866.04</w:t>
                  </w:r>
                </w:p>
              </w:tc>
            </w:tr>
            <w:tr w14:paraId="1C8A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64E52008">
                  <w:pPr>
                    <w:spacing w:line="240" w:lineRule="exact"/>
                    <w:jc w:val="center"/>
                    <w:rPr>
                      <w:color w:val="auto"/>
                      <w:szCs w:val="21"/>
                    </w:rPr>
                  </w:pPr>
                  <w:r>
                    <w:rPr>
                      <w:color w:val="auto"/>
                      <w:szCs w:val="21"/>
                    </w:rPr>
                    <w:t>9</w:t>
                  </w:r>
                </w:p>
              </w:tc>
              <w:tc>
                <w:tcPr>
                  <w:tcW w:w="790" w:type="pct"/>
                  <w:vAlign w:val="center"/>
                </w:tcPr>
                <w:p w14:paraId="14352026">
                  <w:pPr>
                    <w:spacing w:line="240" w:lineRule="exact"/>
                    <w:jc w:val="center"/>
                    <w:rPr>
                      <w:color w:val="auto"/>
                      <w:szCs w:val="21"/>
                    </w:rPr>
                  </w:pPr>
                  <w:r>
                    <w:rPr>
                      <w:color w:val="auto"/>
                      <w:szCs w:val="21"/>
                    </w:rPr>
                    <w:t>原料场</w:t>
                  </w:r>
                </w:p>
              </w:tc>
              <w:tc>
                <w:tcPr>
                  <w:tcW w:w="817" w:type="pct"/>
                  <w:vAlign w:val="center"/>
                </w:tcPr>
                <w:p w14:paraId="3697940B">
                  <w:pPr>
                    <w:spacing w:line="240" w:lineRule="exact"/>
                    <w:jc w:val="center"/>
                    <w:rPr>
                      <w:color w:val="auto"/>
                      <w:szCs w:val="21"/>
                    </w:rPr>
                  </w:pPr>
                  <w:r>
                    <w:rPr>
                      <w:color w:val="auto"/>
                      <w:szCs w:val="21"/>
                    </w:rPr>
                    <w:t>11.02</w:t>
                  </w:r>
                </w:p>
              </w:tc>
              <w:tc>
                <w:tcPr>
                  <w:tcW w:w="642" w:type="pct"/>
                  <w:vAlign w:val="center"/>
                </w:tcPr>
                <w:p w14:paraId="20B0EB3A">
                  <w:pPr>
                    <w:spacing w:line="240" w:lineRule="exact"/>
                    <w:jc w:val="center"/>
                    <w:rPr>
                      <w:color w:val="auto"/>
                      <w:szCs w:val="21"/>
                    </w:rPr>
                  </w:pPr>
                  <w:r>
                    <w:rPr>
                      <w:color w:val="auto"/>
                      <w:szCs w:val="21"/>
                    </w:rPr>
                    <w:t>729.00</w:t>
                  </w:r>
                </w:p>
              </w:tc>
              <w:tc>
                <w:tcPr>
                  <w:tcW w:w="817" w:type="pct"/>
                  <w:vAlign w:val="center"/>
                </w:tcPr>
                <w:p w14:paraId="30BC5BD2">
                  <w:pPr>
                    <w:spacing w:line="240" w:lineRule="exact"/>
                    <w:jc w:val="center"/>
                    <w:rPr>
                      <w:color w:val="auto"/>
                      <w:szCs w:val="21"/>
                    </w:rPr>
                  </w:pPr>
                  <w:r>
                    <w:rPr>
                      <w:color w:val="auto"/>
                      <w:szCs w:val="21"/>
                    </w:rPr>
                    <w:t>740.02</w:t>
                  </w:r>
                </w:p>
              </w:tc>
              <w:tc>
                <w:tcPr>
                  <w:tcW w:w="730" w:type="pct"/>
                  <w:vAlign w:val="center"/>
                </w:tcPr>
                <w:p w14:paraId="166677C1">
                  <w:pPr>
                    <w:spacing w:line="240" w:lineRule="exact"/>
                    <w:jc w:val="center"/>
                    <w:rPr>
                      <w:color w:val="auto"/>
                      <w:szCs w:val="21"/>
                    </w:rPr>
                  </w:pPr>
                  <w:r>
                    <w:rPr>
                      <w:color w:val="auto"/>
                      <w:szCs w:val="21"/>
                    </w:rPr>
                    <w:t>/</w:t>
                  </w:r>
                </w:p>
              </w:tc>
              <w:tc>
                <w:tcPr>
                  <w:tcW w:w="730" w:type="pct"/>
                  <w:vAlign w:val="center"/>
                </w:tcPr>
                <w:p w14:paraId="618F3F4E">
                  <w:pPr>
                    <w:spacing w:line="240" w:lineRule="exact"/>
                    <w:jc w:val="center"/>
                    <w:rPr>
                      <w:color w:val="auto"/>
                      <w:szCs w:val="21"/>
                    </w:rPr>
                  </w:pPr>
                  <w:r>
                    <w:rPr>
                      <w:color w:val="auto"/>
                      <w:szCs w:val="21"/>
                    </w:rPr>
                    <w:t>/</w:t>
                  </w:r>
                </w:p>
              </w:tc>
            </w:tr>
            <w:tr w14:paraId="7D9B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pct"/>
                  <w:vAlign w:val="center"/>
                </w:tcPr>
                <w:p w14:paraId="0403C431">
                  <w:pPr>
                    <w:spacing w:line="240" w:lineRule="exact"/>
                    <w:jc w:val="center"/>
                    <w:rPr>
                      <w:color w:val="auto"/>
                      <w:szCs w:val="21"/>
                    </w:rPr>
                  </w:pPr>
                  <w:r>
                    <w:rPr>
                      <w:rFonts w:hint="eastAsia"/>
                      <w:color w:val="auto"/>
                      <w:szCs w:val="21"/>
                    </w:rPr>
                    <w:t>10</w:t>
                  </w:r>
                </w:p>
              </w:tc>
              <w:tc>
                <w:tcPr>
                  <w:tcW w:w="790" w:type="pct"/>
                  <w:vAlign w:val="center"/>
                </w:tcPr>
                <w:p w14:paraId="406D0642">
                  <w:pPr>
                    <w:spacing w:line="240" w:lineRule="exact"/>
                    <w:jc w:val="center"/>
                    <w:rPr>
                      <w:color w:val="auto"/>
                      <w:szCs w:val="21"/>
                    </w:rPr>
                  </w:pPr>
                  <w:r>
                    <w:rPr>
                      <w:rFonts w:hint="eastAsia"/>
                      <w:color w:val="auto"/>
                      <w:szCs w:val="21"/>
                    </w:rPr>
                    <w:t>制酸</w:t>
                  </w:r>
                </w:p>
              </w:tc>
              <w:tc>
                <w:tcPr>
                  <w:tcW w:w="817" w:type="pct"/>
                  <w:vAlign w:val="center"/>
                </w:tcPr>
                <w:p w14:paraId="64127177">
                  <w:pPr>
                    <w:spacing w:line="240" w:lineRule="exact"/>
                    <w:jc w:val="center"/>
                    <w:rPr>
                      <w:color w:val="auto"/>
                      <w:szCs w:val="21"/>
                    </w:rPr>
                  </w:pPr>
                  <w:r>
                    <w:rPr>
                      <w:rFonts w:hint="eastAsia"/>
                      <w:color w:val="auto"/>
                      <w:szCs w:val="21"/>
                    </w:rPr>
                    <w:t>0.174</w:t>
                  </w:r>
                </w:p>
              </w:tc>
              <w:tc>
                <w:tcPr>
                  <w:tcW w:w="642" w:type="pct"/>
                  <w:vAlign w:val="center"/>
                </w:tcPr>
                <w:p w14:paraId="4EB5262E">
                  <w:pPr>
                    <w:spacing w:line="240" w:lineRule="exact"/>
                    <w:jc w:val="center"/>
                    <w:rPr>
                      <w:color w:val="auto"/>
                      <w:szCs w:val="21"/>
                    </w:rPr>
                  </w:pPr>
                  <w:r>
                    <w:rPr>
                      <w:rFonts w:hint="eastAsia"/>
                      <w:color w:val="auto"/>
                      <w:szCs w:val="21"/>
                    </w:rPr>
                    <w:t>/</w:t>
                  </w:r>
                </w:p>
              </w:tc>
              <w:tc>
                <w:tcPr>
                  <w:tcW w:w="817" w:type="pct"/>
                  <w:vAlign w:val="center"/>
                </w:tcPr>
                <w:p w14:paraId="1EC2BC32">
                  <w:pPr>
                    <w:spacing w:line="240" w:lineRule="exact"/>
                    <w:jc w:val="center"/>
                    <w:rPr>
                      <w:color w:val="auto"/>
                      <w:szCs w:val="21"/>
                    </w:rPr>
                  </w:pPr>
                  <w:r>
                    <w:rPr>
                      <w:rFonts w:hint="eastAsia"/>
                      <w:color w:val="auto"/>
                      <w:szCs w:val="21"/>
                    </w:rPr>
                    <w:t>0.174</w:t>
                  </w:r>
                </w:p>
              </w:tc>
              <w:tc>
                <w:tcPr>
                  <w:tcW w:w="730" w:type="pct"/>
                  <w:vAlign w:val="center"/>
                </w:tcPr>
                <w:p w14:paraId="7D72834E">
                  <w:pPr>
                    <w:spacing w:line="240" w:lineRule="exact"/>
                    <w:jc w:val="center"/>
                    <w:rPr>
                      <w:color w:val="auto"/>
                      <w:szCs w:val="21"/>
                    </w:rPr>
                  </w:pPr>
                  <w:r>
                    <w:rPr>
                      <w:rFonts w:hint="eastAsia"/>
                      <w:color w:val="auto"/>
                      <w:szCs w:val="21"/>
                    </w:rPr>
                    <w:t>1.528</w:t>
                  </w:r>
                </w:p>
              </w:tc>
              <w:tc>
                <w:tcPr>
                  <w:tcW w:w="730" w:type="pct"/>
                  <w:vAlign w:val="center"/>
                </w:tcPr>
                <w:p w14:paraId="01EFAC86">
                  <w:pPr>
                    <w:spacing w:line="240" w:lineRule="exact"/>
                    <w:jc w:val="center"/>
                    <w:rPr>
                      <w:color w:val="auto"/>
                      <w:szCs w:val="21"/>
                    </w:rPr>
                  </w:pPr>
                  <w:r>
                    <w:rPr>
                      <w:rFonts w:hint="eastAsia"/>
                      <w:color w:val="auto"/>
                      <w:szCs w:val="21"/>
                    </w:rPr>
                    <w:t>6.02</w:t>
                  </w:r>
                </w:p>
              </w:tc>
            </w:tr>
            <w:tr w14:paraId="5992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pct"/>
                  <w:gridSpan w:val="2"/>
                  <w:vMerge w:val="restart"/>
                  <w:vAlign w:val="center"/>
                </w:tcPr>
                <w:p w14:paraId="5722FA20">
                  <w:pPr>
                    <w:spacing w:line="240" w:lineRule="exact"/>
                    <w:jc w:val="center"/>
                    <w:rPr>
                      <w:color w:val="auto"/>
                      <w:szCs w:val="21"/>
                    </w:rPr>
                  </w:pPr>
                  <w:r>
                    <w:rPr>
                      <w:color w:val="auto"/>
                      <w:szCs w:val="21"/>
                    </w:rPr>
                    <w:t>合  计</w:t>
                  </w:r>
                </w:p>
              </w:tc>
              <w:tc>
                <w:tcPr>
                  <w:tcW w:w="817" w:type="pct"/>
                  <w:shd w:val="clear" w:color="auto" w:fill="auto"/>
                  <w:vAlign w:val="center"/>
                </w:tcPr>
                <w:p w14:paraId="2926B64B">
                  <w:pPr>
                    <w:spacing w:line="240" w:lineRule="exact"/>
                    <w:jc w:val="center"/>
                    <w:rPr>
                      <w:color w:val="auto"/>
                      <w:szCs w:val="21"/>
                    </w:rPr>
                  </w:pPr>
                  <w:r>
                    <w:rPr>
                      <w:color w:val="auto"/>
                      <w:szCs w:val="21"/>
                    </w:rPr>
                    <w:t>1360.</w:t>
                  </w:r>
                  <w:r>
                    <w:rPr>
                      <w:rFonts w:hint="eastAsia"/>
                      <w:color w:val="auto"/>
                      <w:szCs w:val="21"/>
                    </w:rPr>
                    <w:t>629</w:t>
                  </w:r>
                </w:p>
              </w:tc>
              <w:tc>
                <w:tcPr>
                  <w:tcW w:w="642" w:type="pct"/>
                  <w:shd w:val="clear" w:color="auto" w:fill="auto"/>
                  <w:vAlign w:val="center"/>
                </w:tcPr>
                <w:p w14:paraId="0860D769">
                  <w:pPr>
                    <w:spacing w:line="240" w:lineRule="exact"/>
                    <w:jc w:val="center"/>
                    <w:rPr>
                      <w:color w:val="auto"/>
                      <w:szCs w:val="21"/>
                    </w:rPr>
                  </w:pPr>
                  <w:r>
                    <w:rPr>
                      <w:color w:val="auto"/>
                      <w:szCs w:val="21"/>
                    </w:rPr>
                    <w:t>2152.1</w:t>
                  </w:r>
                </w:p>
              </w:tc>
              <w:tc>
                <w:tcPr>
                  <w:tcW w:w="817" w:type="pct"/>
                  <w:shd w:val="clear" w:color="auto" w:fill="auto"/>
                  <w:vAlign w:val="center"/>
                </w:tcPr>
                <w:p w14:paraId="4DEEA3F9">
                  <w:pPr>
                    <w:spacing w:line="240" w:lineRule="exact"/>
                    <w:jc w:val="center"/>
                    <w:rPr>
                      <w:color w:val="auto"/>
                      <w:szCs w:val="21"/>
                    </w:rPr>
                  </w:pPr>
                  <w:r>
                    <w:rPr>
                      <w:color w:val="auto"/>
                      <w:szCs w:val="21"/>
                    </w:rPr>
                    <w:t>3512.</w:t>
                  </w:r>
                  <w:r>
                    <w:rPr>
                      <w:rFonts w:hint="eastAsia"/>
                      <w:color w:val="auto"/>
                      <w:szCs w:val="21"/>
                    </w:rPr>
                    <w:t>729</w:t>
                  </w:r>
                </w:p>
              </w:tc>
              <w:tc>
                <w:tcPr>
                  <w:tcW w:w="730" w:type="pct"/>
                  <w:vMerge w:val="restart"/>
                  <w:shd w:val="clear" w:color="auto" w:fill="auto"/>
                  <w:vAlign w:val="center"/>
                </w:tcPr>
                <w:p w14:paraId="2B80CD48">
                  <w:pPr>
                    <w:spacing w:line="240" w:lineRule="exact"/>
                    <w:jc w:val="center"/>
                    <w:rPr>
                      <w:color w:val="auto"/>
                      <w:szCs w:val="21"/>
                    </w:rPr>
                  </w:pPr>
                  <w:r>
                    <w:rPr>
                      <w:color w:val="auto"/>
                      <w:szCs w:val="21"/>
                    </w:rPr>
                    <w:t>250</w:t>
                  </w:r>
                  <w:r>
                    <w:rPr>
                      <w:rFonts w:hint="eastAsia"/>
                      <w:color w:val="auto"/>
                      <w:szCs w:val="21"/>
                    </w:rPr>
                    <w:t>1.558</w:t>
                  </w:r>
                </w:p>
              </w:tc>
              <w:tc>
                <w:tcPr>
                  <w:tcW w:w="730" w:type="pct"/>
                  <w:vMerge w:val="restart"/>
                  <w:shd w:val="clear" w:color="auto" w:fill="auto"/>
                  <w:vAlign w:val="center"/>
                </w:tcPr>
                <w:p w14:paraId="5933B880">
                  <w:pPr>
                    <w:spacing w:line="240" w:lineRule="exact"/>
                    <w:jc w:val="center"/>
                    <w:rPr>
                      <w:color w:val="auto"/>
                      <w:szCs w:val="21"/>
                    </w:rPr>
                  </w:pPr>
                  <w:r>
                    <w:rPr>
                      <w:color w:val="auto"/>
                      <w:szCs w:val="21"/>
                    </w:rPr>
                    <w:t>47</w:t>
                  </w:r>
                  <w:r>
                    <w:rPr>
                      <w:rFonts w:hint="eastAsia"/>
                      <w:color w:val="auto"/>
                      <w:szCs w:val="21"/>
                    </w:rPr>
                    <w:t>52.69</w:t>
                  </w:r>
                </w:p>
              </w:tc>
            </w:tr>
            <w:tr w14:paraId="2267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5" w:type="pct"/>
                  <w:gridSpan w:val="2"/>
                  <w:vMerge w:val="continue"/>
                  <w:vAlign w:val="center"/>
                </w:tcPr>
                <w:p w14:paraId="33355EA6">
                  <w:pPr>
                    <w:spacing w:line="240" w:lineRule="exact"/>
                    <w:jc w:val="center"/>
                    <w:rPr>
                      <w:color w:val="auto"/>
                      <w:szCs w:val="21"/>
                    </w:rPr>
                  </w:pPr>
                </w:p>
              </w:tc>
              <w:tc>
                <w:tcPr>
                  <w:tcW w:w="2275" w:type="pct"/>
                  <w:gridSpan w:val="3"/>
                  <w:shd w:val="clear" w:color="auto" w:fill="auto"/>
                  <w:vAlign w:val="center"/>
                </w:tcPr>
                <w:p w14:paraId="3288112E">
                  <w:pPr>
                    <w:spacing w:line="240" w:lineRule="exact"/>
                    <w:jc w:val="center"/>
                    <w:rPr>
                      <w:color w:val="auto"/>
                      <w:szCs w:val="21"/>
                    </w:rPr>
                  </w:pPr>
                  <w:r>
                    <w:rPr>
                      <w:color w:val="auto"/>
                      <w:szCs w:val="21"/>
                    </w:rPr>
                    <w:t>3512.</w:t>
                  </w:r>
                  <w:r>
                    <w:rPr>
                      <w:rFonts w:hint="eastAsia"/>
                      <w:color w:val="auto"/>
                      <w:szCs w:val="21"/>
                    </w:rPr>
                    <w:t>729</w:t>
                  </w:r>
                </w:p>
              </w:tc>
              <w:tc>
                <w:tcPr>
                  <w:tcW w:w="730" w:type="pct"/>
                  <w:vMerge w:val="continue"/>
                  <w:shd w:val="clear" w:color="auto" w:fill="auto"/>
                  <w:vAlign w:val="center"/>
                </w:tcPr>
                <w:p w14:paraId="5AE5DE3B">
                  <w:pPr>
                    <w:spacing w:line="240" w:lineRule="exact"/>
                    <w:jc w:val="center"/>
                    <w:rPr>
                      <w:color w:val="auto"/>
                      <w:szCs w:val="21"/>
                    </w:rPr>
                  </w:pPr>
                </w:p>
              </w:tc>
              <w:tc>
                <w:tcPr>
                  <w:tcW w:w="730" w:type="pct"/>
                  <w:vMerge w:val="continue"/>
                  <w:shd w:val="clear" w:color="auto" w:fill="auto"/>
                  <w:vAlign w:val="center"/>
                </w:tcPr>
                <w:p w14:paraId="30FA3CE7">
                  <w:pPr>
                    <w:spacing w:line="240" w:lineRule="exact"/>
                    <w:jc w:val="center"/>
                    <w:rPr>
                      <w:color w:val="auto"/>
                      <w:szCs w:val="21"/>
                    </w:rPr>
                  </w:pPr>
                </w:p>
              </w:tc>
            </w:tr>
          </w:tbl>
          <w:p w14:paraId="3DF6D3CE">
            <w:pPr>
              <w:spacing w:line="500" w:lineRule="atLeast"/>
              <w:ind w:firstLine="482" w:firstLineChars="200"/>
              <w:rPr>
                <w:rFonts w:hint="eastAsia" w:ascii="Times New Roman" w:hAnsi="Times New Roman" w:eastAsia="宋体" w:cs="Times New Roman"/>
                <w:b/>
                <w:sz w:val="24"/>
              </w:rPr>
            </w:pPr>
          </w:p>
          <w:p w14:paraId="4B0453C3">
            <w:pPr>
              <w:pStyle w:val="48"/>
              <w:numPr>
                <w:ilvl w:val="2"/>
                <w:numId w:val="2"/>
              </w:numPr>
              <w:spacing w:line="500" w:lineRule="atLeast"/>
              <w:ind w:firstLineChars="0"/>
              <w:jc w:val="center"/>
              <w:rPr>
                <w:rFonts w:hint="eastAsia" w:ascii="Times New Roman" w:hAnsi="Times New Roman" w:eastAsia="宋体" w:cs="Times New Roman"/>
                <w:bCs/>
                <w:sz w:val="24"/>
              </w:rPr>
            </w:pPr>
            <w:r>
              <w:rPr>
                <w:rFonts w:hint="eastAsia" w:ascii="Times New Roman" w:hAnsi="Times New Roman" w:eastAsia="宋体" w:cs="Times New Roman"/>
                <w:b/>
                <w:sz w:val="24"/>
              </w:rPr>
              <w:t>现有工程VOCs排放量汇总表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98"/>
              <w:gridCol w:w="1574"/>
              <w:gridCol w:w="1166"/>
              <w:gridCol w:w="1370"/>
              <w:gridCol w:w="1740"/>
            </w:tblGrid>
            <w:tr w14:paraId="4FB9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3" w:type="pct"/>
                  <w:vAlign w:val="center"/>
                </w:tcPr>
                <w:p w14:paraId="70845EF4">
                  <w:pPr>
                    <w:jc w:val="center"/>
                    <w:rPr>
                      <w:color w:val="auto"/>
                      <w:szCs w:val="21"/>
                    </w:rPr>
                  </w:pPr>
                  <w:r>
                    <w:rPr>
                      <w:color w:val="auto"/>
                      <w:szCs w:val="21"/>
                    </w:rPr>
                    <w:t>序号</w:t>
                  </w:r>
                </w:p>
              </w:tc>
              <w:tc>
                <w:tcPr>
                  <w:tcW w:w="881" w:type="pct"/>
                  <w:vAlign w:val="center"/>
                </w:tcPr>
                <w:p w14:paraId="160D2C41">
                  <w:pPr>
                    <w:jc w:val="center"/>
                    <w:rPr>
                      <w:color w:val="auto"/>
                      <w:szCs w:val="21"/>
                    </w:rPr>
                  </w:pPr>
                  <w:r>
                    <w:rPr>
                      <w:color w:val="auto"/>
                      <w:szCs w:val="21"/>
                    </w:rPr>
                    <w:t>生产工序</w:t>
                  </w:r>
                </w:p>
              </w:tc>
              <w:tc>
                <w:tcPr>
                  <w:tcW w:w="992" w:type="pct"/>
                  <w:vAlign w:val="center"/>
                </w:tcPr>
                <w:p w14:paraId="7C1821A0">
                  <w:pPr>
                    <w:jc w:val="center"/>
                    <w:rPr>
                      <w:color w:val="auto"/>
                      <w:szCs w:val="21"/>
                    </w:rPr>
                  </w:pPr>
                  <w:r>
                    <w:rPr>
                      <w:color w:val="auto"/>
                      <w:szCs w:val="21"/>
                    </w:rPr>
                    <w:t>产生环节</w:t>
                  </w:r>
                </w:p>
              </w:tc>
              <w:tc>
                <w:tcPr>
                  <w:tcW w:w="735" w:type="pct"/>
                  <w:vAlign w:val="center"/>
                </w:tcPr>
                <w:p w14:paraId="2195CFFC">
                  <w:pPr>
                    <w:jc w:val="center"/>
                    <w:rPr>
                      <w:color w:val="auto"/>
                      <w:szCs w:val="21"/>
                    </w:rPr>
                  </w:pPr>
                  <w:r>
                    <w:rPr>
                      <w:color w:val="auto"/>
                      <w:szCs w:val="21"/>
                    </w:rPr>
                    <w:t>排气筒编号</w:t>
                  </w:r>
                </w:p>
              </w:tc>
              <w:tc>
                <w:tcPr>
                  <w:tcW w:w="863" w:type="pct"/>
                  <w:vAlign w:val="center"/>
                </w:tcPr>
                <w:p w14:paraId="40733970">
                  <w:pPr>
                    <w:jc w:val="center"/>
                    <w:rPr>
                      <w:color w:val="auto"/>
                      <w:szCs w:val="21"/>
                    </w:rPr>
                  </w:pPr>
                  <w:r>
                    <w:rPr>
                      <w:color w:val="auto"/>
                      <w:szCs w:val="21"/>
                    </w:rPr>
                    <w:t>VOCs排放量</w:t>
                  </w:r>
                </w:p>
              </w:tc>
              <w:tc>
                <w:tcPr>
                  <w:tcW w:w="1096" w:type="pct"/>
                  <w:vAlign w:val="center"/>
                </w:tcPr>
                <w:p w14:paraId="3DBD1AA7">
                  <w:pPr>
                    <w:jc w:val="center"/>
                    <w:rPr>
                      <w:color w:val="auto"/>
                      <w:szCs w:val="21"/>
                    </w:rPr>
                  </w:pPr>
                  <w:r>
                    <w:rPr>
                      <w:color w:val="auto"/>
                      <w:szCs w:val="21"/>
                    </w:rPr>
                    <w:t>估算依据</w:t>
                  </w:r>
                </w:p>
              </w:tc>
            </w:tr>
            <w:tr w14:paraId="5A55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6E240AD9">
                  <w:pPr>
                    <w:jc w:val="center"/>
                    <w:rPr>
                      <w:color w:val="auto"/>
                      <w:szCs w:val="21"/>
                    </w:rPr>
                  </w:pPr>
                  <w:r>
                    <w:rPr>
                      <w:color w:val="auto"/>
                      <w:szCs w:val="21"/>
                    </w:rPr>
                    <w:t>1</w:t>
                  </w:r>
                </w:p>
              </w:tc>
              <w:tc>
                <w:tcPr>
                  <w:tcW w:w="881" w:type="pct"/>
                  <w:vMerge w:val="restart"/>
                  <w:vAlign w:val="center"/>
                </w:tcPr>
                <w:p w14:paraId="0250FDFD">
                  <w:pPr>
                    <w:jc w:val="center"/>
                    <w:rPr>
                      <w:color w:val="auto"/>
                      <w:szCs w:val="21"/>
                    </w:rPr>
                  </w:pPr>
                  <w:r>
                    <w:rPr>
                      <w:color w:val="auto"/>
                      <w:szCs w:val="21"/>
                    </w:rPr>
                    <w:t>1#、2#焦炉</w:t>
                  </w:r>
                </w:p>
              </w:tc>
              <w:tc>
                <w:tcPr>
                  <w:tcW w:w="992" w:type="pct"/>
                  <w:vAlign w:val="center"/>
                </w:tcPr>
                <w:p w14:paraId="0F6C90AA">
                  <w:pPr>
                    <w:jc w:val="center"/>
                    <w:rPr>
                      <w:color w:val="auto"/>
                      <w:szCs w:val="21"/>
                    </w:rPr>
                  </w:pPr>
                  <w:r>
                    <w:rPr>
                      <w:color w:val="auto"/>
                      <w:szCs w:val="21"/>
                    </w:rPr>
                    <w:t>炉体无组织</w:t>
                  </w:r>
                </w:p>
              </w:tc>
              <w:tc>
                <w:tcPr>
                  <w:tcW w:w="735" w:type="pct"/>
                  <w:vAlign w:val="center"/>
                </w:tcPr>
                <w:p w14:paraId="6FCAB42D">
                  <w:pPr>
                    <w:jc w:val="center"/>
                    <w:rPr>
                      <w:color w:val="auto"/>
                      <w:szCs w:val="21"/>
                    </w:rPr>
                  </w:pPr>
                  <w:r>
                    <w:rPr>
                      <w:color w:val="auto"/>
                      <w:szCs w:val="21"/>
                    </w:rPr>
                    <w:t>/</w:t>
                  </w:r>
                </w:p>
              </w:tc>
              <w:tc>
                <w:tcPr>
                  <w:tcW w:w="863" w:type="pct"/>
                  <w:vAlign w:val="center"/>
                </w:tcPr>
                <w:p w14:paraId="3D3BD34D">
                  <w:pPr>
                    <w:jc w:val="center"/>
                    <w:rPr>
                      <w:color w:val="auto"/>
                      <w:szCs w:val="21"/>
                    </w:rPr>
                  </w:pPr>
                  <w:r>
                    <w:rPr>
                      <w:color w:val="auto"/>
                      <w:szCs w:val="21"/>
                    </w:rPr>
                    <w:t>67.61</w:t>
                  </w:r>
                </w:p>
              </w:tc>
              <w:tc>
                <w:tcPr>
                  <w:tcW w:w="1096" w:type="pct"/>
                  <w:vAlign w:val="center"/>
                </w:tcPr>
                <w:p w14:paraId="685E792A">
                  <w:pPr>
                    <w:jc w:val="center"/>
                    <w:rPr>
                      <w:color w:val="auto"/>
                      <w:szCs w:val="21"/>
                    </w:rPr>
                  </w:pPr>
                  <w:r>
                    <w:rPr>
                      <w:color w:val="auto"/>
                      <w:szCs w:val="21"/>
                    </w:rPr>
                    <w:t>估算</w:t>
                  </w:r>
                </w:p>
              </w:tc>
            </w:tr>
            <w:tr w14:paraId="2283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32B062EC">
                  <w:pPr>
                    <w:jc w:val="center"/>
                    <w:rPr>
                      <w:color w:val="auto"/>
                      <w:szCs w:val="21"/>
                    </w:rPr>
                  </w:pPr>
                  <w:r>
                    <w:rPr>
                      <w:color w:val="auto"/>
                      <w:szCs w:val="21"/>
                    </w:rPr>
                    <w:t>2</w:t>
                  </w:r>
                </w:p>
              </w:tc>
              <w:tc>
                <w:tcPr>
                  <w:tcW w:w="881" w:type="pct"/>
                  <w:vMerge w:val="continue"/>
                  <w:vAlign w:val="center"/>
                </w:tcPr>
                <w:p w14:paraId="01C2EF23">
                  <w:pPr>
                    <w:jc w:val="center"/>
                    <w:rPr>
                      <w:color w:val="auto"/>
                      <w:szCs w:val="21"/>
                    </w:rPr>
                  </w:pPr>
                </w:p>
              </w:tc>
              <w:tc>
                <w:tcPr>
                  <w:tcW w:w="992" w:type="pct"/>
                  <w:vAlign w:val="center"/>
                </w:tcPr>
                <w:p w14:paraId="3D3083EB">
                  <w:pPr>
                    <w:jc w:val="center"/>
                    <w:rPr>
                      <w:color w:val="auto"/>
                      <w:szCs w:val="21"/>
                    </w:rPr>
                  </w:pPr>
                  <w:r>
                    <w:rPr>
                      <w:color w:val="auto"/>
                      <w:szCs w:val="21"/>
                    </w:rPr>
                    <w:t>化产区、油罐区</w:t>
                  </w:r>
                </w:p>
              </w:tc>
              <w:tc>
                <w:tcPr>
                  <w:tcW w:w="735" w:type="pct"/>
                  <w:vAlign w:val="center"/>
                </w:tcPr>
                <w:p w14:paraId="5ADE9A1B">
                  <w:pPr>
                    <w:jc w:val="center"/>
                    <w:rPr>
                      <w:color w:val="auto"/>
                      <w:szCs w:val="21"/>
                    </w:rPr>
                  </w:pPr>
                  <w:r>
                    <w:rPr>
                      <w:color w:val="auto"/>
                      <w:szCs w:val="21"/>
                    </w:rPr>
                    <w:t>/</w:t>
                  </w:r>
                </w:p>
              </w:tc>
              <w:tc>
                <w:tcPr>
                  <w:tcW w:w="863" w:type="pct"/>
                  <w:vAlign w:val="center"/>
                </w:tcPr>
                <w:p w14:paraId="41235F15">
                  <w:pPr>
                    <w:jc w:val="center"/>
                    <w:rPr>
                      <w:color w:val="auto"/>
                      <w:szCs w:val="21"/>
                    </w:rPr>
                  </w:pPr>
                  <w:r>
                    <w:rPr>
                      <w:color w:val="auto"/>
                      <w:szCs w:val="21"/>
                    </w:rPr>
                    <w:t>4.64</w:t>
                  </w:r>
                </w:p>
              </w:tc>
              <w:tc>
                <w:tcPr>
                  <w:tcW w:w="1096" w:type="pct"/>
                  <w:vAlign w:val="center"/>
                </w:tcPr>
                <w:p w14:paraId="06376856">
                  <w:pPr>
                    <w:jc w:val="center"/>
                    <w:rPr>
                      <w:color w:val="auto"/>
                      <w:szCs w:val="21"/>
                    </w:rPr>
                  </w:pPr>
                  <w:r>
                    <w:rPr>
                      <w:color w:val="auto"/>
                      <w:szCs w:val="21"/>
                    </w:rPr>
                    <w:t>煤气净化工段各类贮槽逸散废气收集处理后估算</w:t>
                  </w:r>
                </w:p>
              </w:tc>
            </w:tr>
            <w:tr w14:paraId="31ED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21BC9556">
                  <w:pPr>
                    <w:jc w:val="center"/>
                    <w:rPr>
                      <w:color w:val="auto"/>
                      <w:szCs w:val="21"/>
                    </w:rPr>
                  </w:pPr>
                  <w:r>
                    <w:rPr>
                      <w:color w:val="auto"/>
                      <w:szCs w:val="21"/>
                    </w:rPr>
                    <w:t>3</w:t>
                  </w:r>
                </w:p>
              </w:tc>
              <w:tc>
                <w:tcPr>
                  <w:tcW w:w="881" w:type="pct"/>
                  <w:vMerge w:val="continue"/>
                  <w:vAlign w:val="center"/>
                </w:tcPr>
                <w:p w14:paraId="0BBFAF6C">
                  <w:pPr>
                    <w:jc w:val="center"/>
                    <w:rPr>
                      <w:color w:val="auto"/>
                      <w:szCs w:val="21"/>
                    </w:rPr>
                  </w:pPr>
                </w:p>
              </w:tc>
              <w:tc>
                <w:tcPr>
                  <w:tcW w:w="992" w:type="pct"/>
                  <w:vAlign w:val="center"/>
                </w:tcPr>
                <w:p w14:paraId="0B72520B">
                  <w:pPr>
                    <w:jc w:val="center"/>
                    <w:rPr>
                      <w:color w:val="auto"/>
                      <w:szCs w:val="21"/>
                    </w:rPr>
                  </w:pPr>
                  <w:r>
                    <w:rPr>
                      <w:color w:val="auto"/>
                      <w:szCs w:val="21"/>
                    </w:rPr>
                    <w:t>焦化一区污水处理</w:t>
                  </w:r>
                </w:p>
              </w:tc>
              <w:tc>
                <w:tcPr>
                  <w:tcW w:w="735" w:type="pct"/>
                  <w:vAlign w:val="center"/>
                </w:tcPr>
                <w:p w14:paraId="32F0A0B5">
                  <w:pPr>
                    <w:jc w:val="center"/>
                    <w:rPr>
                      <w:color w:val="auto"/>
                      <w:szCs w:val="21"/>
                    </w:rPr>
                  </w:pPr>
                  <w:r>
                    <w:rPr>
                      <w:color w:val="auto"/>
                      <w:szCs w:val="21"/>
                    </w:rPr>
                    <w:t>DA207</w:t>
                  </w:r>
                </w:p>
              </w:tc>
              <w:tc>
                <w:tcPr>
                  <w:tcW w:w="863" w:type="pct"/>
                  <w:vAlign w:val="center"/>
                </w:tcPr>
                <w:p w14:paraId="2AC3DEF3">
                  <w:pPr>
                    <w:jc w:val="center"/>
                    <w:rPr>
                      <w:color w:val="auto"/>
                      <w:szCs w:val="21"/>
                    </w:rPr>
                  </w:pPr>
                  <w:r>
                    <w:rPr>
                      <w:color w:val="auto"/>
                      <w:szCs w:val="21"/>
                    </w:rPr>
                    <w:t>0.07</w:t>
                  </w:r>
                </w:p>
              </w:tc>
              <w:tc>
                <w:tcPr>
                  <w:tcW w:w="1096" w:type="pct"/>
                  <w:vAlign w:val="center"/>
                </w:tcPr>
                <w:p w14:paraId="638FACEB">
                  <w:pPr>
                    <w:jc w:val="center"/>
                    <w:rPr>
                      <w:color w:val="auto"/>
                      <w:szCs w:val="21"/>
                    </w:rPr>
                  </w:pPr>
                  <w:r>
                    <w:rPr>
                      <w:color w:val="auto"/>
                      <w:szCs w:val="21"/>
                    </w:rPr>
                    <w:t>例行监测</w:t>
                  </w:r>
                </w:p>
              </w:tc>
            </w:tr>
            <w:tr w14:paraId="3283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08F095E5">
                  <w:pPr>
                    <w:jc w:val="center"/>
                    <w:rPr>
                      <w:color w:val="auto"/>
                      <w:szCs w:val="21"/>
                    </w:rPr>
                  </w:pPr>
                  <w:r>
                    <w:rPr>
                      <w:color w:val="auto"/>
                      <w:szCs w:val="21"/>
                    </w:rPr>
                    <w:t>4</w:t>
                  </w:r>
                </w:p>
              </w:tc>
              <w:tc>
                <w:tcPr>
                  <w:tcW w:w="881" w:type="pct"/>
                  <w:vMerge w:val="restart"/>
                  <w:vAlign w:val="center"/>
                </w:tcPr>
                <w:p w14:paraId="661B425A">
                  <w:pPr>
                    <w:jc w:val="center"/>
                    <w:rPr>
                      <w:color w:val="auto"/>
                      <w:szCs w:val="21"/>
                    </w:rPr>
                  </w:pPr>
                  <w:r>
                    <w:rPr>
                      <w:color w:val="auto"/>
                      <w:szCs w:val="21"/>
                    </w:rPr>
                    <w:t>3#、4#焦炉</w:t>
                  </w:r>
                </w:p>
              </w:tc>
              <w:tc>
                <w:tcPr>
                  <w:tcW w:w="992" w:type="pct"/>
                  <w:vAlign w:val="center"/>
                </w:tcPr>
                <w:p w14:paraId="05554F5E">
                  <w:pPr>
                    <w:jc w:val="center"/>
                    <w:rPr>
                      <w:color w:val="auto"/>
                      <w:szCs w:val="21"/>
                    </w:rPr>
                  </w:pPr>
                  <w:r>
                    <w:rPr>
                      <w:color w:val="auto"/>
                      <w:szCs w:val="21"/>
                    </w:rPr>
                    <w:t>炉体无组织</w:t>
                  </w:r>
                </w:p>
              </w:tc>
              <w:tc>
                <w:tcPr>
                  <w:tcW w:w="735" w:type="pct"/>
                  <w:vAlign w:val="center"/>
                </w:tcPr>
                <w:p w14:paraId="43576288">
                  <w:pPr>
                    <w:jc w:val="center"/>
                    <w:rPr>
                      <w:color w:val="auto"/>
                      <w:szCs w:val="21"/>
                    </w:rPr>
                  </w:pPr>
                  <w:r>
                    <w:rPr>
                      <w:color w:val="auto"/>
                      <w:szCs w:val="21"/>
                    </w:rPr>
                    <w:t>/</w:t>
                  </w:r>
                </w:p>
              </w:tc>
              <w:tc>
                <w:tcPr>
                  <w:tcW w:w="863" w:type="pct"/>
                  <w:vAlign w:val="center"/>
                </w:tcPr>
                <w:p w14:paraId="66457DAE">
                  <w:pPr>
                    <w:jc w:val="center"/>
                    <w:rPr>
                      <w:color w:val="auto"/>
                      <w:szCs w:val="21"/>
                    </w:rPr>
                  </w:pPr>
                  <w:r>
                    <w:rPr>
                      <w:color w:val="auto"/>
                      <w:szCs w:val="21"/>
                    </w:rPr>
                    <w:t>41.44</w:t>
                  </w:r>
                </w:p>
              </w:tc>
              <w:tc>
                <w:tcPr>
                  <w:tcW w:w="1096" w:type="pct"/>
                  <w:vAlign w:val="center"/>
                </w:tcPr>
                <w:p w14:paraId="3C0EA89F">
                  <w:pPr>
                    <w:jc w:val="center"/>
                    <w:rPr>
                      <w:color w:val="auto"/>
                      <w:szCs w:val="21"/>
                    </w:rPr>
                  </w:pPr>
                  <w:r>
                    <w:rPr>
                      <w:color w:val="auto"/>
                      <w:szCs w:val="21"/>
                    </w:rPr>
                    <w:t>估算</w:t>
                  </w:r>
                </w:p>
              </w:tc>
            </w:tr>
            <w:tr w14:paraId="036A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72CFA9E7">
                  <w:pPr>
                    <w:jc w:val="center"/>
                    <w:rPr>
                      <w:color w:val="auto"/>
                      <w:szCs w:val="21"/>
                    </w:rPr>
                  </w:pPr>
                  <w:r>
                    <w:rPr>
                      <w:color w:val="auto"/>
                      <w:szCs w:val="21"/>
                    </w:rPr>
                    <w:t>5</w:t>
                  </w:r>
                </w:p>
              </w:tc>
              <w:tc>
                <w:tcPr>
                  <w:tcW w:w="881" w:type="pct"/>
                  <w:vMerge w:val="continue"/>
                  <w:vAlign w:val="center"/>
                </w:tcPr>
                <w:p w14:paraId="6A85843F">
                  <w:pPr>
                    <w:jc w:val="center"/>
                    <w:rPr>
                      <w:color w:val="auto"/>
                      <w:szCs w:val="21"/>
                    </w:rPr>
                  </w:pPr>
                </w:p>
              </w:tc>
              <w:tc>
                <w:tcPr>
                  <w:tcW w:w="992" w:type="pct"/>
                  <w:vAlign w:val="center"/>
                </w:tcPr>
                <w:p w14:paraId="5FAFA072">
                  <w:pPr>
                    <w:jc w:val="center"/>
                    <w:rPr>
                      <w:color w:val="auto"/>
                      <w:szCs w:val="21"/>
                    </w:rPr>
                  </w:pPr>
                  <w:r>
                    <w:rPr>
                      <w:color w:val="auto"/>
                      <w:szCs w:val="21"/>
                    </w:rPr>
                    <w:t>化产区、油罐区</w:t>
                  </w:r>
                </w:p>
              </w:tc>
              <w:tc>
                <w:tcPr>
                  <w:tcW w:w="735" w:type="pct"/>
                  <w:vAlign w:val="center"/>
                </w:tcPr>
                <w:p w14:paraId="06E58326">
                  <w:pPr>
                    <w:jc w:val="center"/>
                    <w:rPr>
                      <w:color w:val="auto"/>
                      <w:szCs w:val="21"/>
                    </w:rPr>
                  </w:pPr>
                  <w:r>
                    <w:rPr>
                      <w:color w:val="auto"/>
                      <w:szCs w:val="21"/>
                    </w:rPr>
                    <w:t>/</w:t>
                  </w:r>
                </w:p>
              </w:tc>
              <w:tc>
                <w:tcPr>
                  <w:tcW w:w="863" w:type="pct"/>
                  <w:vAlign w:val="center"/>
                </w:tcPr>
                <w:p w14:paraId="0FF57535">
                  <w:pPr>
                    <w:jc w:val="center"/>
                    <w:rPr>
                      <w:color w:val="auto"/>
                      <w:szCs w:val="21"/>
                    </w:rPr>
                  </w:pPr>
                  <w:r>
                    <w:rPr>
                      <w:color w:val="auto"/>
                      <w:szCs w:val="21"/>
                    </w:rPr>
                    <w:t>2.40</w:t>
                  </w:r>
                </w:p>
              </w:tc>
              <w:tc>
                <w:tcPr>
                  <w:tcW w:w="1096" w:type="pct"/>
                  <w:vAlign w:val="center"/>
                </w:tcPr>
                <w:p w14:paraId="329440C2">
                  <w:pPr>
                    <w:jc w:val="center"/>
                    <w:rPr>
                      <w:color w:val="auto"/>
                      <w:szCs w:val="21"/>
                    </w:rPr>
                  </w:pPr>
                  <w:r>
                    <w:rPr>
                      <w:color w:val="auto"/>
                      <w:szCs w:val="21"/>
                    </w:rPr>
                    <w:t>煤气净化工段各类贮槽逸散废气收集处理后估算</w:t>
                  </w:r>
                </w:p>
              </w:tc>
            </w:tr>
            <w:tr w14:paraId="1EDC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4B529458">
                  <w:pPr>
                    <w:jc w:val="center"/>
                    <w:rPr>
                      <w:color w:val="auto"/>
                      <w:szCs w:val="21"/>
                    </w:rPr>
                  </w:pPr>
                  <w:r>
                    <w:rPr>
                      <w:color w:val="auto"/>
                      <w:szCs w:val="21"/>
                    </w:rPr>
                    <w:t>6</w:t>
                  </w:r>
                </w:p>
              </w:tc>
              <w:tc>
                <w:tcPr>
                  <w:tcW w:w="881" w:type="pct"/>
                  <w:vMerge w:val="continue"/>
                  <w:vAlign w:val="center"/>
                </w:tcPr>
                <w:p w14:paraId="4B2D92A0">
                  <w:pPr>
                    <w:jc w:val="center"/>
                    <w:rPr>
                      <w:color w:val="auto"/>
                      <w:szCs w:val="21"/>
                    </w:rPr>
                  </w:pPr>
                </w:p>
              </w:tc>
              <w:tc>
                <w:tcPr>
                  <w:tcW w:w="992" w:type="pct"/>
                  <w:vAlign w:val="center"/>
                </w:tcPr>
                <w:p w14:paraId="100A8E5A">
                  <w:pPr>
                    <w:jc w:val="center"/>
                    <w:rPr>
                      <w:color w:val="auto"/>
                      <w:szCs w:val="21"/>
                    </w:rPr>
                  </w:pPr>
                  <w:r>
                    <w:rPr>
                      <w:color w:val="auto"/>
                      <w:szCs w:val="21"/>
                    </w:rPr>
                    <w:t>焦化二区污水处理</w:t>
                  </w:r>
                </w:p>
              </w:tc>
              <w:tc>
                <w:tcPr>
                  <w:tcW w:w="735" w:type="pct"/>
                  <w:vAlign w:val="center"/>
                </w:tcPr>
                <w:p w14:paraId="53F8B95A">
                  <w:pPr>
                    <w:jc w:val="center"/>
                    <w:rPr>
                      <w:color w:val="auto"/>
                      <w:szCs w:val="21"/>
                    </w:rPr>
                  </w:pPr>
                  <w:r>
                    <w:rPr>
                      <w:color w:val="auto"/>
                      <w:szCs w:val="21"/>
                    </w:rPr>
                    <w:t>DA210</w:t>
                  </w:r>
                </w:p>
              </w:tc>
              <w:tc>
                <w:tcPr>
                  <w:tcW w:w="863" w:type="pct"/>
                  <w:vAlign w:val="center"/>
                </w:tcPr>
                <w:p w14:paraId="5BFD7A80">
                  <w:pPr>
                    <w:jc w:val="center"/>
                    <w:rPr>
                      <w:color w:val="auto"/>
                      <w:szCs w:val="21"/>
                    </w:rPr>
                  </w:pPr>
                  <w:r>
                    <w:rPr>
                      <w:color w:val="auto"/>
                      <w:szCs w:val="21"/>
                    </w:rPr>
                    <w:t>0.02</w:t>
                  </w:r>
                </w:p>
              </w:tc>
              <w:tc>
                <w:tcPr>
                  <w:tcW w:w="1096" w:type="pct"/>
                  <w:vAlign w:val="center"/>
                </w:tcPr>
                <w:p w14:paraId="4D9ECED8">
                  <w:pPr>
                    <w:jc w:val="center"/>
                    <w:rPr>
                      <w:color w:val="auto"/>
                      <w:szCs w:val="21"/>
                    </w:rPr>
                  </w:pPr>
                  <w:r>
                    <w:rPr>
                      <w:color w:val="auto"/>
                      <w:szCs w:val="21"/>
                    </w:rPr>
                    <w:t>例行监测</w:t>
                  </w:r>
                </w:p>
              </w:tc>
            </w:tr>
            <w:tr w14:paraId="3C10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33A59513">
                  <w:pPr>
                    <w:jc w:val="center"/>
                    <w:rPr>
                      <w:color w:val="auto"/>
                      <w:szCs w:val="21"/>
                    </w:rPr>
                  </w:pPr>
                  <w:r>
                    <w:rPr>
                      <w:color w:val="auto"/>
                      <w:szCs w:val="21"/>
                    </w:rPr>
                    <w:t>7</w:t>
                  </w:r>
                </w:p>
              </w:tc>
              <w:tc>
                <w:tcPr>
                  <w:tcW w:w="881" w:type="pct"/>
                  <w:vMerge w:val="restart"/>
                  <w:vAlign w:val="center"/>
                </w:tcPr>
                <w:p w14:paraId="54C00A48">
                  <w:pPr>
                    <w:jc w:val="center"/>
                    <w:rPr>
                      <w:color w:val="auto"/>
                      <w:szCs w:val="21"/>
                    </w:rPr>
                  </w:pPr>
                  <w:r>
                    <w:rPr>
                      <w:color w:val="auto"/>
                      <w:szCs w:val="21"/>
                    </w:rPr>
                    <w:t>5#、6#焦炉</w:t>
                  </w:r>
                </w:p>
              </w:tc>
              <w:tc>
                <w:tcPr>
                  <w:tcW w:w="992" w:type="pct"/>
                  <w:vAlign w:val="center"/>
                </w:tcPr>
                <w:p w14:paraId="0ED068F7">
                  <w:pPr>
                    <w:jc w:val="center"/>
                    <w:rPr>
                      <w:color w:val="auto"/>
                      <w:szCs w:val="21"/>
                    </w:rPr>
                  </w:pPr>
                  <w:r>
                    <w:rPr>
                      <w:color w:val="auto"/>
                      <w:szCs w:val="21"/>
                    </w:rPr>
                    <w:t>炉体无组织</w:t>
                  </w:r>
                </w:p>
              </w:tc>
              <w:tc>
                <w:tcPr>
                  <w:tcW w:w="735" w:type="pct"/>
                  <w:vAlign w:val="center"/>
                </w:tcPr>
                <w:p w14:paraId="2AC7F1B6">
                  <w:pPr>
                    <w:jc w:val="center"/>
                    <w:rPr>
                      <w:color w:val="auto"/>
                      <w:szCs w:val="21"/>
                    </w:rPr>
                  </w:pPr>
                  <w:r>
                    <w:rPr>
                      <w:color w:val="auto"/>
                      <w:szCs w:val="21"/>
                    </w:rPr>
                    <w:t>/</w:t>
                  </w:r>
                </w:p>
              </w:tc>
              <w:tc>
                <w:tcPr>
                  <w:tcW w:w="863" w:type="pct"/>
                  <w:vAlign w:val="center"/>
                </w:tcPr>
                <w:p w14:paraId="1FDFF987">
                  <w:pPr>
                    <w:jc w:val="center"/>
                    <w:rPr>
                      <w:color w:val="auto"/>
                      <w:szCs w:val="21"/>
                    </w:rPr>
                  </w:pPr>
                  <w:r>
                    <w:rPr>
                      <w:color w:val="auto"/>
                      <w:szCs w:val="21"/>
                    </w:rPr>
                    <w:t>43.48</w:t>
                  </w:r>
                </w:p>
              </w:tc>
              <w:tc>
                <w:tcPr>
                  <w:tcW w:w="1096" w:type="pct"/>
                  <w:vAlign w:val="center"/>
                </w:tcPr>
                <w:p w14:paraId="424B2074">
                  <w:pPr>
                    <w:jc w:val="center"/>
                    <w:rPr>
                      <w:color w:val="auto"/>
                      <w:szCs w:val="21"/>
                    </w:rPr>
                  </w:pPr>
                  <w:r>
                    <w:rPr>
                      <w:color w:val="auto"/>
                      <w:szCs w:val="21"/>
                    </w:rPr>
                    <w:t>环评</w:t>
                  </w:r>
                </w:p>
              </w:tc>
            </w:tr>
            <w:tr w14:paraId="2C88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14:paraId="7D2C77F7">
                  <w:pPr>
                    <w:jc w:val="center"/>
                    <w:rPr>
                      <w:color w:val="auto"/>
                      <w:szCs w:val="21"/>
                    </w:rPr>
                  </w:pPr>
                  <w:r>
                    <w:rPr>
                      <w:color w:val="auto"/>
                      <w:szCs w:val="21"/>
                    </w:rPr>
                    <w:t>8</w:t>
                  </w:r>
                </w:p>
              </w:tc>
              <w:tc>
                <w:tcPr>
                  <w:tcW w:w="881" w:type="pct"/>
                  <w:vMerge w:val="continue"/>
                  <w:vAlign w:val="center"/>
                </w:tcPr>
                <w:p w14:paraId="6007C0CD">
                  <w:pPr>
                    <w:jc w:val="center"/>
                    <w:rPr>
                      <w:color w:val="auto"/>
                      <w:szCs w:val="21"/>
                    </w:rPr>
                  </w:pPr>
                </w:p>
              </w:tc>
              <w:tc>
                <w:tcPr>
                  <w:tcW w:w="992" w:type="pct"/>
                  <w:vAlign w:val="center"/>
                </w:tcPr>
                <w:p w14:paraId="57F8FF25">
                  <w:pPr>
                    <w:jc w:val="center"/>
                    <w:rPr>
                      <w:color w:val="auto"/>
                      <w:szCs w:val="21"/>
                    </w:rPr>
                  </w:pPr>
                  <w:r>
                    <w:rPr>
                      <w:color w:val="auto"/>
                      <w:szCs w:val="21"/>
                    </w:rPr>
                    <w:t>化产区</w:t>
                  </w:r>
                </w:p>
              </w:tc>
              <w:tc>
                <w:tcPr>
                  <w:tcW w:w="735" w:type="pct"/>
                  <w:vAlign w:val="center"/>
                </w:tcPr>
                <w:p w14:paraId="47310703">
                  <w:pPr>
                    <w:jc w:val="center"/>
                    <w:rPr>
                      <w:color w:val="auto"/>
                      <w:szCs w:val="21"/>
                    </w:rPr>
                  </w:pPr>
                  <w:r>
                    <w:rPr>
                      <w:color w:val="auto"/>
                      <w:szCs w:val="21"/>
                    </w:rPr>
                    <w:t>/</w:t>
                  </w:r>
                </w:p>
              </w:tc>
              <w:tc>
                <w:tcPr>
                  <w:tcW w:w="863" w:type="pct"/>
                  <w:vAlign w:val="center"/>
                </w:tcPr>
                <w:p w14:paraId="77E22AFD">
                  <w:pPr>
                    <w:jc w:val="center"/>
                    <w:rPr>
                      <w:color w:val="auto"/>
                      <w:szCs w:val="21"/>
                    </w:rPr>
                  </w:pPr>
                  <w:r>
                    <w:rPr>
                      <w:color w:val="auto"/>
                      <w:szCs w:val="21"/>
                    </w:rPr>
                    <w:t>3.00</w:t>
                  </w:r>
                </w:p>
              </w:tc>
              <w:tc>
                <w:tcPr>
                  <w:tcW w:w="1096" w:type="pct"/>
                  <w:vAlign w:val="center"/>
                </w:tcPr>
                <w:p w14:paraId="26D4C0B0">
                  <w:pPr>
                    <w:jc w:val="center"/>
                    <w:rPr>
                      <w:color w:val="auto"/>
                      <w:szCs w:val="21"/>
                    </w:rPr>
                  </w:pPr>
                  <w:r>
                    <w:rPr>
                      <w:color w:val="auto"/>
                      <w:szCs w:val="21"/>
                    </w:rPr>
                    <w:t>环评</w:t>
                  </w:r>
                </w:p>
              </w:tc>
            </w:tr>
            <w:tr w14:paraId="7021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Align w:val="center"/>
                </w:tcPr>
                <w:p w14:paraId="3CB8CEEC">
                  <w:pPr>
                    <w:jc w:val="center"/>
                    <w:rPr>
                      <w:color w:val="auto"/>
                      <w:szCs w:val="21"/>
                    </w:rPr>
                  </w:pPr>
                  <w:r>
                    <w:rPr>
                      <w:color w:val="auto"/>
                      <w:szCs w:val="21"/>
                    </w:rPr>
                    <w:t>9</w:t>
                  </w:r>
                </w:p>
              </w:tc>
              <w:tc>
                <w:tcPr>
                  <w:tcW w:w="881" w:type="pct"/>
                  <w:vMerge w:val="continue"/>
                  <w:vAlign w:val="center"/>
                </w:tcPr>
                <w:p w14:paraId="27A23682">
                  <w:pPr>
                    <w:jc w:val="center"/>
                    <w:rPr>
                      <w:color w:val="auto"/>
                      <w:szCs w:val="21"/>
                    </w:rPr>
                  </w:pPr>
                </w:p>
              </w:tc>
              <w:tc>
                <w:tcPr>
                  <w:tcW w:w="992" w:type="pct"/>
                  <w:vAlign w:val="center"/>
                </w:tcPr>
                <w:p w14:paraId="02E2B512">
                  <w:pPr>
                    <w:jc w:val="center"/>
                    <w:rPr>
                      <w:color w:val="auto"/>
                      <w:szCs w:val="21"/>
                    </w:rPr>
                  </w:pPr>
                  <w:r>
                    <w:rPr>
                      <w:color w:val="auto"/>
                      <w:szCs w:val="21"/>
                    </w:rPr>
                    <w:t>焦化三区污水处理</w:t>
                  </w:r>
                </w:p>
              </w:tc>
              <w:tc>
                <w:tcPr>
                  <w:tcW w:w="735" w:type="pct"/>
                  <w:vAlign w:val="center"/>
                </w:tcPr>
                <w:p w14:paraId="380B7385">
                  <w:pPr>
                    <w:jc w:val="center"/>
                    <w:rPr>
                      <w:color w:val="auto"/>
                      <w:szCs w:val="21"/>
                    </w:rPr>
                  </w:pPr>
                  <w:r>
                    <w:rPr>
                      <w:color w:val="auto"/>
                      <w:szCs w:val="21"/>
                    </w:rPr>
                    <w:t>DA267</w:t>
                  </w:r>
                </w:p>
              </w:tc>
              <w:tc>
                <w:tcPr>
                  <w:tcW w:w="863" w:type="pct"/>
                  <w:vAlign w:val="center"/>
                </w:tcPr>
                <w:p w14:paraId="0BBCA619">
                  <w:pPr>
                    <w:jc w:val="center"/>
                    <w:rPr>
                      <w:color w:val="auto"/>
                      <w:szCs w:val="21"/>
                    </w:rPr>
                  </w:pPr>
                  <w:r>
                    <w:rPr>
                      <w:color w:val="auto"/>
                      <w:szCs w:val="21"/>
                    </w:rPr>
                    <w:t>0.26</w:t>
                  </w:r>
                </w:p>
              </w:tc>
              <w:tc>
                <w:tcPr>
                  <w:tcW w:w="1096" w:type="pct"/>
                  <w:vAlign w:val="center"/>
                </w:tcPr>
                <w:p w14:paraId="77594FE5">
                  <w:pPr>
                    <w:jc w:val="center"/>
                    <w:rPr>
                      <w:color w:val="auto"/>
                      <w:szCs w:val="21"/>
                    </w:rPr>
                  </w:pPr>
                  <w:r>
                    <w:rPr>
                      <w:color w:val="auto"/>
                      <w:szCs w:val="21"/>
                    </w:rPr>
                    <w:t>验收监测</w:t>
                  </w:r>
                </w:p>
              </w:tc>
            </w:tr>
            <w:tr w14:paraId="60B8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1" w:type="pct"/>
                  <w:gridSpan w:val="4"/>
                  <w:vAlign w:val="center"/>
                </w:tcPr>
                <w:p w14:paraId="141F4D8A">
                  <w:pPr>
                    <w:jc w:val="center"/>
                    <w:rPr>
                      <w:color w:val="auto"/>
                      <w:szCs w:val="21"/>
                    </w:rPr>
                  </w:pPr>
                  <w:r>
                    <w:rPr>
                      <w:color w:val="auto"/>
                      <w:szCs w:val="21"/>
                    </w:rPr>
                    <w:t>合计</w:t>
                  </w:r>
                </w:p>
              </w:tc>
              <w:tc>
                <w:tcPr>
                  <w:tcW w:w="863" w:type="pct"/>
                  <w:vAlign w:val="center"/>
                </w:tcPr>
                <w:p w14:paraId="768C08FE">
                  <w:pPr>
                    <w:jc w:val="center"/>
                    <w:rPr>
                      <w:color w:val="auto"/>
                      <w:szCs w:val="21"/>
                    </w:rPr>
                  </w:pPr>
                  <w:r>
                    <w:rPr>
                      <w:color w:val="auto"/>
                      <w:szCs w:val="21"/>
                    </w:rPr>
                    <w:t>162.92</w:t>
                  </w:r>
                </w:p>
              </w:tc>
              <w:tc>
                <w:tcPr>
                  <w:tcW w:w="1096" w:type="pct"/>
                  <w:vAlign w:val="center"/>
                </w:tcPr>
                <w:p w14:paraId="67D01378">
                  <w:pPr>
                    <w:jc w:val="center"/>
                    <w:rPr>
                      <w:color w:val="auto"/>
                      <w:szCs w:val="21"/>
                    </w:rPr>
                  </w:pPr>
                  <w:r>
                    <w:rPr>
                      <w:color w:val="auto"/>
                      <w:szCs w:val="21"/>
                    </w:rPr>
                    <w:t>/</w:t>
                  </w:r>
                </w:p>
              </w:tc>
            </w:tr>
          </w:tbl>
          <w:p w14:paraId="1AA76CA7">
            <w:pPr>
              <w:pStyle w:val="48"/>
              <w:numPr>
                <w:ilvl w:val="2"/>
                <w:numId w:val="2"/>
              </w:numPr>
              <w:spacing w:line="500" w:lineRule="atLeast"/>
              <w:ind w:firstLineChars="0"/>
              <w:jc w:val="center"/>
              <w:rPr>
                <w:rFonts w:hint="eastAsia" w:ascii="Times New Roman" w:hAnsi="Times New Roman" w:eastAsia="宋体" w:cs="Times New Roman"/>
                <w:bCs/>
                <w:sz w:val="24"/>
              </w:rPr>
            </w:pPr>
            <w:r>
              <w:rPr>
                <w:rFonts w:hint="eastAsia" w:ascii="Times New Roman" w:hAnsi="Times New Roman" w:eastAsia="宋体" w:cs="Times New Roman"/>
                <w:b/>
                <w:sz w:val="24"/>
              </w:rPr>
              <w:t>现有工程特征大气污染物排放量汇总表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0"/>
              <w:gridCol w:w="700"/>
              <w:gridCol w:w="767"/>
              <w:gridCol w:w="703"/>
              <w:gridCol w:w="700"/>
              <w:gridCol w:w="700"/>
              <w:gridCol w:w="700"/>
              <w:gridCol w:w="700"/>
              <w:gridCol w:w="700"/>
              <w:gridCol w:w="700"/>
              <w:gridCol w:w="695"/>
            </w:tblGrid>
            <w:tr w14:paraId="7502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548" w:type="pct"/>
                  <w:vAlign w:val="center"/>
                </w:tcPr>
                <w:p w14:paraId="1BED3432">
                  <w:pPr>
                    <w:snapToGrid w:val="0"/>
                    <w:jc w:val="center"/>
                    <w:rPr>
                      <w:color w:val="auto"/>
                      <w:szCs w:val="21"/>
                    </w:rPr>
                  </w:pPr>
                  <w:r>
                    <w:rPr>
                      <w:color w:val="auto"/>
                      <w:szCs w:val="21"/>
                    </w:rPr>
                    <w:t>生产工序</w:t>
                  </w:r>
                </w:p>
              </w:tc>
              <w:tc>
                <w:tcPr>
                  <w:tcW w:w="441" w:type="pct"/>
                  <w:vAlign w:val="center"/>
                </w:tcPr>
                <w:p w14:paraId="089576D2">
                  <w:pPr>
                    <w:snapToGrid w:val="0"/>
                    <w:jc w:val="center"/>
                    <w:rPr>
                      <w:color w:val="auto"/>
                      <w:szCs w:val="21"/>
                    </w:rPr>
                  </w:pPr>
                  <w:r>
                    <w:rPr>
                      <w:color w:val="auto"/>
                      <w:szCs w:val="21"/>
                    </w:rPr>
                    <w:t>氟化物</w:t>
                  </w:r>
                </w:p>
              </w:tc>
              <w:tc>
                <w:tcPr>
                  <w:tcW w:w="483" w:type="pct"/>
                  <w:vAlign w:val="center"/>
                </w:tcPr>
                <w:p w14:paraId="1DF58C0A">
                  <w:pPr>
                    <w:snapToGrid w:val="0"/>
                    <w:ind w:left="-105" w:leftChars="-50" w:right="-105" w:rightChars="-50"/>
                    <w:jc w:val="center"/>
                    <w:rPr>
                      <w:color w:val="auto"/>
                      <w:szCs w:val="21"/>
                    </w:rPr>
                  </w:pPr>
                  <w:r>
                    <w:rPr>
                      <w:color w:val="auto"/>
                      <w:szCs w:val="21"/>
                    </w:rPr>
                    <w:t>二噁英类</w:t>
                  </w:r>
                </w:p>
              </w:tc>
              <w:tc>
                <w:tcPr>
                  <w:tcW w:w="443" w:type="pct"/>
                  <w:vAlign w:val="center"/>
                </w:tcPr>
                <w:p w14:paraId="62523630">
                  <w:pPr>
                    <w:snapToGrid w:val="0"/>
                    <w:jc w:val="center"/>
                    <w:rPr>
                      <w:color w:val="auto"/>
                      <w:szCs w:val="21"/>
                    </w:rPr>
                  </w:pPr>
                  <w:r>
                    <w:rPr>
                      <w:color w:val="auto"/>
                      <w:szCs w:val="21"/>
                    </w:rPr>
                    <w:t>VOCs</w:t>
                  </w:r>
                </w:p>
              </w:tc>
              <w:tc>
                <w:tcPr>
                  <w:tcW w:w="441" w:type="pct"/>
                  <w:vAlign w:val="center"/>
                </w:tcPr>
                <w:p w14:paraId="62263426">
                  <w:pPr>
                    <w:snapToGrid w:val="0"/>
                    <w:jc w:val="center"/>
                    <w:rPr>
                      <w:color w:val="auto"/>
                      <w:szCs w:val="21"/>
                    </w:rPr>
                  </w:pPr>
                  <w:r>
                    <w:rPr>
                      <w:color w:val="auto"/>
                      <w:szCs w:val="21"/>
                    </w:rPr>
                    <w:t>NH</w:t>
                  </w:r>
                  <w:r>
                    <w:rPr>
                      <w:color w:val="auto"/>
                      <w:szCs w:val="21"/>
                      <w:vertAlign w:val="subscript"/>
                    </w:rPr>
                    <w:t>3</w:t>
                  </w:r>
                </w:p>
              </w:tc>
              <w:tc>
                <w:tcPr>
                  <w:tcW w:w="441" w:type="pct"/>
                  <w:vAlign w:val="center"/>
                </w:tcPr>
                <w:p w14:paraId="35A1FFB4">
                  <w:pPr>
                    <w:snapToGrid w:val="0"/>
                    <w:jc w:val="center"/>
                    <w:rPr>
                      <w:color w:val="auto"/>
                      <w:szCs w:val="21"/>
                    </w:rPr>
                  </w:pPr>
                  <w:r>
                    <w:rPr>
                      <w:color w:val="auto"/>
                      <w:szCs w:val="21"/>
                    </w:rPr>
                    <w:t>H</w:t>
                  </w:r>
                  <w:r>
                    <w:rPr>
                      <w:color w:val="auto"/>
                      <w:szCs w:val="21"/>
                      <w:vertAlign w:val="subscript"/>
                    </w:rPr>
                    <w:t>2</w:t>
                  </w:r>
                  <w:r>
                    <w:rPr>
                      <w:color w:val="auto"/>
                      <w:szCs w:val="21"/>
                    </w:rPr>
                    <w:t>S</w:t>
                  </w:r>
                </w:p>
              </w:tc>
              <w:tc>
                <w:tcPr>
                  <w:tcW w:w="441" w:type="pct"/>
                  <w:vAlign w:val="center"/>
                </w:tcPr>
                <w:p w14:paraId="7AF299A7">
                  <w:pPr>
                    <w:snapToGrid w:val="0"/>
                    <w:jc w:val="center"/>
                    <w:rPr>
                      <w:color w:val="auto"/>
                      <w:szCs w:val="21"/>
                    </w:rPr>
                  </w:pPr>
                  <w:r>
                    <w:rPr>
                      <w:color w:val="auto"/>
                      <w:szCs w:val="21"/>
                    </w:rPr>
                    <w:t>BaP</w:t>
                  </w:r>
                </w:p>
              </w:tc>
              <w:tc>
                <w:tcPr>
                  <w:tcW w:w="441" w:type="pct"/>
                  <w:vAlign w:val="center"/>
                </w:tcPr>
                <w:p w14:paraId="25DA6C6F">
                  <w:pPr>
                    <w:snapToGrid w:val="0"/>
                    <w:jc w:val="center"/>
                    <w:rPr>
                      <w:color w:val="auto"/>
                      <w:szCs w:val="21"/>
                    </w:rPr>
                  </w:pPr>
                  <w:r>
                    <w:rPr>
                      <w:color w:val="auto"/>
                      <w:szCs w:val="21"/>
                    </w:rPr>
                    <w:t>苯</w:t>
                  </w:r>
                </w:p>
              </w:tc>
              <w:tc>
                <w:tcPr>
                  <w:tcW w:w="441" w:type="pct"/>
                  <w:vAlign w:val="center"/>
                </w:tcPr>
                <w:p w14:paraId="78B48A25">
                  <w:pPr>
                    <w:snapToGrid w:val="0"/>
                    <w:jc w:val="center"/>
                    <w:rPr>
                      <w:color w:val="auto"/>
                      <w:szCs w:val="21"/>
                    </w:rPr>
                  </w:pPr>
                  <w:r>
                    <w:rPr>
                      <w:color w:val="auto"/>
                      <w:szCs w:val="21"/>
                    </w:rPr>
                    <w:t>酚类</w:t>
                  </w:r>
                </w:p>
              </w:tc>
              <w:tc>
                <w:tcPr>
                  <w:tcW w:w="441" w:type="pct"/>
                  <w:vAlign w:val="center"/>
                </w:tcPr>
                <w:p w14:paraId="22BB7AE0">
                  <w:pPr>
                    <w:snapToGrid w:val="0"/>
                    <w:jc w:val="center"/>
                    <w:rPr>
                      <w:color w:val="auto"/>
                      <w:szCs w:val="21"/>
                    </w:rPr>
                  </w:pPr>
                  <w:r>
                    <w:rPr>
                      <w:color w:val="auto"/>
                      <w:szCs w:val="21"/>
                    </w:rPr>
                    <w:t>HCN</w:t>
                  </w:r>
                </w:p>
              </w:tc>
              <w:tc>
                <w:tcPr>
                  <w:tcW w:w="438" w:type="pct"/>
                  <w:vAlign w:val="center"/>
                </w:tcPr>
                <w:p w14:paraId="31FB4C11">
                  <w:pPr>
                    <w:snapToGrid w:val="0"/>
                    <w:jc w:val="center"/>
                    <w:rPr>
                      <w:color w:val="auto"/>
                      <w:szCs w:val="21"/>
                    </w:rPr>
                  </w:pPr>
                  <w:r>
                    <w:rPr>
                      <w:rFonts w:hint="eastAsia"/>
                      <w:color w:val="auto"/>
                      <w:szCs w:val="21"/>
                    </w:rPr>
                    <w:t>硫酸雾</w:t>
                  </w:r>
                </w:p>
              </w:tc>
            </w:tr>
            <w:tr w14:paraId="57A3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548" w:type="pct"/>
                  <w:vAlign w:val="center"/>
                </w:tcPr>
                <w:p w14:paraId="1222DD69">
                  <w:pPr>
                    <w:snapToGrid w:val="0"/>
                    <w:jc w:val="center"/>
                    <w:rPr>
                      <w:color w:val="auto"/>
                      <w:szCs w:val="21"/>
                    </w:rPr>
                  </w:pPr>
                  <w:r>
                    <w:rPr>
                      <w:color w:val="auto"/>
                      <w:szCs w:val="21"/>
                    </w:rPr>
                    <w:t>焦  化</w:t>
                  </w:r>
                </w:p>
              </w:tc>
              <w:tc>
                <w:tcPr>
                  <w:tcW w:w="441" w:type="pct"/>
                  <w:vAlign w:val="center"/>
                </w:tcPr>
                <w:p w14:paraId="39A58C95">
                  <w:pPr>
                    <w:snapToGrid w:val="0"/>
                    <w:jc w:val="center"/>
                    <w:textAlignment w:val="center"/>
                    <w:rPr>
                      <w:color w:val="auto"/>
                      <w:szCs w:val="21"/>
                    </w:rPr>
                  </w:pPr>
                  <w:r>
                    <w:rPr>
                      <w:color w:val="auto"/>
                      <w:szCs w:val="21"/>
                      <w:lang w:bidi="ar"/>
                    </w:rPr>
                    <w:t>/</w:t>
                  </w:r>
                </w:p>
              </w:tc>
              <w:tc>
                <w:tcPr>
                  <w:tcW w:w="483" w:type="pct"/>
                  <w:vAlign w:val="center"/>
                </w:tcPr>
                <w:p w14:paraId="30E0E88B">
                  <w:pPr>
                    <w:snapToGrid w:val="0"/>
                    <w:jc w:val="center"/>
                    <w:textAlignment w:val="center"/>
                    <w:rPr>
                      <w:color w:val="auto"/>
                      <w:szCs w:val="21"/>
                    </w:rPr>
                  </w:pPr>
                  <w:r>
                    <w:rPr>
                      <w:color w:val="auto"/>
                      <w:szCs w:val="21"/>
                      <w:lang w:bidi="ar"/>
                    </w:rPr>
                    <w:t>/</w:t>
                  </w:r>
                </w:p>
              </w:tc>
              <w:tc>
                <w:tcPr>
                  <w:tcW w:w="443" w:type="pct"/>
                  <w:vAlign w:val="center"/>
                </w:tcPr>
                <w:p w14:paraId="2E63E9A2">
                  <w:pPr>
                    <w:snapToGrid w:val="0"/>
                    <w:jc w:val="center"/>
                    <w:textAlignment w:val="center"/>
                    <w:rPr>
                      <w:color w:val="auto"/>
                      <w:szCs w:val="21"/>
                    </w:rPr>
                  </w:pPr>
                  <w:r>
                    <w:rPr>
                      <w:color w:val="auto"/>
                      <w:szCs w:val="21"/>
                      <w:lang w:bidi="ar"/>
                    </w:rPr>
                    <w:t>162.92</w:t>
                  </w:r>
                </w:p>
              </w:tc>
              <w:tc>
                <w:tcPr>
                  <w:tcW w:w="441" w:type="pct"/>
                  <w:vAlign w:val="center"/>
                </w:tcPr>
                <w:p w14:paraId="444BD427">
                  <w:pPr>
                    <w:snapToGrid w:val="0"/>
                    <w:jc w:val="center"/>
                    <w:textAlignment w:val="center"/>
                    <w:rPr>
                      <w:color w:val="auto"/>
                      <w:szCs w:val="21"/>
                    </w:rPr>
                  </w:pPr>
                  <w:r>
                    <w:rPr>
                      <w:color w:val="auto"/>
                      <w:szCs w:val="21"/>
                      <w:lang w:bidi="ar"/>
                    </w:rPr>
                    <w:t>3.918</w:t>
                  </w:r>
                </w:p>
              </w:tc>
              <w:tc>
                <w:tcPr>
                  <w:tcW w:w="441" w:type="pct"/>
                  <w:vAlign w:val="center"/>
                </w:tcPr>
                <w:p w14:paraId="663521DA">
                  <w:pPr>
                    <w:snapToGrid w:val="0"/>
                    <w:jc w:val="center"/>
                    <w:textAlignment w:val="center"/>
                    <w:rPr>
                      <w:color w:val="auto"/>
                      <w:szCs w:val="21"/>
                    </w:rPr>
                  </w:pPr>
                  <w:r>
                    <w:rPr>
                      <w:color w:val="auto"/>
                      <w:szCs w:val="21"/>
                      <w:lang w:bidi="ar"/>
                    </w:rPr>
                    <w:t>1.14</w:t>
                  </w:r>
                </w:p>
              </w:tc>
              <w:tc>
                <w:tcPr>
                  <w:tcW w:w="441" w:type="pct"/>
                  <w:vAlign w:val="center"/>
                </w:tcPr>
                <w:p w14:paraId="227E5C47">
                  <w:pPr>
                    <w:snapToGrid w:val="0"/>
                    <w:jc w:val="center"/>
                    <w:textAlignment w:val="center"/>
                    <w:rPr>
                      <w:color w:val="auto"/>
                      <w:szCs w:val="21"/>
                    </w:rPr>
                  </w:pPr>
                  <w:r>
                    <w:rPr>
                      <w:color w:val="auto"/>
                      <w:szCs w:val="21"/>
                      <w:lang w:bidi="ar"/>
                    </w:rPr>
                    <w:t>7.345</w:t>
                  </w:r>
                </w:p>
              </w:tc>
              <w:tc>
                <w:tcPr>
                  <w:tcW w:w="441" w:type="pct"/>
                  <w:vAlign w:val="center"/>
                </w:tcPr>
                <w:p w14:paraId="305A13B8">
                  <w:pPr>
                    <w:snapToGrid w:val="0"/>
                    <w:jc w:val="center"/>
                    <w:textAlignment w:val="center"/>
                    <w:rPr>
                      <w:color w:val="auto"/>
                      <w:szCs w:val="21"/>
                    </w:rPr>
                  </w:pPr>
                  <w:r>
                    <w:rPr>
                      <w:color w:val="auto"/>
                      <w:szCs w:val="21"/>
                      <w:lang w:bidi="ar"/>
                    </w:rPr>
                    <w:t>20.98</w:t>
                  </w:r>
                </w:p>
              </w:tc>
              <w:tc>
                <w:tcPr>
                  <w:tcW w:w="441" w:type="pct"/>
                  <w:vAlign w:val="center"/>
                </w:tcPr>
                <w:p w14:paraId="024C3E5C">
                  <w:pPr>
                    <w:snapToGrid w:val="0"/>
                    <w:jc w:val="center"/>
                    <w:textAlignment w:val="center"/>
                    <w:rPr>
                      <w:color w:val="auto"/>
                      <w:szCs w:val="21"/>
                    </w:rPr>
                  </w:pPr>
                  <w:r>
                    <w:rPr>
                      <w:color w:val="auto"/>
                      <w:szCs w:val="21"/>
                      <w:lang w:bidi="ar"/>
                    </w:rPr>
                    <w:t>0.09</w:t>
                  </w:r>
                </w:p>
              </w:tc>
              <w:tc>
                <w:tcPr>
                  <w:tcW w:w="441" w:type="pct"/>
                  <w:vAlign w:val="center"/>
                </w:tcPr>
                <w:p w14:paraId="77637808">
                  <w:pPr>
                    <w:snapToGrid w:val="0"/>
                    <w:jc w:val="center"/>
                    <w:textAlignment w:val="center"/>
                    <w:rPr>
                      <w:color w:val="auto"/>
                      <w:szCs w:val="21"/>
                    </w:rPr>
                  </w:pPr>
                  <w:r>
                    <w:rPr>
                      <w:color w:val="auto"/>
                      <w:szCs w:val="21"/>
                      <w:lang w:bidi="ar"/>
                    </w:rPr>
                    <w:t>2.3</w:t>
                  </w:r>
                </w:p>
              </w:tc>
              <w:tc>
                <w:tcPr>
                  <w:tcW w:w="438" w:type="pct"/>
                  <w:vAlign w:val="center"/>
                </w:tcPr>
                <w:p w14:paraId="15670E0F">
                  <w:pPr>
                    <w:snapToGrid w:val="0"/>
                    <w:jc w:val="center"/>
                    <w:textAlignment w:val="center"/>
                    <w:rPr>
                      <w:color w:val="auto"/>
                      <w:szCs w:val="21"/>
                      <w:lang w:bidi="ar"/>
                    </w:rPr>
                  </w:pPr>
                  <w:r>
                    <w:rPr>
                      <w:rFonts w:hint="eastAsia"/>
                      <w:color w:val="auto"/>
                      <w:szCs w:val="21"/>
                      <w:lang w:bidi="ar"/>
                    </w:rPr>
                    <w:t>/</w:t>
                  </w:r>
                </w:p>
              </w:tc>
            </w:tr>
            <w:tr w14:paraId="292D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548" w:type="pct"/>
                  <w:vAlign w:val="center"/>
                </w:tcPr>
                <w:p w14:paraId="54DF7A4F">
                  <w:pPr>
                    <w:snapToGrid w:val="0"/>
                    <w:jc w:val="center"/>
                    <w:rPr>
                      <w:color w:val="auto"/>
                      <w:szCs w:val="21"/>
                    </w:rPr>
                  </w:pPr>
                  <w:r>
                    <w:rPr>
                      <w:color w:val="auto"/>
                      <w:szCs w:val="21"/>
                    </w:rPr>
                    <w:t>烧  结</w:t>
                  </w:r>
                </w:p>
              </w:tc>
              <w:tc>
                <w:tcPr>
                  <w:tcW w:w="441" w:type="pct"/>
                  <w:vAlign w:val="center"/>
                </w:tcPr>
                <w:p w14:paraId="4CA00BA0">
                  <w:pPr>
                    <w:snapToGrid w:val="0"/>
                    <w:jc w:val="center"/>
                    <w:textAlignment w:val="center"/>
                    <w:rPr>
                      <w:color w:val="auto"/>
                      <w:szCs w:val="21"/>
                    </w:rPr>
                  </w:pPr>
                  <w:r>
                    <w:rPr>
                      <w:color w:val="auto"/>
                      <w:szCs w:val="21"/>
                      <w:lang w:bidi="ar"/>
                    </w:rPr>
                    <w:t>9.47</w:t>
                  </w:r>
                </w:p>
              </w:tc>
              <w:tc>
                <w:tcPr>
                  <w:tcW w:w="483" w:type="pct"/>
                  <w:vAlign w:val="center"/>
                </w:tcPr>
                <w:p w14:paraId="06228BBE">
                  <w:pPr>
                    <w:snapToGrid w:val="0"/>
                    <w:jc w:val="center"/>
                    <w:textAlignment w:val="center"/>
                    <w:rPr>
                      <w:color w:val="auto"/>
                      <w:szCs w:val="21"/>
                    </w:rPr>
                  </w:pPr>
                  <w:r>
                    <w:rPr>
                      <w:color w:val="auto"/>
                      <w:szCs w:val="21"/>
                      <w:lang w:bidi="ar"/>
                    </w:rPr>
                    <w:t>6.61</w:t>
                  </w:r>
                </w:p>
              </w:tc>
              <w:tc>
                <w:tcPr>
                  <w:tcW w:w="443" w:type="pct"/>
                  <w:vAlign w:val="center"/>
                </w:tcPr>
                <w:p w14:paraId="074B0E2B">
                  <w:pPr>
                    <w:snapToGrid w:val="0"/>
                    <w:jc w:val="center"/>
                    <w:textAlignment w:val="center"/>
                    <w:rPr>
                      <w:color w:val="auto"/>
                      <w:szCs w:val="21"/>
                    </w:rPr>
                  </w:pPr>
                  <w:r>
                    <w:rPr>
                      <w:color w:val="auto"/>
                      <w:szCs w:val="21"/>
                      <w:lang w:bidi="ar"/>
                    </w:rPr>
                    <w:t>/</w:t>
                  </w:r>
                </w:p>
              </w:tc>
              <w:tc>
                <w:tcPr>
                  <w:tcW w:w="441" w:type="pct"/>
                  <w:vAlign w:val="center"/>
                </w:tcPr>
                <w:p w14:paraId="6E9398A1">
                  <w:pPr>
                    <w:snapToGrid w:val="0"/>
                    <w:jc w:val="center"/>
                    <w:textAlignment w:val="center"/>
                    <w:rPr>
                      <w:color w:val="auto"/>
                      <w:szCs w:val="21"/>
                    </w:rPr>
                  </w:pPr>
                  <w:r>
                    <w:rPr>
                      <w:color w:val="auto"/>
                      <w:szCs w:val="21"/>
                      <w:lang w:bidi="ar"/>
                    </w:rPr>
                    <w:t>/</w:t>
                  </w:r>
                </w:p>
              </w:tc>
              <w:tc>
                <w:tcPr>
                  <w:tcW w:w="441" w:type="pct"/>
                  <w:vAlign w:val="center"/>
                </w:tcPr>
                <w:p w14:paraId="4C780644">
                  <w:pPr>
                    <w:snapToGrid w:val="0"/>
                    <w:jc w:val="center"/>
                    <w:textAlignment w:val="center"/>
                    <w:rPr>
                      <w:color w:val="auto"/>
                      <w:szCs w:val="21"/>
                    </w:rPr>
                  </w:pPr>
                  <w:r>
                    <w:rPr>
                      <w:color w:val="auto"/>
                      <w:szCs w:val="21"/>
                      <w:lang w:bidi="ar"/>
                    </w:rPr>
                    <w:t>/</w:t>
                  </w:r>
                </w:p>
              </w:tc>
              <w:tc>
                <w:tcPr>
                  <w:tcW w:w="441" w:type="pct"/>
                  <w:vAlign w:val="center"/>
                </w:tcPr>
                <w:p w14:paraId="134AD8DC">
                  <w:pPr>
                    <w:snapToGrid w:val="0"/>
                    <w:jc w:val="center"/>
                    <w:textAlignment w:val="center"/>
                    <w:rPr>
                      <w:color w:val="auto"/>
                      <w:szCs w:val="21"/>
                    </w:rPr>
                  </w:pPr>
                  <w:r>
                    <w:rPr>
                      <w:color w:val="auto"/>
                      <w:szCs w:val="21"/>
                      <w:lang w:bidi="ar"/>
                    </w:rPr>
                    <w:t>/</w:t>
                  </w:r>
                </w:p>
              </w:tc>
              <w:tc>
                <w:tcPr>
                  <w:tcW w:w="441" w:type="pct"/>
                  <w:vAlign w:val="center"/>
                </w:tcPr>
                <w:p w14:paraId="3EDD078F">
                  <w:pPr>
                    <w:snapToGrid w:val="0"/>
                    <w:jc w:val="center"/>
                    <w:textAlignment w:val="center"/>
                    <w:rPr>
                      <w:color w:val="auto"/>
                      <w:szCs w:val="21"/>
                    </w:rPr>
                  </w:pPr>
                  <w:r>
                    <w:rPr>
                      <w:color w:val="auto"/>
                      <w:szCs w:val="21"/>
                      <w:lang w:bidi="ar"/>
                    </w:rPr>
                    <w:t>/</w:t>
                  </w:r>
                </w:p>
              </w:tc>
              <w:tc>
                <w:tcPr>
                  <w:tcW w:w="441" w:type="pct"/>
                  <w:vAlign w:val="center"/>
                </w:tcPr>
                <w:p w14:paraId="2F38C54A">
                  <w:pPr>
                    <w:snapToGrid w:val="0"/>
                    <w:jc w:val="center"/>
                    <w:textAlignment w:val="center"/>
                    <w:rPr>
                      <w:color w:val="auto"/>
                      <w:szCs w:val="21"/>
                    </w:rPr>
                  </w:pPr>
                  <w:r>
                    <w:rPr>
                      <w:color w:val="auto"/>
                      <w:szCs w:val="21"/>
                      <w:lang w:bidi="ar"/>
                    </w:rPr>
                    <w:t>/</w:t>
                  </w:r>
                </w:p>
              </w:tc>
              <w:tc>
                <w:tcPr>
                  <w:tcW w:w="441" w:type="pct"/>
                  <w:vAlign w:val="center"/>
                </w:tcPr>
                <w:p w14:paraId="2658E2CD">
                  <w:pPr>
                    <w:snapToGrid w:val="0"/>
                    <w:jc w:val="center"/>
                    <w:textAlignment w:val="center"/>
                    <w:rPr>
                      <w:color w:val="auto"/>
                      <w:szCs w:val="21"/>
                    </w:rPr>
                  </w:pPr>
                  <w:r>
                    <w:rPr>
                      <w:color w:val="auto"/>
                      <w:szCs w:val="21"/>
                      <w:lang w:bidi="ar"/>
                    </w:rPr>
                    <w:t>/</w:t>
                  </w:r>
                </w:p>
              </w:tc>
              <w:tc>
                <w:tcPr>
                  <w:tcW w:w="438" w:type="pct"/>
                  <w:vAlign w:val="center"/>
                </w:tcPr>
                <w:p w14:paraId="670A2A5A">
                  <w:pPr>
                    <w:snapToGrid w:val="0"/>
                    <w:jc w:val="center"/>
                    <w:textAlignment w:val="center"/>
                    <w:rPr>
                      <w:color w:val="auto"/>
                      <w:szCs w:val="21"/>
                      <w:lang w:bidi="ar"/>
                    </w:rPr>
                  </w:pPr>
                  <w:r>
                    <w:rPr>
                      <w:rFonts w:hint="eastAsia"/>
                      <w:color w:val="auto"/>
                      <w:szCs w:val="21"/>
                      <w:lang w:bidi="ar"/>
                    </w:rPr>
                    <w:t>/</w:t>
                  </w:r>
                </w:p>
              </w:tc>
            </w:tr>
            <w:tr w14:paraId="1073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548" w:type="pct"/>
                  <w:vAlign w:val="center"/>
                </w:tcPr>
                <w:p w14:paraId="75F1A370">
                  <w:pPr>
                    <w:snapToGrid w:val="0"/>
                    <w:jc w:val="center"/>
                    <w:rPr>
                      <w:color w:val="auto"/>
                      <w:szCs w:val="21"/>
                    </w:rPr>
                  </w:pPr>
                  <w:r>
                    <w:rPr>
                      <w:color w:val="auto"/>
                      <w:szCs w:val="21"/>
                    </w:rPr>
                    <w:t>球团</w:t>
                  </w:r>
                </w:p>
              </w:tc>
              <w:tc>
                <w:tcPr>
                  <w:tcW w:w="441" w:type="pct"/>
                  <w:vAlign w:val="center"/>
                </w:tcPr>
                <w:p w14:paraId="5D4CAD6D">
                  <w:pPr>
                    <w:snapToGrid w:val="0"/>
                    <w:jc w:val="center"/>
                    <w:textAlignment w:val="center"/>
                    <w:rPr>
                      <w:color w:val="auto"/>
                      <w:szCs w:val="21"/>
                    </w:rPr>
                  </w:pPr>
                  <w:r>
                    <w:rPr>
                      <w:color w:val="auto"/>
                      <w:szCs w:val="21"/>
                      <w:lang w:bidi="ar"/>
                    </w:rPr>
                    <w:t>1.03</w:t>
                  </w:r>
                </w:p>
              </w:tc>
              <w:tc>
                <w:tcPr>
                  <w:tcW w:w="483" w:type="pct"/>
                  <w:vAlign w:val="center"/>
                </w:tcPr>
                <w:p w14:paraId="764DF2B2">
                  <w:pPr>
                    <w:snapToGrid w:val="0"/>
                    <w:jc w:val="center"/>
                    <w:textAlignment w:val="center"/>
                    <w:rPr>
                      <w:color w:val="auto"/>
                      <w:szCs w:val="21"/>
                    </w:rPr>
                  </w:pPr>
                  <w:r>
                    <w:rPr>
                      <w:color w:val="auto"/>
                      <w:szCs w:val="21"/>
                      <w:lang w:bidi="ar"/>
                    </w:rPr>
                    <w:t>0.27</w:t>
                  </w:r>
                </w:p>
              </w:tc>
              <w:tc>
                <w:tcPr>
                  <w:tcW w:w="443" w:type="pct"/>
                  <w:vAlign w:val="center"/>
                </w:tcPr>
                <w:p w14:paraId="716F5FCD">
                  <w:pPr>
                    <w:snapToGrid w:val="0"/>
                    <w:jc w:val="center"/>
                    <w:textAlignment w:val="center"/>
                    <w:rPr>
                      <w:color w:val="auto"/>
                      <w:szCs w:val="21"/>
                      <w:u w:val="single"/>
                    </w:rPr>
                  </w:pPr>
                  <w:r>
                    <w:rPr>
                      <w:color w:val="auto"/>
                      <w:szCs w:val="21"/>
                      <w:lang w:bidi="ar"/>
                    </w:rPr>
                    <w:t>/</w:t>
                  </w:r>
                </w:p>
              </w:tc>
              <w:tc>
                <w:tcPr>
                  <w:tcW w:w="441" w:type="pct"/>
                  <w:vAlign w:val="center"/>
                </w:tcPr>
                <w:p w14:paraId="0DEE056C">
                  <w:pPr>
                    <w:snapToGrid w:val="0"/>
                    <w:jc w:val="center"/>
                    <w:textAlignment w:val="center"/>
                    <w:rPr>
                      <w:color w:val="auto"/>
                      <w:szCs w:val="21"/>
                    </w:rPr>
                  </w:pPr>
                  <w:r>
                    <w:rPr>
                      <w:color w:val="auto"/>
                      <w:szCs w:val="21"/>
                      <w:lang w:bidi="ar"/>
                    </w:rPr>
                    <w:t>/</w:t>
                  </w:r>
                </w:p>
              </w:tc>
              <w:tc>
                <w:tcPr>
                  <w:tcW w:w="441" w:type="pct"/>
                  <w:vAlign w:val="center"/>
                </w:tcPr>
                <w:p w14:paraId="750C70F8">
                  <w:pPr>
                    <w:snapToGrid w:val="0"/>
                    <w:jc w:val="center"/>
                    <w:textAlignment w:val="center"/>
                    <w:rPr>
                      <w:color w:val="auto"/>
                      <w:szCs w:val="21"/>
                    </w:rPr>
                  </w:pPr>
                  <w:r>
                    <w:rPr>
                      <w:color w:val="auto"/>
                      <w:szCs w:val="21"/>
                      <w:lang w:bidi="ar"/>
                    </w:rPr>
                    <w:t>/</w:t>
                  </w:r>
                </w:p>
              </w:tc>
              <w:tc>
                <w:tcPr>
                  <w:tcW w:w="441" w:type="pct"/>
                  <w:vAlign w:val="center"/>
                </w:tcPr>
                <w:p w14:paraId="610BF532">
                  <w:pPr>
                    <w:snapToGrid w:val="0"/>
                    <w:jc w:val="center"/>
                    <w:textAlignment w:val="center"/>
                    <w:rPr>
                      <w:color w:val="auto"/>
                      <w:szCs w:val="21"/>
                      <w:u w:val="single"/>
                    </w:rPr>
                  </w:pPr>
                  <w:r>
                    <w:rPr>
                      <w:color w:val="auto"/>
                      <w:szCs w:val="21"/>
                      <w:lang w:bidi="ar"/>
                    </w:rPr>
                    <w:t>/</w:t>
                  </w:r>
                </w:p>
              </w:tc>
              <w:tc>
                <w:tcPr>
                  <w:tcW w:w="441" w:type="pct"/>
                  <w:vAlign w:val="center"/>
                </w:tcPr>
                <w:p w14:paraId="01023854">
                  <w:pPr>
                    <w:snapToGrid w:val="0"/>
                    <w:jc w:val="center"/>
                    <w:textAlignment w:val="center"/>
                    <w:rPr>
                      <w:color w:val="auto"/>
                      <w:szCs w:val="21"/>
                    </w:rPr>
                  </w:pPr>
                  <w:r>
                    <w:rPr>
                      <w:color w:val="auto"/>
                      <w:szCs w:val="21"/>
                      <w:lang w:bidi="ar"/>
                    </w:rPr>
                    <w:t>/</w:t>
                  </w:r>
                </w:p>
              </w:tc>
              <w:tc>
                <w:tcPr>
                  <w:tcW w:w="441" w:type="pct"/>
                  <w:vAlign w:val="center"/>
                </w:tcPr>
                <w:p w14:paraId="3FEDD4B5">
                  <w:pPr>
                    <w:snapToGrid w:val="0"/>
                    <w:jc w:val="center"/>
                    <w:textAlignment w:val="center"/>
                    <w:rPr>
                      <w:color w:val="auto"/>
                      <w:szCs w:val="21"/>
                    </w:rPr>
                  </w:pPr>
                  <w:r>
                    <w:rPr>
                      <w:color w:val="auto"/>
                      <w:szCs w:val="21"/>
                      <w:lang w:bidi="ar"/>
                    </w:rPr>
                    <w:t>/</w:t>
                  </w:r>
                </w:p>
              </w:tc>
              <w:tc>
                <w:tcPr>
                  <w:tcW w:w="441" w:type="pct"/>
                  <w:vAlign w:val="center"/>
                </w:tcPr>
                <w:p w14:paraId="0D33F804">
                  <w:pPr>
                    <w:snapToGrid w:val="0"/>
                    <w:jc w:val="center"/>
                    <w:textAlignment w:val="center"/>
                    <w:rPr>
                      <w:color w:val="auto"/>
                      <w:szCs w:val="21"/>
                    </w:rPr>
                  </w:pPr>
                  <w:r>
                    <w:rPr>
                      <w:color w:val="auto"/>
                      <w:szCs w:val="21"/>
                      <w:lang w:bidi="ar"/>
                    </w:rPr>
                    <w:t>/</w:t>
                  </w:r>
                </w:p>
              </w:tc>
              <w:tc>
                <w:tcPr>
                  <w:tcW w:w="438" w:type="pct"/>
                  <w:vAlign w:val="center"/>
                </w:tcPr>
                <w:p w14:paraId="0F6B50A9">
                  <w:pPr>
                    <w:snapToGrid w:val="0"/>
                    <w:jc w:val="center"/>
                    <w:textAlignment w:val="center"/>
                    <w:rPr>
                      <w:color w:val="auto"/>
                      <w:szCs w:val="21"/>
                      <w:lang w:bidi="ar"/>
                    </w:rPr>
                  </w:pPr>
                  <w:r>
                    <w:rPr>
                      <w:rFonts w:hint="eastAsia"/>
                      <w:color w:val="auto"/>
                      <w:szCs w:val="21"/>
                      <w:lang w:bidi="ar"/>
                    </w:rPr>
                    <w:t>/</w:t>
                  </w:r>
                </w:p>
              </w:tc>
            </w:tr>
            <w:tr w14:paraId="4288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548" w:type="pct"/>
                  <w:vAlign w:val="center"/>
                </w:tcPr>
                <w:p w14:paraId="422C5EB9">
                  <w:pPr>
                    <w:snapToGrid w:val="0"/>
                    <w:jc w:val="center"/>
                    <w:rPr>
                      <w:color w:val="auto"/>
                      <w:szCs w:val="21"/>
                    </w:rPr>
                  </w:pPr>
                  <w:r>
                    <w:rPr>
                      <w:rFonts w:hint="eastAsia"/>
                      <w:color w:val="auto"/>
                      <w:szCs w:val="21"/>
                    </w:rPr>
                    <w:t>制酸</w:t>
                  </w:r>
                </w:p>
              </w:tc>
              <w:tc>
                <w:tcPr>
                  <w:tcW w:w="441" w:type="pct"/>
                  <w:vAlign w:val="center"/>
                </w:tcPr>
                <w:p w14:paraId="632C14D6">
                  <w:pPr>
                    <w:snapToGrid w:val="0"/>
                    <w:jc w:val="center"/>
                    <w:textAlignment w:val="center"/>
                    <w:rPr>
                      <w:color w:val="auto"/>
                      <w:szCs w:val="21"/>
                      <w:lang w:bidi="ar"/>
                    </w:rPr>
                  </w:pPr>
                  <w:r>
                    <w:rPr>
                      <w:rFonts w:hint="eastAsia"/>
                      <w:color w:val="auto"/>
                      <w:szCs w:val="21"/>
                      <w:lang w:bidi="ar"/>
                    </w:rPr>
                    <w:t>/</w:t>
                  </w:r>
                </w:p>
              </w:tc>
              <w:tc>
                <w:tcPr>
                  <w:tcW w:w="483" w:type="pct"/>
                  <w:vAlign w:val="center"/>
                </w:tcPr>
                <w:p w14:paraId="7DD220BF">
                  <w:pPr>
                    <w:snapToGrid w:val="0"/>
                    <w:jc w:val="center"/>
                    <w:textAlignment w:val="center"/>
                    <w:rPr>
                      <w:color w:val="auto"/>
                      <w:szCs w:val="21"/>
                      <w:lang w:bidi="ar"/>
                    </w:rPr>
                  </w:pPr>
                  <w:r>
                    <w:rPr>
                      <w:rFonts w:hint="eastAsia"/>
                      <w:color w:val="auto"/>
                      <w:szCs w:val="21"/>
                      <w:lang w:bidi="ar"/>
                    </w:rPr>
                    <w:t>/</w:t>
                  </w:r>
                </w:p>
              </w:tc>
              <w:tc>
                <w:tcPr>
                  <w:tcW w:w="443" w:type="pct"/>
                  <w:vAlign w:val="center"/>
                </w:tcPr>
                <w:p w14:paraId="06C87AE0">
                  <w:pPr>
                    <w:snapToGrid w:val="0"/>
                    <w:jc w:val="center"/>
                    <w:textAlignment w:val="center"/>
                    <w:rPr>
                      <w:color w:val="auto"/>
                      <w:szCs w:val="21"/>
                      <w:lang w:bidi="ar"/>
                    </w:rPr>
                  </w:pPr>
                  <w:r>
                    <w:rPr>
                      <w:rFonts w:hint="eastAsia"/>
                      <w:color w:val="auto"/>
                      <w:szCs w:val="21"/>
                      <w:lang w:bidi="ar"/>
                    </w:rPr>
                    <w:t>/</w:t>
                  </w:r>
                </w:p>
              </w:tc>
              <w:tc>
                <w:tcPr>
                  <w:tcW w:w="441" w:type="pct"/>
                  <w:vAlign w:val="center"/>
                </w:tcPr>
                <w:p w14:paraId="0B85E9BB">
                  <w:pPr>
                    <w:snapToGrid w:val="0"/>
                    <w:jc w:val="center"/>
                    <w:textAlignment w:val="center"/>
                    <w:rPr>
                      <w:color w:val="auto"/>
                      <w:szCs w:val="21"/>
                      <w:lang w:bidi="ar"/>
                    </w:rPr>
                  </w:pPr>
                  <w:r>
                    <w:rPr>
                      <w:rFonts w:hint="eastAsia"/>
                      <w:color w:val="auto"/>
                      <w:szCs w:val="21"/>
                      <w:lang w:bidi="ar"/>
                    </w:rPr>
                    <w:t>1.07</w:t>
                  </w:r>
                </w:p>
              </w:tc>
              <w:tc>
                <w:tcPr>
                  <w:tcW w:w="441" w:type="pct"/>
                  <w:vAlign w:val="center"/>
                </w:tcPr>
                <w:p w14:paraId="15600EEA">
                  <w:pPr>
                    <w:snapToGrid w:val="0"/>
                    <w:jc w:val="center"/>
                    <w:textAlignment w:val="center"/>
                    <w:rPr>
                      <w:color w:val="auto"/>
                      <w:szCs w:val="21"/>
                      <w:lang w:bidi="ar"/>
                    </w:rPr>
                  </w:pPr>
                  <w:r>
                    <w:rPr>
                      <w:rFonts w:hint="eastAsia"/>
                      <w:color w:val="auto"/>
                      <w:szCs w:val="21"/>
                      <w:lang w:bidi="ar"/>
                    </w:rPr>
                    <w:t>/</w:t>
                  </w:r>
                </w:p>
              </w:tc>
              <w:tc>
                <w:tcPr>
                  <w:tcW w:w="441" w:type="pct"/>
                  <w:vAlign w:val="center"/>
                </w:tcPr>
                <w:p w14:paraId="503A8BD3">
                  <w:pPr>
                    <w:snapToGrid w:val="0"/>
                    <w:jc w:val="center"/>
                    <w:textAlignment w:val="center"/>
                    <w:rPr>
                      <w:color w:val="auto"/>
                      <w:szCs w:val="21"/>
                      <w:lang w:bidi="ar"/>
                    </w:rPr>
                  </w:pPr>
                  <w:r>
                    <w:rPr>
                      <w:rFonts w:hint="eastAsia"/>
                      <w:color w:val="auto"/>
                      <w:szCs w:val="21"/>
                      <w:lang w:bidi="ar"/>
                    </w:rPr>
                    <w:t>/</w:t>
                  </w:r>
                </w:p>
              </w:tc>
              <w:tc>
                <w:tcPr>
                  <w:tcW w:w="441" w:type="pct"/>
                  <w:vAlign w:val="center"/>
                </w:tcPr>
                <w:p w14:paraId="5657096B">
                  <w:pPr>
                    <w:snapToGrid w:val="0"/>
                    <w:jc w:val="center"/>
                    <w:textAlignment w:val="center"/>
                    <w:rPr>
                      <w:color w:val="auto"/>
                      <w:szCs w:val="21"/>
                      <w:lang w:bidi="ar"/>
                    </w:rPr>
                  </w:pPr>
                  <w:r>
                    <w:rPr>
                      <w:rFonts w:hint="eastAsia"/>
                      <w:color w:val="auto"/>
                      <w:szCs w:val="21"/>
                      <w:lang w:bidi="ar"/>
                    </w:rPr>
                    <w:t>/</w:t>
                  </w:r>
                </w:p>
              </w:tc>
              <w:tc>
                <w:tcPr>
                  <w:tcW w:w="441" w:type="pct"/>
                  <w:vAlign w:val="center"/>
                </w:tcPr>
                <w:p w14:paraId="2E0D9924">
                  <w:pPr>
                    <w:snapToGrid w:val="0"/>
                    <w:jc w:val="center"/>
                    <w:textAlignment w:val="center"/>
                    <w:rPr>
                      <w:color w:val="auto"/>
                      <w:szCs w:val="21"/>
                      <w:lang w:bidi="ar"/>
                    </w:rPr>
                  </w:pPr>
                  <w:r>
                    <w:rPr>
                      <w:rFonts w:hint="eastAsia"/>
                      <w:color w:val="auto"/>
                      <w:szCs w:val="21"/>
                      <w:lang w:bidi="ar"/>
                    </w:rPr>
                    <w:t>/</w:t>
                  </w:r>
                </w:p>
              </w:tc>
              <w:tc>
                <w:tcPr>
                  <w:tcW w:w="441" w:type="pct"/>
                  <w:vAlign w:val="center"/>
                </w:tcPr>
                <w:p w14:paraId="4109E100">
                  <w:pPr>
                    <w:snapToGrid w:val="0"/>
                    <w:jc w:val="center"/>
                    <w:textAlignment w:val="center"/>
                    <w:rPr>
                      <w:color w:val="auto"/>
                      <w:szCs w:val="21"/>
                      <w:lang w:bidi="ar"/>
                    </w:rPr>
                  </w:pPr>
                  <w:r>
                    <w:rPr>
                      <w:rFonts w:hint="eastAsia"/>
                      <w:color w:val="auto"/>
                      <w:szCs w:val="21"/>
                      <w:lang w:bidi="ar"/>
                    </w:rPr>
                    <w:t>/</w:t>
                  </w:r>
                </w:p>
              </w:tc>
              <w:tc>
                <w:tcPr>
                  <w:tcW w:w="438" w:type="pct"/>
                  <w:vAlign w:val="center"/>
                </w:tcPr>
                <w:p w14:paraId="01F1B0B8">
                  <w:pPr>
                    <w:snapToGrid w:val="0"/>
                    <w:jc w:val="center"/>
                    <w:textAlignment w:val="center"/>
                    <w:rPr>
                      <w:color w:val="auto"/>
                      <w:szCs w:val="21"/>
                      <w:lang w:bidi="ar"/>
                    </w:rPr>
                  </w:pPr>
                  <w:r>
                    <w:rPr>
                      <w:rFonts w:hint="eastAsia"/>
                      <w:color w:val="auto"/>
                      <w:szCs w:val="21"/>
                      <w:lang w:bidi="ar"/>
                    </w:rPr>
                    <w:t>0.364</w:t>
                  </w:r>
                </w:p>
              </w:tc>
            </w:tr>
            <w:tr w14:paraId="4A09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548" w:type="pct"/>
                  <w:vAlign w:val="center"/>
                </w:tcPr>
                <w:p w14:paraId="63417AC0">
                  <w:pPr>
                    <w:snapToGrid w:val="0"/>
                    <w:jc w:val="center"/>
                    <w:rPr>
                      <w:color w:val="auto"/>
                      <w:szCs w:val="21"/>
                    </w:rPr>
                  </w:pPr>
                  <w:r>
                    <w:rPr>
                      <w:color w:val="auto"/>
                      <w:szCs w:val="21"/>
                    </w:rPr>
                    <w:t>合  计</w:t>
                  </w:r>
                </w:p>
              </w:tc>
              <w:tc>
                <w:tcPr>
                  <w:tcW w:w="441" w:type="pct"/>
                  <w:vAlign w:val="center"/>
                </w:tcPr>
                <w:p w14:paraId="1F23E535">
                  <w:pPr>
                    <w:snapToGrid w:val="0"/>
                    <w:jc w:val="center"/>
                    <w:textAlignment w:val="center"/>
                    <w:rPr>
                      <w:color w:val="auto"/>
                      <w:szCs w:val="21"/>
                    </w:rPr>
                  </w:pPr>
                  <w:r>
                    <w:rPr>
                      <w:color w:val="auto"/>
                      <w:szCs w:val="21"/>
                      <w:lang w:bidi="ar"/>
                    </w:rPr>
                    <w:t>10.5</w:t>
                  </w:r>
                </w:p>
              </w:tc>
              <w:tc>
                <w:tcPr>
                  <w:tcW w:w="483" w:type="pct"/>
                  <w:vAlign w:val="center"/>
                </w:tcPr>
                <w:p w14:paraId="1BF692E2">
                  <w:pPr>
                    <w:snapToGrid w:val="0"/>
                    <w:jc w:val="center"/>
                    <w:textAlignment w:val="center"/>
                    <w:rPr>
                      <w:color w:val="auto"/>
                      <w:szCs w:val="21"/>
                    </w:rPr>
                  </w:pPr>
                  <w:r>
                    <w:rPr>
                      <w:color w:val="auto"/>
                      <w:szCs w:val="21"/>
                      <w:lang w:bidi="ar"/>
                    </w:rPr>
                    <w:t>6.88</w:t>
                  </w:r>
                </w:p>
              </w:tc>
              <w:tc>
                <w:tcPr>
                  <w:tcW w:w="443" w:type="pct"/>
                  <w:vAlign w:val="center"/>
                </w:tcPr>
                <w:p w14:paraId="655E2C5C">
                  <w:pPr>
                    <w:snapToGrid w:val="0"/>
                    <w:jc w:val="center"/>
                    <w:textAlignment w:val="center"/>
                    <w:rPr>
                      <w:color w:val="auto"/>
                      <w:szCs w:val="21"/>
                    </w:rPr>
                  </w:pPr>
                  <w:r>
                    <w:rPr>
                      <w:color w:val="auto"/>
                      <w:szCs w:val="21"/>
                    </w:rPr>
                    <w:t>162.92</w:t>
                  </w:r>
                </w:p>
              </w:tc>
              <w:tc>
                <w:tcPr>
                  <w:tcW w:w="441" w:type="pct"/>
                  <w:vAlign w:val="center"/>
                </w:tcPr>
                <w:p w14:paraId="2778D694">
                  <w:pPr>
                    <w:snapToGrid w:val="0"/>
                    <w:jc w:val="center"/>
                    <w:textAlignment w:val="center"/>
                    <w:rPr>
                      <w:color w:val="auto"/>
                      <w:szCs w:val="21"/>
                    </w:rPr>
                  </w:pPr>
                  <w:r>
                    <w:rPr>
                      <w:rFonts w:hint="eastAsia"/>
                      <w:color w:val="auto"/>
                      <w:szCs w:val="21"/>
                      <w:lang w:bidi="ar"/>
                    </w:rPr>
                    <w:t>4.99</w:t>
                  </w:r>
                </w:p>
              </w:tc>
              <w:tc>
                <w:tcPr>
                  <w:tcW w:w="441" w:type="pct"/>
                  <w:vAlign w:val="center"/>
                </w:tcPr>
                <w:p w14:paraId="7200CE1E">
                  <w:pPr>
                    <w:snapToGrid w:val="0"/>
                    <w:jc w:val="center"/>
                    <w:textAlignment w:val="center"/>
                    <w:rPr>
                      <w:color w:val="auto"/>
                      <w:szCs w:val="21"/>
                    </w:rPr>
                  </w:pPr>
                  <w:r>
                    <w:rPr>
                      <w:color w:val="auto"/>
                      <w:szCs w:val="21"/>
                      <w:lang w:bidi="ar"/>
                    </w:rPr>
                    <w:t>1.14</w:t>
                  </w:r>
                </w:p>
              </w:tc>
              <w:tc>
                <w:tcPr>
                  <w:tcW w:w="441" w:type="pct"/>
                  <w:vAlign w:val="center"/>
                </w:tcPr>
                <w:p w14:paraId="6ACAD13D">
                  <w:pPr>
                    <w:snapToGrid w:val="0"/>
                    <w:jc w:val="center"/>
                    <w:textAlignment w:val="center"/>
                    <w:rPr>
                      <w:color w:val="auto"/>
                      <w:szCs w:val="21"/>
                    </w:rPr>
                  </w:pPr>
                  <w:r>
                    <w:rPr>
                      <w:color w:val="auto"/>
                      <w:szCs w:val="21"/>
                    </w:rPr>
                    <w:t>7.35</w:t>
                  </w:r>
                </w:p>
              </w:tc>
              <w:tc>
                <w:tcPr>
                  <w:tcW w:w="441" w:type="pct"/>
                  <w:vAlign w:val="center"/>
                </w:tcPr>
                <w:p w14:paraId="09860554">
                  <w:pPr>
                    <w:snapToGrid w:val="0"/>
                    <w:jc w:val="center"/>
                    <w:textAlignment w:val="center"/>
                    <w:rPr>
                      <w:color w:val="auto"/>
                      <w:szCs w:val="21"/>
                    </w:rPr>
                  </w:pPr>
                  <w:r>
                    <w:rPr>
                      <w:color w:val="auto"/>
                      <w:szCs w:val="21"/>
                      <w:lang w:bidi="ar"/>
                    </w:rPr>
                    <w:t>20.98</w:t>
                  </w:r>
                </w:p>
              </w:tc>
              <w:tc>
                <w:tcPr>
                  <w:tcW w:w="441" w:type="pct"/>
                  <w:vAlign w:val="center"/>
                </w:tcPr>
                <w:p w14:paraId="5B29C50E">
                  <w:pPr>
                    <w:snapToGrid w:val="0"/>
                    <w:jc w:val="center"/>
                    <w:textAlignment w:val="center"/>
                    <w:rPr>
                      <w:color w:val="auto"/>
                      <w:szCs w:val="21"/>
                    </w:rPr>
                  </w:pPr>
                  <w:r>
                    <w:rPr>
                      <w:color w:val="auto"/>
                      <w:szCs w:val="21"/>
                      <w:lang w:bidi="ar"/>
                    </w:rPr>
                    <w:t>0.09</w:t>
                  </w:r>
                </w:p>
              </w:tc>
              <w:tc>
                <w:tcPr>
                  <w:tcW w:w="441" w:type="pct"/>
                  <w:vAlign w:val="center"/>
                </w:tcPr>
                <w:p w14:paraId="6C2C8B66">
                  <w:pPr>
                    <w:snapToGrid w:val="0"/>
                    <w:jc w:val="center"/>
                    <w:textAlignment w:val="center"/>
                    <w:rPr>
                      <w:color w:val="auto"/>
                      <w:szCs w:val="21"/>
                    </w:rPr>
                  </w:pPr>
                  <w:r>
                    <w:rPr>
                      <w:color w:val="auto"/>
                      <w:szCs w:val="21"/>
                      <w:lang w:bidi="ar"/>
                    </w:rPr>
                    <w:t>2.3</w:t>
                  </w:r>
                </w:p>
              </w:tc>
              <w:tc>
                <w:tcPr>
                  <w:tcW w:w="438" w:type="pct"/>
                  <w:vAlign w:val="center"/>
                </w:tcPr>
                <w:p w14:paraId="20143DA3">
                  <w:pPr>
                    <w:snapToGrid w:val="0"/>
                    <w:jc w:val="center"/>
                    <w:textAlignment w:val="center"/>
                    <w:rPr>
                      <w:color w:val="auto"/>
                      <w:szCs w:val="21"/>
                      <w:lang w:bidi="ar"/>
                    </w:rPr>
                  </w:pPr>
                  <w:r>
                    <w:rPr>
                      <w:rFonts w:hint="eastAsia"/>
                      <w:color w:val="auto"/>
                      <w:szCs w:val="21"/>
                      <w:lang w:bidi="ar"/>
                    </w:rPr>
                    <w:t>0.364</w:t>
                  </w:r>
                </w:p>
              </w:tc>
            </w:tr>
          </w:tbl>
          <w:p w14:paraId="7926C4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b/>
                <w:bCs/>
                <w:sz w:val="24"/>
              </w:rPr>
            </w:pPr>
            <w:r>
              <w:rPr>
                <w:rFonts w:ascii="Times New Roman" w:hAnsi="Times New Roman" w:cs="Arial"/>
                <w:b/>
                <w:color w:val="auto"/>
                <w:sz w:val="18"/>
                <w:szCs w:val="18"/>
              </w:rPr>
              <w:t>注：表中二噁英类排放量单位为g-TEQ/a，</w:t>
            </w:r>
            <w:r>
              <w:rPr>
                <w:rFonts w:ascii="Times New Roman" w:hAnsi="Times New Roman" w:cs="Arial"/>
                <w:b/>
                <w:bCs/>
                <w:color w:val="auto"/>
                <w:sz w:val="18"/>
                <w:szCs w:val="18"/>
              </w:rPr>
              <w:t>BaP排放量单位为kg/a，</w:t>
            </w:r>
            <w:r>
              <w:rPr>
                <w:rFonts w:ascii="Times New Roman" w:hAnsi="Times New Roman" w:cs="Arial"/>
                <w:b/>
                <w:color w:val="auto"/>
                <w:sz w:val="18"/>
                <w:szCs w:val="18"/>
              </w:rPr>
              <w:t>其余污染物排放量单位为t/a。</w:t>
            </w:r>
          </w:p>
          <w:p w14:paraId="04475D2C">
            <w:pPr>
              <w:spacing w:line="500" w:lineRule="atLeast"/>
              <w:ind w:firstLine="482" w:firstLineChars="200"/>
              <w:rPr>
                <w:b/>
                <w:bCs/>
                <w:sz w:val="24"/>
              </w:rPr>
            </w:pPr>
            <w:r>
              <w:rPr>
                <w:rFonts w:hint="eastAsia"/>
                <w:b/>
                <w:bCs/>
                <w:sz w:val="24"/>
              </w:rPr>
              <w:t>（2）废水</w:t>
            </w:r>
          </w:p>
          <w:p w14:paraId="4849035C">
            <w:pPr>
              <w:spacing w:line="500" w:lineRule="atLeast"/>
              <w:ind w:firstLine="480" w:firstLineChars="200"/>
              <w:rPr>
                <w:bCs/>
                <w:sz w:val="24"/>
              </w:rPr>
            </w:pPr>
            <w:r>
              <w:rPr>
                <w:rFonts w:hint="eastAsia"/>
                <w:bCs/>
                <w:sz w:val="24"/>
              </w:rPr>
              <w:t>盛隆公司生产工艺用水分软水、净环水和浊环水系统，采取清污分流、一水多用、水质稳定等节水技术。各生产工序废水治理措施及去向见下表，由表可知，盛隆公司现状工程各类生产废水和生活污水经处理后全部循环利用，不外排。</w:t>
            </w:r>
          </w:p>
          <w:p w14:paraId="1099DE71">
            <w:pPr>
              <w:pStyle w:val="48"/>
              <w:numPr>
                <w:ilvl w:val="2"/>
                <w:numId w:val="2"/>
              </w:numPr>
              <w:spacing w:line="500" w:lineRule="atLeast"/>
              <w:ind w:firstLineChars="0"/>
              <w:jc w:val="center"/>
              <w:rPr>
                <w:b/>
                <w:sz w:val="24"/>
              </w:rPr>
            </w:pPr>
            <w:r>
              <w:rPr>
                <w:rFonts w:hint="eastAsia"/>
                <w:b/>
                <w:sz w:val="24"/>
              </w:rPr>
              <w:t>盛隆公司现有工程各工序废水主要污染物及治理工艺</w:t>
            </w:r>
          </w:p>
          <w:tbl>
            <w:tblPr>
              <w:tblStyle w:val="23"/>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57" w:type="dxa"/>
              </w:tblCellMar>
            </w:tblPr>
            <w:tblGrid>
              <w:gridCol w:w="876"/>
              <w:gridCol w:w="1709"/>
              <w:gridCol w:w="1714"/>
              <w:gridCol w:w="3630"/>
            </w:tblGrid>
            <w:tr w14:paraId="42E3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40" w:hRule="atLeast"/>
                <w:jc w:val="center"/>
              </w:trPr>
              <w:tc>
                <w:tcPr>
                  <w:tcW w:w="972" w:type="dxa"/>
                  <w:vAlign w:val="center"/>
                </w:tcPr>
                <w:p w14:paraId="1239C28F">
                  <w:pPr>
                    <w:snapToGrid w:val="0"/>
                    <w:ind w:left="-105" w:leftChars="-50" w:right="-105" w:rightChars="-50"/>
                    <w:jc w:val="center"/>
                    <w:rPr>
                      <w:szCs w:val="21"/>
                    </w:rPr>
                  </w:pPr>
                  <w:r>
                    <w:rPr>
                      <w:szCs w:val="21"/>
                    </w:rPr>
                    <w:t>生产工序</w:t>
                  </w:r>
                </w:p>
              </w:tc>
              <w:tc>
                <w:tcPr>
                  <w:tcW w:w="1914" w:type="dxa"/>
                  <w:vAlign w:val="center"/>
                </w:tcPr>
                <w:p w14:paraId="352E8A5F">
                  <w:pPr>
                    <w:snapToGrid w:val="0"/>
                    <w:ind w:left="-105" w:leftChars="-50" w:right="-105" w:rightChars="-50"/>
                    <w:jc w:val="center"/>
                    <w:rPr>
                      <w:szCs w:val="21"/>
                    </w:rPr>
                  </w:pPr>
                  <w:r>
                    <w:rPr>
                      <w:szCs w:val="21"/>
                    </w:rPr>
                    <w:t>主要污染源</w:t>
                  </w:r>
                </w:p>
              </w:tc>
              <w:tc>
                <w:tcPr>
                  <w:tcW w:w="1919" w:type="dxa"/>
                  <w:vAlign w:val="center"/>
                </w:tcPr>
                <w:p w14:paraId="4580DE91">
                  <w:pPr>
                    <w:snapToGrid w:val="0"/>
                    <w:jc w:val="center"/>
                    <w:rPr>
                      <w:szCs w:val="21"/>
                    </w:rPr>
                  </w:pPr>
                  <w:r>
                    <w:rPr>
                      <w:szCs w:val="21"/>
                    </w:rPr>
                    <w:t>主要污染物</w:t>
                  </w:r>
                </w:p>
              </w:tc>
              <w:tc>
                <w:tcPr>
                  <w:tcW w:w="4085" w:type="dxa"/>
                  <w:vAlign w:val="center"/>
                </w:tcPr>
                <w:p w14:paraId="23DB4E81">
                  <w:pPr>
                    <w:snapToGrid w:val="0"/>
                    <w:ind w:left="-105" w:leftChars="-50" w:right="-105" w:rightChars="-50"/>
                    <w:jc w:val="center"/>
                    <w:rPr>
                      <w:szCs w:val="21"/>
                    </w:rPr>
                  </w:pPr>
                  <w:r>
                    <w:rPr>
                      <w:szCs w:val="21"/>
                    </w:rPr>
                    <w:t>治理措施及去向</w:t>
                  </w:r>
                </w:p>
              </w:tc>
            </w:tr>
            <w:tr w14:paraId="463D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Align w:val="center"/>
                </w:tcPr>
                <w:p w14:paraId="31F9161C">
                  <w:pPr>
                    <w:snapToGrid w:val="0"/>
                    <w:ind w:left="-105" w:leftChars="-50" w:right="-105" w:rightChars="-50"/>
                    <w:jc w:val="center"/>
                    <w:rPr>
                      <w:szCs w:val="21"/>
                    </w:rPr>
                  </w:pPr>
                  <w:r>
                    <w:rPr>
                      <w:szCs w:val="21"/>
                    </w:rPr>
                    <w:t>原料场</w:t>
                  </w:r>
                </w:p>
              </w:tc>
              <w:tc>
                <w:tcPr>
                  <w:tcW w:w="1914" w:type="dxa"/>
                  <w:vAlign w:val="center"/>
                </w:tcPr>
                <w:p w14:paraId="5E9FBC56">
                  <w:pPr>
                    <w:snapToGrid w:val="0"/>
                    <w:ind w:left="-105" w:leftChars="-50" w:right="-105" w:rightChars="-50"/>
                    <w:jc w:val="center"/>
                    <w:rPr>
                      <w:szCs w:val="21"/>
                    </w:rPr>
                  </w:pPr>
                  <w:r>
                    <w:rPr>
                      <w:szCs w:val="21"/>
                    </w:rPr>
                    <w:t>冲洗水、洗车废水</w:t>
                  </w:r>
                </w:p>
              </w:tc>
              <w:tc>
                <w:tcPr>
                  <w:tcW w:w="1919" w:type="dxa"/>
                  <w:vAlign w:val="center"/>
                </w:tcPr>
                <w:p w14:paraId="19459116">
                  <w:pPr>
                    <w:snapToGrid w:val="0"/>
                    <w:jc w:val="center"/>
                    <w:rPr>
                      <w:szCs w:val="21"/>
                    </w:rPr>
                  </w:pPr>
                  <w:r>
                    <w:rPr>
                      <w:szCs w:val="21"/>
                    </w:rPr>
                    <w:t>SS</w:t>
                  </w:r>
                </w:p>
              </w:tc>
              <w:tc>
                <w:tcPr>
                  <w:tcW w:w="4085" w:type="dxa"/>
                  <w:vAlign w:val="center"/>
                </w:tcPr>
                <w:p w14:paraId="38C9A1EE">
                  <w:pPr>
                    <w:snapToGrid w:val="0"/>
                    <w:ind w:left="-105" w:leftChars="-50" w:right="-105" w:rightChars="-50"/>
                    <w:jc w:val="center"/>
                    <w:rPr>
                      <w:szCs w:val="21"/>
                    </w:rPr>
                  </w:pPr>
                  <w:r>
                    <w:rPr>
                      <w:szCs w:val="21"/>
                    </w:rPr>
                    <w:t>沉淀、循环使用</w:t>
                  </w:r>
                </w:p>
              </w:tc>
            </w:tr>
            <w:tr w14:paraId="35476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restart"/>
                  <w:vAlign w:val="center"/>
                </w:tcPr>
                <w:p w14:paraId="61A36997">
                  <w:pPr>
                    <w:snapToGrid w:val="0"/>
                    <w:ind w:left="-105" w:leftChars="-50" w:right="-105" w:rightChars="-50"/>
                    <w:jc w:val="center"/>
                    <w:rPr>
                      <w:szCs w:val="21"/>
                    </w:rPr>
                  </w:pPr>
                  <w:r>
                    <w:rPr>
                      <w:szCs w:val="21"/>
                    </w:rPr>
                    <w:t>焦化</w:t>
                  </w:r>
                </w:p>
              </w:tc>
              <w:tc>
                <w:tcPr>
                  <w:tcW w:w="1914" w:type="dxa"/>
                  <w:vAlign w:val="center"/>
                </w:tcPr>
                <w:p w14:paraId="2EEC4456">
                  <w:pPr>
                    <w:snapToGrid w:val="0"/>
                    <w:ind w:left="-105" w:leftChars="-50" w:right="-105" w:rightChars="-50"/>
                    <w:jc w:val="center"/>
                    <w:rPr>
                      <w:szCs w:val="21"/>
                    </w:rPr>
                  </w:pPr>
                  <w:r>
                    <w:rPr>
                      <w:szCs w:val="21"/>
                    </w:rPr>
                    <w:t>化产回收系统</w:t>
                  </w:r>
                </w:p>
              </w:tc>
              <w:tc>
                <w:tcPr>
                  <w:tcW w:w="1919" w:type="dxa"/>
                  <w:vAlign w:val="center"/>
                </w:tcPr>
                <w:p w14:paraId="2EF8FC96">
                  <w:pPr>
                    <w:snapToGrid w:val="0"/>
                    <w:jc w:val="center"/>
                    <w:rPr>
                      <w:szCs w:val="21"/>
                    </w:rPr>
                  </w:pPr>
                  <w:r>
                    <w:rPr>
                      <w:szCs w:val="21"/>
                    </w:rPr>
                    <w:t>pH值、SS、COD</w:t>
                  </w:r>
                  <w:r>
                    <w:rPr>
                      <w:szCs w:val="21"/>
                      <w:vertAlign w:val="subscript"/>
                    </w:rPr>
                    <w:t>Cr</w:t>
                  </w:r>
                  <w:r>
                    <w:rPr>
                      <w:szCs w:val="21"/>
                    </w:rPr>
                    <w:t>、氨氮、挥发酚、氰化物</w:t>
                  </w:r>
                </w:p>
              </w:tc>
              <w:tc>
                <w:tcPr>
                  <w:tcW w:w="4085" w:type="dxa"/>
                  <w:vAlign w:val="center"/>
                </w:tcPr>
                <w:p w14:paraId="30B2E1B8">
                  <w:pPr>
                    <w:snapToGrid w:val="0"/>
                    <w:jc w:val="center"/>
                    <w:rPr>
                      <w:szCs w:val="21"/>
                    </w:rPr>
                  </w:pPr>
                  <w:r>
                    <w:rPr>
                      <w:szCs w:val="21"/>
                    </w:rPr>
                    <w:t>采用“预处理+A</w:t>
                  </w:r>
                  <w:r>
                    <w:rPr>
                      <w:szCs w:val="21"/>
                      <w:vertAlign w:val="superscript"/>
                    </w:rPr>
                    <w:t>2</w:t>
                  </w:r>
                  <w:r>
                    <w:rPr>
                      <w:szCs w:val="21"/>
                    </w:rPr>
                    <w:t>/O内循环生物脱氮+深度氧化+混凝沉淀+过滤”处理工艺，处理达标后的出水串级用于高炉冲渣，不外排</w:t>
                  </w:r>
                </w:p>
              </w:tc>
            </w:tr>
            <w:tr w14:paraId="5F461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continue"/>
                  <w:vAlign w:val="center"/>
                </w:tcPr>
                <w:p w14:paraId="6FE6B071">
                  <w:pPr>
                    <w:snapToGrid w:val="0"/>
                    <w:ind w:left="-105" w:leftChars="-50" w:right="-105" w:rightChars="-50"/>
                    <w:jc w:val="center"/>
                    <w:rPr>
                      <w:szCs w:val="21"/>
                    </w:rPr>
                  </w:pPr>
                </w:p>
              </w:tc>
              <w:tc>
                <w:tcPr>
                  <w:tcW w:w="1914" w:type="dxa"/>
                  <w:vAlign w:val="center"/>
                </w:tcPr>
                <w:p w14:paraId="137CBDD9">
                  <w:pPr>
                    <w:snapToGrid w:val="0"/>
                    <w:ind w:left="-105" w:leftChars="-50" w:right="-105" w:rightChars="-50"/>
                    <w:jc w:val="center"/>
                    <w:rPr>
                      <w:szCs w:val="21"/>
                    </w:rPr>
                  </w:pPr>
                  <w:r>
                    <w:rPr>
                      <w:szCs w:val="21"/>
                    </w:rPr>
                    <w:t>间接冷却水</w:t>
                  </w:r>
                </w:p>
              </w:tc>
              <w:tc>
                <w:tcPr>
                  <w:tcW w:w="1919" w:type="dxa"/>
                  <w:vAlign w:val="center"/>
                </w:tcPr>
                <w:p w14:paraId="68720FB6">
                  <w:pPr>
                    <w:snapToGrid w:val="0"/>
                    <w:jc w:val="center"/>
                    <w:rPr>
                      <w:szCs w:val="21"/>
                    </w:rPr>
                  </w:pPr>
                  <w:r>
                    <w:rPr>
                      <w:szCs w:val="21"/>
                    </w:rPr>
                    <w:t>热污染</w:t>
                  </w:r>
                </w:p>
              </w:tc>
              <w:tc>
                <w:tcPr>
                  <w:tcW w:w="4085" w:type="dxa"/>
                  <w:vAlign w:val="center"/>
                </w:tcPr>
                <w:p w14:paraId="31DF26C4">
                  <w:pPr>
                    <w:snapToGrid w:val="0"/>
                    <w:jc w:val="center"/>
                    <w:rPr>
                      <w:szCs w:val="21"/>
                    </w:rPr>
                  </w:pPr>
                  <w:r>
                    <w:rPr>
                      <w:szCs w:val="21"/>
                    </w:rPr>
                    <w:t>冷却、循环使用</w:t>
                  </w:r>
                </w:p>
              </w:tc>
            </w:tr>
            <w:tr w14:paraId="0A81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restart"/>
                  <w:vAlign w:val="center"/>
                </w:tcPr>
                <w:p w14:paraId="338438C4">
                  <w:pPr>
                    <w:snapToGrid w:val="0"/>
                    <w:ind w:left="-105" w:leftChars="-50" w:right="-105" w:rightChars="-50"/>
                    <w:jc w:val="center"/>
                    <w:rPr>
                      <w:szCs w:val="21"/>
                    </w:rPr>
                  </w:pPr>
                  <w:r>
                    <w:rPr>
                      <w:szCs w:val="21"/>
                    </w:rPr>
                    <w:t>烧结</w:t>
                  </w:r>
                </w:p>
              </w:tc>
              <w:tc>
                <w:tcPr>
                  <w:tcW w:w="1914" w:type="dxa"/>
                  <w:vAlign w:val="center"/>
                </w:tcPr>
                <w:p w14:paraId="10253853">
                  <w:pPr>
                    <w:snapToGrid w:val="0"/>
                    <w:ind w:left="-105" w:leftChars="-50" w:right="-105" w:rightChars="-50"/>
                    <w:jc w:val="center"/>
                    <w:rPr>
                      <w:szCs w:val="21"/>
                    </w:rPr>
                  </w:pPr>
                  <w:r>
                    <w:rPr>
                      <w:szCs w:val="21"/>
                    </w:rPr>
                    <w:t>冲洗设备、地坪水</w:t>
                  </w:r>
                </w:p>
              </w:tc>
              <w:tc>
                <w:tcPr>
                  <w:tcW w:w="1919" w:type="dxa"/>
                  <w:vAlign w:val="center"/>
                </w:tcPr>
                <w:p w14:paraId="7DE1A268">
                  <w:pPr>
                    <w:snapToGrid w:val="0"/>
                    <w:jc w:val="center"/>
                    <w:rPr>
                      <w:szCs w:val="21"/>
                    </w:rPr>
                  </w:pPr>
                  <w:r>
                    <w:rPr>
                      <w:szCs w:val="21"/>
                    </w:rPr>
                    <w:t>SS</w:t>
                  </w:r>
                </w:p>
              </w:tc>
              <w:tc>
                <w:tcPr>
                  <w:tcW w:w="4085" w:type="dxa"/>
                  <w:vAlign w:val="center"/>
                </w:tcPr>
                <w:p w14:paraId="0AF05CAC">
                  <w:pPr>
                    <w:snapToGrid w:val="0"/>
                    <w:jc w:val="center"/>
                    <w:rPr>
                      <w:szCs w:val="21"/>
                    </w:rPr>
                  </w:pPr>
                  <w:r>
                    <w:rPr>
                      <w:szCs w:val="21"/>
                    </w:rPr>
                    <w:t>沉淀、串级使用</w:t>
                  </w:r>
                </w:p>
              </w:tc>
            </w:tr>
            <w:tr w14:paraId="363BA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continue"/>
                  <w:vAlign w:val="center"/>
                </w:tcPr>
                <w:p w14:paraId="244BAFAE">
                  <w:pPr>
                    <w:snapToGrid w:val="0"/>
                    <w:ind w:left="-105" w:leftChars="-50" w:right="-105" w:rightChars="-50"/>
                    <w:jc w:val="center"/>
                    <w:rPr>
                      <w:szCs w:val="21"/>
                    </w:rPr>
                  </w:pPr>
                </w:p>
              </w:tc>
              <w:tc>
                <w:tcPr>
                  <w:tcW w:w="1914" w:type="dxa"/>
                  <w:vAlign w:val="center"/>
                </w:tcPr>
                <w:p w14:paraId="55EFBC7B">
                  <w:pPr>
                    <w:snapToGrid w:val="0"/>
                    <w:ind w:left="-105" w:leftChars="-50" w:right="-105" w:rightChars="-50"/>
                    <w:jc w:val="center"/>
                    <w:rPr>
                      <w:szCs w:val="21"/>
                    </w:rPr>
                  </w:pPr>
                  <w:r>
                    <w:rPr>
                      <w:szCs w:val="21"/>
                    </w:rPr>
                    <w:t>间接冷却水</w:t>
                  </w:r>
                </w:p>
              </w:tc>
              <w:tc>
                <w:tcPr>
                  <w:tcW w:w="1919" w:type="dxa"/>
                  <w:vAlign w:val="center"/>
                </w:tcPr>
                <w:p w14:paraId="31A46788">
                  <w:pPr>
                    <w:snapToGrid w:val="0"/>
                    <w:jc w:val="center"/>
                    <w:rPr>
                      <w:szCs w:val="21"/>
                    </w:rPr>
                  </w:pPr>
                  <w:r>
                    <w:rPr>
                      <w:szCs w:val="21"/>
                    </w:rPr>
                    <w:t>热污染</w:t>
                  </w:r>
                </w:p>
              </w:tc>
              <w:tc>
                <w:tcPr>
                  <w:tcW w:w="4085" w:type="dxa"/>
                  <w:vAlign w:val="center"/>
                </w:tcPr>
                <w:p w14:paraId="454B3AC5">
                  <w:pPr>
                    <w:snapToGrid w:val="0"/>
                    <w:jc w:val="center"/>
                    <w:rPr>
                      <w:szCs w:val="21"/>
                    </w:rPr>
                  </w:pPr>
                  <w:r>
                    <w:rPr>
                      <w:szCs w:val="21"/>
                    </w:rPr>
                    <w:t>冷却、循环使用</w:t>
                  </w:r>
                </w:p>
              </w:tc>
            </w:tr>
            <w:tr w14:paraId="5628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restart"/>
                  <w:vAlign w:val="center"/>
                </w:tcPr>
                <w:p w14:paraId="612A71A0">
                  <w:pPr>
                    <w:snapToGrid w:val="0"/>
                    <w:ind w:left="-105" w:leftChars="-50" w:right="-105" w:rightChars="-50"/>
                    <w:jc w:val="center"/>
                    <w:rPr>
                      <w:szCs w:val="21"/>
                    </w:rPr>
                  </w:pPr>
                  <w:r>
                    <w:rPr>
                      <w:szCs w:val="21"/>
                    </w:rPr>
                    <w:t>球团</w:t>
                  </w:r>
                </w:p>
              </w:tc>
              <w:tc>
                <w:tcPr>
                  <w:tcW w:w="1914" w:type="dxa"/>
                  <w:vAlign w:val="center"/>
                </w:tcPr>
                <w:p w14:paraId="571AC534">
                  <w:pPr>
                    <w:snapToGrid w:val="0"/>
                    <w:ind w:left="-105" w:leftChars="-50" w:right="-105" w:rightChars="-50"/>
                    <w:jc w:val="center"/>
                    <w:rPr>
                      <w:szCs w:val="21"/>
                    </w:rPr>
                  </w:pPr>
                  <w:r>
                    <w:rPr>
                      <w:szCs w:val="21"/>
                    </w:rPr>
                    <w:t>脱硫制酸系统废水</w:t>
                  </w:r>
                </w:p>
              </w:tc>
              <w:tc>
                <w:tcPr>
                  <w:tcW w:w="1919" w:type="dxa"/>
                  <w:vAlign w:val="center"/>
                </w:tcPr>
                <w:p w14:paraId="317119EF">
                  <w:pPr>
                    <w:snapToGrid w:val="0"/>
                    <w:jc w:val="center"/>
                    <w:rPr>
                      <w:szCs w:val="21"/>
                    </w:rPr>
                  </w:pPr>
                  <w:r>
                    <w:rPr>
                      <w:szCs w:val="21"/>
                    </w:rPr>
                    <w:t>pH值、NH</w:t>
                  </w:r>
                  <w:r>
                    <w:rPr>
                      <w:szCs w:val="21"/>
                      <w:vertAlign w:val="subscript"/>
                    </w:rPr>
                    <w:t>3</w:t>
                  </w:r>
                  <w:r>
                    <w:rPr>
                      <w:szCs w:val="21"/>
                    </w:rPr>
                    <w:t>-N</w:t>
                  </w:r>
                </w:p>
              </w:tc>
              <w:tc>
                <w:tcPr>
                  <w:tcW w:w="4085" w:type="dxa"/>
                  <w:vAlign w:val="center"/>
                </w:tcPr>
                <w:p w14:paraId="4CC089F3">
                  <w:pPr>
                    <w:snapToGrid w:val="0"/>
                    <w:jc w:val="center"/>
                    <w:rPr>
                      <w:szCs w:val="21"/>
                    </w:rPr>
                  </w:pPr>
                  <w:r>
                    <w:rPr>
                      <w:szCs w:val="21"/>
                    </w:rPr>
                    <w:t>采用1座3m</w:t>
                  </w:r>
                  <w:r>
                    <w:rPr>
                      <w:szCs w:val="21"/>
                      <w:vertAlign w:val="superscript"/>
                    </w:rPr>
                    <w:t>3</w:t>
                  </w:r>
                  <w:r>
                    <w:rPr>
                      <w:szCs w:val="21"/>
                    </w:rPr>
                    <w:t>/h制酸废水处理站处理，采用“中和-混凝沉淀-蒸氨”工艺，少量排水送烧结配料利用</w:t>
                  </w:r>
                </w:p>
              </w:tc>
            </w:tr>
            <w:tr w14:paraId="74BC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continue"/>
                  <w:vAlign w:val="center"/>
                </w:tcPr>
                <w:p w14:paraId="24C80C69">
                  <w:pPr>
                    <w:snapToGrid w:val="0"/>
                    <w:ind w:left="-105" w:leftChars="-50" w:right="-105" w:rightChars="-50"/>
                    <w:jc w:val="center"/>
                    <w:rPr>
                      <w:szCs w:val="21"/>
                    </w:rPr>
                  </w:pPr>
                </w:p>
              </w:tc>
              <w:tc>
                <w:tcPr>
                  <w:tcW w:w="1914" w:type="dxa"/>
                  <w:vAlign w:val="center"/>
                </w:tcPr>
                <w:p w14:paraId="458701BA">
                  <w:pPr>
                    <w:snapToGrid w:val="0"/>
                    <w:ind w:left="-105" w:leftChars="-50" w:right="-105" w:rightChars="-50"/>
                    <w:jc w:val="center"/>
                    <w:rPr>
                      <w:szCs w:val="21"/>
                    </w:rPr>
                  </w:pPr>
                  <w:r>
                    <w:rPr>
                      <w:szCs w:val="21"/>
                    </w:rPr>
                    <w:t>循环系统排水</w:t>
                  </w:r>
                </w:p>
              </w:tc>
              <w:tc>
                <w:tcPr>
                  <w:tcW w:w="1919" w:type="dxa"/>
                  <w:vAlign w:val="center"/>
                </w:tcPr>
                <w:p w14:paraId="2976E443">
                  <w:pPr>
                    <w:snapToGrid w:val="0"/>
                    <w:jc w:val="center"/>
                    <w:rPr>
                      <w:szCs w:val="21"/>
                    </w:rPr>
                  </w:pPr>
                  <w:r>
                    <w:rPr>
                      <w:szCs w:val="21"/>
                    </w:rPr>
                    <w:t>热污染</w:t>
                  </w:r>
                </w:p>
              </w:tc>
              <w:tc>
                <w:tcPr>
                  <w:tcW w:w="4085" w:type="dxa"/>
                  <w:vAlign w:val="center"/>
                </w:tcPr>
                <w:p w14:paraId="7E0F50D2">
                  <w:pPr>
                    <w:snapToGrid w:val="0"/>
                    <w:jc w:val="center"/>
                    <w:rPr>
                      <w:szCs w:val="21"/>
                    </w:rPr>
                  </w:pPr>
                  <w:r>
                    <w:rPr>
                      <w:szCs w:val="21"/>
                    </w:rPr>
                    <w:t>冷却、循环使用，定期少量排水送球团混料等处使用，不外排</w:t>
                  </w:r>
                </w:p>
              </w:tc>
            </w:tr>
            <w:tr w14:paraId="6BEAB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restart"/>
                  <w:vAlign w:val="center"/>
                </w:tcPr>
                <w:p w14:paraId="593AB822">
                  <w:pPr>
                    <w:snapToGrid w:val="0"/>
                    <w:ind w:left="-105" w:leftChars="-50" w:right="-105" w:rightChars="-50"/>
                    <w:jc w:val="center"/>
                    <w:rPr>
                      <w:szCs w:val="21"/>
                    </w:rPr>
                  </w:pPr>
                  <w:r>
                    <w:rPr>
                      <w:szCs w:val="21"/>
                    </w:rPr>
                    <w:t>炼铁</w:t>
                  </w:r>
                </w:p>
              </w:tc>
              <w:tc>
                <w:tcPr>
                  <w:tcW w:w="1914" w:type="dxa"/>
                  <w:vAlign w:val="center"/>
                </w:tcPr>
                <w:p w14:paraId="65249355">
                  <w:pPr>
                    <w:snapToGrid w:val="0"/>
                    <w:ind w:left="-105" w:leftChars="-50" w:right="-105" w:rightChars="-50"/>
                    <w:jc w:val="center"/>
                    <w:rPr>
                      <w:szCs w:val="21"/>
                    </w:rPr>
                  </w:pPr>
                  <w:r>
                    <w:rPr>
                      <w:szCs w:val="21"/>
                    </w:rPr>
                    <w:t>高炉冲渣水</w:t>
                  </w:r>
                </w:p>
              </w:tc>
              <w:tc>
                <w:tcPr>
                  <w:tcW w:w="1919" w:type="dxa"/>
                  <w:vAlign w:val="center"/>
                </w:tcPr>
                <w:p w14:paraId="303FF353">
                  <w:pPr>
                    <w:snapToGrid w:val="0"/>
                    <w:jc w:val="center"/>
                    <w:rPr>
                      <w:szCs w:val="21"/>
                    </w:rPr>
                  </w:pPr>
                  <w:r>
                    <w:rPr>
                      <w:szCs w:val="21"/>
                    </w:rPr>
                    <w:t>SS、热污染</w:t>
                  </w:r>
                </w:p>
              </w:tc>
              <w:tc>
                <w:tcPr>
                  <w:tcW w:w="4085" w:type="dxa"/>
                  <w:vAlign w:val="center"/>
                </w:tcPr>
                <w:p w14:paraId="3CBAF7A1">
                  <w:pPr>
                    <w:snapToGrid w:val="0"/>
                    <w:jc w:val="center"/>
                    <w:rPr>
                      <w:szCs w:val="21"/>
                    </w:rPr>
                  </w:pPr>
                  <w:r>
                    <w:rPr>
                      <w:szCs w:val="21"/>
                    </w:rPr>
                    <w:t>沉淀、冷却、循环使用</w:t>
                  </w:r>
                </w:p>
              </w:tc>
            </w:tr>
            <w:tr w14:paraId="22B8C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continue"/>
                  <w:vAlign w:val="center"/>
                </w:tcPr>
                <w:p w14:paraId="0F7BE000">
                  <w:pPr>
                    <w:snapToGrid w:val="0"/>
                    <w:ind w:left="-105" w:leftChars="-50" w:right="-105" w:rightChars="-50"/>
                    <w:jc w:val="center"/>
                    <w:rPr>
                      <w:szCs w:val="21"/>
                    </w:rPr>
                  </w:pPr>
                </w:p>
              </w:tc>
              <w:tc>
                <w:tcPr>
                  <w:tcW w:w="1914" w:type="dxa"/>
                  <w:vAlign w:val="center"/>
                </w:tcPr>
                <w:p w14:paraId="77489776">
                  <w:pPr>
                    <w:snapToGrid w:val="0"/>
                    <w:ind w:left="-105" w:leftChars="-50" w:right="-105" w:rightChars="-50"/>
                    <w:jc w:val="center"/>
                    <w:rPr>
                      <w:szCs w:val="21"/>
                    </w:rPr>
                  </w:pPr>
                  <w:r>
                    <w:rPr>
                      <w:szCs w:val="21"/>
                    </w:rPr>
                    <w:t>间接冷却水</w:t>
                  </w:r>
                </w:p>
              </w:tc>
              <w:tc>
                <w:tcPr>
                  <w:tcW w:w="1919" w:type="dxa"/>
                  <w:vAlign w:val="center"/>
                </w:tcPr>
                <w:p w14:paraId="3EF433D7">
                  <w:pPr>
                    <w:snapToGrid w:val="0"/>
                    <w:jc w:val="center"/>
                    <w:rPr>
                      <w:szCs w:val="21"/>
                    </w:rPr>
                  </w:pPr>
                  <w:r>
                    <w:rPr>
                      <w:szCs w:val="21"/>
                    </w:rPr>
                    <w:t>热污染</w:t>
                  </w:r>
                </w:p>
              </w:tc>
              <w:tc>
                <w:tcPr>
                  <w:tcW w:w="4085" w:type="dxa"/>
                  <w:vAlign w:val="center"/>
                </w:tcPr>
                <w:p w14:paraId="77F4F7FF">
                  <w:pPr>
                    <w:snapToGrid w:val="0"/>
                    <w:jc w:val="center"/>
                    <w:rPr>
                      <w:szCs w:val="21"/>
                    </w:rPr>
                  </w:pPr>
                  <w:r>
                    <w:rPr>
                      <w:szCs w:val="21"/>
                    </w:rPr>
                    <w:t>冷却、循环使用，少量排入厂区生产废水处理站</w:t>
                  </w:r>
                </w:p>
              </w:tc>
            </w:tr>
            <w:tr w14:paraId="5B50A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restart"/>
                  <w:vAlign w:val="center"/>
                </w:tcPr>
                <w:p w14:paraId="13456298">
                  <w:pPr>
                    <w:snapToGrid w:val="0"/>
                    <w:ind w:left="-105" w:leftChars="-50" w:right="-105" w:rightChars="-50"/>
                    <w:jc w:val="center"/>
                    <w:rPr>
                      <w:szCs w:val="21"/>
                    </w:rPr>
                  </w:pPr>
                  <w:r>
                    <w:rPr>
                      <w:szCs w:val="21"/>
                    </w:rPr>
                    <w:t>炼钢</w:t>
                  </w:r>
                </w:p>
                <w:p w14:paraId="01887ABD">
                  <w:pPr>
                    <w:snapToGrid w:val="0"/>
                    <w:ind w:left="-105" w:leftChars="-50" w:right="-105" w:rightChars="-50"/>
                    <w:jc w:val="center"/>
                    <w:rPr>
                      <w:szCs w:val="21"/>
                    </w:rPr>
                  </w:pPr>
                  <w:r>
                    <w:rPr>
                      <w:szCs w:val="21"/>
                    </w:rPr>
                    <w:t>连铸</w:t>
                  </w:r>
                </w:p>
              </w:tc>
              <w:tc>
                <w:tcPr>
                  <w:tcW w:w="1914" w:type="dxa"/>
                  <w:vAlign w:val="center"/>
                </w:tcPr>
                <w:p w14:paraId="255AFFA0">
                  <w:pPr>
                    <w:snapToGrid w:val="0"/>
                    <w:ind w:left="-105" w:leftChars="-50" w:right="-105" w:rightChars="-50"/>
                    <w:jc w:val="center"/>
                    <w:rPr>
                      <w:szCs w:val="21"/>
                    </w:rPr>
                  </w:pPr>
                  <w:r>
                    <w:rPr>
                      <w:szCs w:val="21"/>
                    </w:rPr>
                    <w:t>间接冷却水</w:t>
                  </w:r>
                </w:p>
              </w:tc>
              <w:tc>
                <w:tcPr>
                  <w:tcW w:w="1919" w:type="dxa"/>
                  <w:vAlign w:val="center"/>
                </w:tcPr>
                <w:p w14:paraId="4A56D282">
                  <w:pPr>
                    <w:snapToGrid w:val="0"/>
                    <w:jc w:val="center"/>
                    <w:rPr>
                      <w:szCs w:val="21"/>
                    </w:rPr>
                  </w:pPr>
                  <w:r>
                    <w:rPr>
                      <w:szCs w:val="21"/>
                    </w:rPr>
                    <w:t>热污染</w:t>
                  </w:r>
                </w:p>
              </w:tc>
              <w:tc>
                <w:tcPr>
                  <w:tcW w:w="4085" w:type="dxa"/>
                  <w:vAlign w:val="center"/>
                </w:tcPr>
                <w:p w14:paraId="25F61E1B">
                  <w:pPr>
                    <w:snapToGrid w:val="0"/>
                    <w:jc w:val="center"/>
                    <w:rPr>
                      <w:szCs w:val="21"/>
                    </w:rPr>
                  </w:pPr>
                  <w:r>
                    <w:rPr>
                      <w:szCs w:val="21"/>
                    </w:rPr>
                    <w:t>冷却、循环使用</w:t>
                  </w:r>
                </w:p>
              </w:tc>
            </w:tr>
            <w:tr w14:paraId="093F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continue"/>
                  <w:vAlign w:val="center"/>
                </w:tcPr>
                <w:p w14:paraId="3AF3D54F">
                  <w:pPr>
                    <w:snapToGrid w:val="0"/>
                    <w:ind w:left="-105" w:leftChars="-50" w:right="-105" w:rightChars="-50"/>
                    <w:jc w:val="center"/>
                    <w:rPr>
                      <w:szCs w:val="21"/>
                    </w:rPr>
                  </w:pPr>
                </w:p>
              </w:tc>
              <w:tc>
                <w:tcPr>
                  <w:tcW w:w="1914" w:type="dxa"/>
                  <w:vAlign w:val="center"/>
                </w:tcPr>
                <w:p w14:paraId="38A2F53A">
                  <w:pPr>
                    <w:snapToGrid w:val="0"/>
                    <w:ind w:left="-105" w:leftChars="-50" w:right="-105" w:rightChars="-50"/>
                    <w:jc w:val="center"/>
                    <w:rPr>
                      <w:szCs w:val="21"/>
                    </w:rPr>
                  </w:pPr>
                  <w:r>
                    <w:rPr>
                      <w:szCs w:val="21"/>
                    </w:rPr>
                    <w:t>连铸机直接冷却水、</w:t>
                  </w:r>
                </w:p>
                <w:p w14:paraId="16FC8EC2">
                  <w:pPr>
                    <w:snapToGrid w:val="0"/>
                    <w:ind w:left="-105" w:leftChars="-50" w:right="-105" w:rightChars="-50"/>
                    <w:jc w:val="center"/>
                    <w:rPr>
                      <w:szCs w:val="21"/>
                    </w:rPr>
                  </w:pPr>
                  <w:r>
                    <w:rPr>
                      <w:szCs w:val="21"/>
                    </w:rPr>
                    <w:t>冲氧化铁皮废水</w:t>
                  </w:r>
                </w:p>
              </w:tc>
              <w:tc>
                <w:tcPr>
                  <w:tcW w:w="1919" w:type="dxa"/>
                  <w:vAlign w:val="center"/>
                </w:tcPr>
                <w:p w14:paraId="4414642B">
                  <w:pPr>
                    <w:snapToGrid w:val="0"/>
                    <w:jc w:val="center"/>
                    <w:rPr>
                      <w:szCs w:val="21"/>
                    </w:rPr>
                  </w:pPr>
                  <w:r>
                    <w:rPr>
                      <w:szCs w:val="21"/>
                    </w:rPr>
                    <w:t>SS、石油类、热污染</w:t>
                  </w:r>
                </w:p>
              </w:tc>
              <w:tc>
                <w:tcPr>
                  <w:tcW w:w="4085" w:type="dxa"/>
                  <w:vAlign w:val="center"/>
                </w:tcPr>
                <w:p w14:paraId="0A27DFC8">
                  <w:pPr>
                    <w:snapToGrid w:val="0"/>
                    <w:jc w:val="center"/>
                    <w:rPr>
                      <w:szCs w:val="21"/>
                    </w:rPr>
                  </w:pPr>
                  <w:r>
                    <w:rPr>
                      <w:szCs w:val="21"/>
                    </w:rPr>
                    <w:t>除油、沉淀、冷却、循环使用，少量排入厂区生产废水处理站</w:t>
                  </w:r>
                </w:p>
              </w:tc>
            </w:tr>
            <w:tr w14:paraId="08212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continue"/>
                  <w:vAlign w:val="center"/>
                </w:tcPr>
                <w:p w14:paraId="312033EC">
                  <w:pPr>
                    <w:snapToGrid w:val="0"/>
                    <w:ind w:left="-105" w:leftChars="-50" w:right="-105" w:rightChars="-50"/>
                    <w:jc w:val="center"/>
                    <w:rPr>
                      <w:szCs w:val="21"/>
                    </w:rPr>
                  </w:pPr>
                </w:p>
              </w:tc>
              <w:tc>
                <w:tcPr>
                  <w:tcW w:w="1914" w:type="dxa"/>
                  <w:vAlign w:val="center"/>
                </w:tcPr>
                <w:p w14:paraId="1EA6CBDB">
                  <w:pPr>
                    <w:snapToGrid w:val="0"/>
                    <w:ind w:left="-105" w:leftChars="-50" w:right="-105" w:rightChars="-50"/>
                    <w:jc w:val="center"/>
                    <w:rPr>
                      <w:szCs w:val="21"/>
                    </w:rPr>
                  </w:pPr>
                  <w:r>
                    <w:rPr>
                      <w:szCs w:val="21"/>
                    </w:rPr>
                    <w:t>钢渣处理用水</w:t>
                  </w:r>
                </w:p>
              </w:tc>
              <w:tc>
                <w:tcPr>
                  <w:tcW w:w="1919" w:type="dxa"/>
                  <w:vAlign w:val="center"/>
                </w:tcPr>
                <w:p w14:paraId="3ECF67B3">
                  <w:pPr>
                    <w:snapToGrid w:val="0"/>
                    <w:jc w:val="center"/>
                    <w:rPr>
                      <w:szCs w:val="21"/>
                    </w:rPr>
                  </w:pPr>
                  <w:r>
                    <w:rPr>
                      <w:szCs w:val="21"/>
                    </w:rPr>
                    <w:t>SS、热污染</w:t>
                  </w:r>
                </w:p>
              </w:tc>
              <w:tc>
                <w:tcPr>
                  <w:tcW w:w="4085" w:type="dxa"/>
                  <w:vAlign w:val="center"/>
                </w:tcPr>
                <w:p w14:paraId="2C03A492">
                  <w:pPr>
                    <w:snapToGrid w:val="0"/>
                    <w:jc w:val="center"/>
                    <w:rPr>
                      <w:szCs w:val="21"/>
                    </w:rPr>
                  </w:pPr>
                  <w:r>
                    <w:rPr>
                      <w:szCs w:val="21"/>
                    </w:rPr>
                    <w:t>沉淀、冷却、循环使用</w:t>
                  </w:r>
                </w:p>
              </w:tc>
            </w:tr>
            <w:tr w14:paraId="7D0EE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restart"/>
                  <w:vAlign w:val="center"/>
                </w:tcPr>
                <w:p w14:paraId="216CD90A">
                  <w:pPr>
                    <w:snapToGrid w:val="0"/>
                    <w:ind w:left="-105" w:leftChars="-50" w:right="-105" w:rightChars="-50"/>
                    <w:jc w:val="center"/>
                    <w:rPr>
                      <w:szCs w:val="21"/>
                    </w:rPr>
                  </w:pPr>
                  <w:r>
                    <w:rPr>
                      <w:szCs w:val="21"/>
                    </w:rPr>
                    <w:t>轧钢</w:t>
                  </w:r>
                </w:p>
              </w:tc>
              <w:tc>
                <w:tcPr>
                  <w:tcW w:w="1914" w:type="dxa"/>
                  <w:vAlign w:val="center"/>
                </w:tcPr>
                <w:p w14:paraId="0220AFC7">
                  <w:pPr>
                    <w:snapToGrid w:val="0"/>
                    <w:ind w:left="-105" w:leftChars="-50" w:right="-105" w:rightChars="-50"/>
                    <w:jc w:val="center"/>
                    <w:rPr>
                      <w:szCs w:val="21"/>
                    </w:rPr>
                  </w:pPr>
                  <w:r>
                    <w:rPr>
                      <w:szCs w:val="21"/>
                    </w:rPr>
                    <w:t>间接冷却水</w:t>
                  </w:r>
                </w:p>
              </w:tc>
              <w:tc>
                <w:tcPr>
                  <w:tcW w:w="1919" w:type="dxa"/>
                  <w:vAlign w:val="center"/>
                </w:tcPr>
                <w:p w14:paraId="7F4DA05F">
                  <w:pPr>
                    <w:snapToGrid w:val="0"/>
                    <w:jc w:val="center"/>
                    <w:rPr>
                      <w:szCs w:val="21"/>
                    </w:rPr>
                  </w:pPr>
                  <w:r>
                    <w:rPr>
                      <w:szCs w:val="21"/>
                    </w:rPr>
                    <w:t>热污染</w:t>
                  </w:r>
                </w:p>
              </w:tc>
              <w:tc>
                <w:tcPr>
                  <w:tcW w:w="4085" w:type="dxa"/>
                  <w:vAlign w:val="center"/>
                </w:tcPr>
                <w:p w14:paraId="26CB5C98">
                  <w:pPr>
                    <w:snapToGrid w:val="0"/>
                    <w:jc w:val="center"/>
                    <w:rPr>
                      <w:szCs w:val="21"/>
                    </w:rPr>
                  </w:pPr>
                  <w:r>
                    <w:rPr>
                      <w:szCs w:val="21"/>
                    </w:rPr>
                    <w:t>冷却、循环使用</w:t>
                  </w:r>
                </w:p>
              </w:tc>
            </w:tr>
            <w:tr w14:paraId="4DEEF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Merge w:val="continue"/>
                  <w:vAlign w:val="center"/>
                </w:tcPr>
                <w:p w14:paraId="26BA6874">
                  <w:pPr>
                    <w:snapToGrid w:val="0"/>
                    <w:ind w:left="-105" w:leftChars="-50" w:right="-105" w:rightChars="-50"/>
                    <w:jc w:val="center"/>
                    <w:rPr>
                      <w:szCs w:val="21"/>
                    </w:rPr>
                  </w:pPr>
                </w:p>
              </w:tc>
              <w:tc>
                <w:tcPr>
                  <w:tcW w:w="1914" w:type="dxa"/>
                  <w:vAlign w:val="center"/>
                </w:tcPr>
                <w:p w14:paraId="32D902E6">
                  <w:pPr>
                    <w:snapToGrid w:val="0"/>
                    <w:ind w:left="-105" w:leftChars="-50" w:right="-105" w:rightChars="-50"/>
                    <w:jc w:val="center"/>
                    <w:rPr>
                      <w:szCs w:val="21"/>
                    </w:rPr>
                  </w:pPr>
                  <w:r>
                    <w:rPr>
                      <w:szCs w:val="21"/>
                    </w:rPr>
                    <w:t>轧机直接冷却水</w:t>
                  </w:r>
                </w:p>
              </w:tc>
              <w:tc>
                <w:tcPr>
                  <w:tcW w:w="1919" w:type="dxa"/>
                  <w:vAlign w:val="center"/>
                </w:tcPr>
                <w:p w14:paraId="2745BEAA">
                  <w:pPr>
                    <w:snapToGrid w:val="0"/>
                    <w:jc w:val="center"/>
                    <w:rPr>
                      <w:szCs w:val="21"/>
                    </w:rPr>
                  </w:pPr>
                  <w:r>
                    <w:rPr>
                      <w:szCs w:val="21"/>
                    </w:rPr>
                    <w:t>SS、石油类、热污染</w:t>
                  </w:r>
                </w:p>
              </w:tc>
              <w:tc>
                <w:tcPr>
                  <w:tcW w:w="4085" w:type="dxa"/>
                  <w:vAlign w:val="center"/>
                </w:tcPr>
                <w:p w14:paraId="35797C84">
                  <w:pPr>
                    <w:snapToGrid w:val="0"/>
                    <w:jc w:val="center"/>
                    <w:rPr>
                      <w:szCs w:val="21"/>
                    </w:rPr>
                  </w:pPr>
                  <w:r>
                    <w:rPr>
                      <w:szCs w:val="21"/>
                    </w:rPr>
                    <w:t>沉淀、除油、冷却、过滤循环使用，少量排入厂区生产废水处理站</w:t>
                  </w:r>
                </w:p>
              </w:tc>
            </w:tr>
            <w:tr w14:paraId="2F2A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Align w:val="center"/>
                </w:tcPr>
                <w:p w14:paraId="201C186D">
                  <w:pPr>
                    <w:snapToGrid w:val="0"/>
                    <w:ind w:left="-105" w:leftChars="-50" w:right="-105" w:rightChars="-50"/>
                    <w:jc w:val="center"/>
                    <w:rPr>
                      <w:szCs w:val="21"/>
                    </w:rPr>
                  </w:pPr>
                  <w:r>
                    <w:rPr>
                      <w:szCs w:val="21"/>
                    </w:rPr>
                    <w:t>石灰</w:t>
                  </w:r>
                </w:p>
              </w:tc>
              <w:tc>
                <w:tcPr>
                  <w:tcW w:w="1914" w:type="dxa"/>
                  <w:vAlign w:val="center"/>
                </w:tcPr>
                <w:p w14:paraId="631D6848">
                  <w:pPr>
                    <w:snapToGrid w:val="0"/>
                    <w:ind w:left="-105" w:leftChars="-50" w:right="-105" w:rightChars="-50"/>
                    <w:jc w:val="center"/>
                    <w:rPr>
                      <w:szCs w:val="21"/>
                    </w:rPr>
                  </w:pPr>
                  <w:r>
                    <w:rPr>
                      <w:szCs w:val="21"/>
                    </w:rPr>
                    <w:t>冷却水</w:t>
                  </w:r>
                </w:p>
              </w:tc>
              <w:tc>
                <w:tcPr>
                  <w:tcW w:w="1919" w:type="dxa"/>
                  <w:vAlign w:val="center"/>
                </w:tcPr>
                <w:p w14:paraId="12344BF4">
                  <w:pPr>
                    <w:snapToGrid w:val="0"/>
                    <w:jc w:val="center"/>
                    <w:rPr>
                      <w:szCs w:val="21"/>
                    </w:rPr>
                  </w:pPr>
                  <w:r>
                    <w:rPr>
                      <w:szCs w:val="21"/>
                    </w:rPr>
                    <w:t>热污染</w:t>
                  </w:r>
                </w:p>
              </w:tc>
              <w:tc>
                <w:tcPr>
                  <w:tcW w:w="4085" w:type="dxa"/>
                  <w:vAlign w:val="center"/>
                </w:tcPr>
                <w:p w14:paraId="6BBE48A2">
                  <w:pPr>
                    <w:snapToGrid w:val="0"/>
                    <w:jc w:val="center"/>
                    <w:rPr>
                      <w:szCs w:val="21"/>
                    </w:rPr>
                  </w:pPr>
                  <w:r>
                    <w:rPr>
                      <w:szCs w:val="21"/>
                    </w:rPr>
                    <w:t>冷却、循环使用</w:t>
                  </w:r>
                </w:p>
              </w:tc>
            </w:tr>
            <w:tr w14:paraId="2F48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972" w:type="dxa"/>
                  <w:vAlign w:val="center"/>
                </w:tcPr>
                <w:p w14:paraId="2483C182">
                  <w:pPr>
                    <w:snapToGrid w:val="0"/>
                    <w:ind w:left="-105" w:leftChars="-50" w:right="-105" w:rightChars="-50"/>
                    <w:jc w:val="center"/>
                    <w:rPr>
                      <w:szCs w:val="21"/>
                    </w:rPr>
                  </w:pPr>
                  <w:r>
                    <w:rPr>
                      <w:szCs w:val="21"/>
                    </w:rPr>
                    <w:t>发电</w:t>
                  </w:r>
                </w:p>
              </w:tc>
              <w:tc>
                <w:tcPr>
                  <w:tcW w:w="1914" w:type="dxa"/>
                  <w:vAlign w:val="center"/>
                </w:tcPr>
                <w:p w14:paraId="1C99E21A">
                  <w:pPr>
                    <w:snapToGrid w:val="0"/>
                    <w:ind w:left="-105" w:leftChars="-50" w:right="-105" w:rightChars="-50"/>
                    <w:jc w:val="center"/>
                    <w:rPr>
                      <w:szCs w:val="21"/>
                    </w:rPr>
                  </w:pPr>
                  <w:r>
                    <w:rPr>
                      <w:szCs w:val="21"/>
                    </w:rPr>
                    <w:t>冷却水</w:t>
                  </w:r>
                </w:p>
              </w:tc>
              <w:tc>
                <w:tcPr>
                  <w:tcW w:w="1919" w:type="dxa"/>
                  <w:vAlign w:val="center"/>
                </w:tcPr>
                <w:p w14:paraId="3E6C6DB3">
                  <w:pPr>
                    <w:snapToGrid w:val="0"/>
                    <w:jc w:val="center"/>
                    <w:rPr>
                      <w:szCs w:val="21"/>
                    </w:rPr>
                  </w:pPr>
                  <w:r>
                    <w:rPr>
                      <w:szCs w:val="21"/>
                    </w:rPr>
                    <w:t>热污染</w:t>
                  </w:r>
                </w:p>
              </w:tc>
              <w:tc>
                <w:tcPr>
                  <w:tcW w:w="4085" w:type="dxa"/>
                  <w:vAlign w:val="center"/>
                </w:tcPr>
                <w:p w14:paraId="6EE54B73">
                  <w:pPr>
                    <w:snapToGrid w:val="0"/>
                    <w:jc w:val="center"/>
                    <w:rPr>
                      <w:szCs w:val="21"/>
                    </w:rPr>
                  </w:pPr>
                  <w:r>
                    <w:rPr>
                      <w:szCs w:val="21"/>
                    </w:rPr>
                    <w:t>冷却、循环使用，少量排入厂区生产废水处理站</w:t>
                  </w:r>
                </w:p>
              </w:tc>
            </w:tr>
            <w:tr w14:paraId="77597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40" w:hRule="atLeast"/>
                <w:jc w:val="center"/>
              </w:trPr>
              <w:tc>
                <w:tcPr>
                  <w:tcW w:w="972" w:type="dxa"/>
                  <w:vAlign w:val="center"/>
                </w:tcPr>
                <w:p w14:paraId="020BF960">
                  <w:pPr>
                    <w:snapToGrid w:val="0"/>
                    <w:ind w:left="-105" w:leftChars="-50" w:right="-105" w:rightChars="-50"/>
                    <w:jc w:val="center"/>
                    <w:rPr>
                      <w:szCs w:val="21"/>
                    </w:rPr>
                  </w:pPr>
                  <w:r>
                    <w:rPr>
                      <w:szCs w:val="21"/>
                    </w:rPr>
                    <w:t>软水制备</w:t>
                  </w:r>
                </w:p>
              </w:tc>
              <w:tc>
                <w:tcPr>
                  <w:tcW w:w="1914" w:type="dxa"/>
                  <w:vAlign w:val="center"/>
                </w:tcPr>
                <w:p w14:paraId="2AB1066D">
                  <w:pPr>
                    <w:snapToGrid w:val="0"/>
                    <w:ind w:left="-105" w:leftChars="-50" w:right="-105" w:rightChars="-50"/>
                    <w:jc w:val="center"/>
                    <w:rPr>
                      <w:szCs w:val="21"/>
                    </w:rPr>
                  </w:pPr>
                  <w:r>
                    <w:rPr>
                      <w:szCs w:val="21"/>
                    </w:rPr>
                    <w:t>浓盐水</w:t>
                  </w:r>
                </w:p>
              </w:tc>
              <w:tc>
                <w:tcPr>
                  <w:tcW w:w="1919" w:type="dxa"/>
                  <w:vAlign w:val="center"/>
                </w:tcPr>
                <w:p w14:paraId="023A5387">
                  <w:pPr>
                    <w:snapToGrid w:val="0"/>
                    <w:jc w:val="center"/>
                    <w:rPr>
                      <w:szCs w:val="21"/>
                    </w:rPr>
                  </w:pPr>
                  <w:r>
                    <w:rPr>
                      <w:szCs w:val="21"/>
                    </w:rPr>
                    <w:t>盐分</w:t>
                  </w:r>
                </w:p>
              </w:tc>
              <w:tc>
                <w:tcPr>
                  <w:tcW w:w="4085" w:type="dxa"/>
                  <w:vAlign w:val="center"/>
                </w:tcPr>
                <w:p w14:paraId="34D87E17">
                  <w:pPr>
                    <w:snapToGrid w:val="0"/>
                    <w:jc w:val="center"/>
                    <w:rPr>
                      <w:szCs w:val="21"/>
                    </w:rPr>
                  </w:pPr>
                  <w:r>
                    <w:rPr>
                      <w:szCs w:val="21"/>
                    </w:rPr>
                    <w:t>回用于高炉冲渣和钢渣热闷</w:t>
                  </w:r>
                </w:p>
              </w:tc>
            </w:tr>
            <w:tr w14:paraId="30C4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2886" w:type="dxa"/>
                  <w:gridSpan w:val="2"/>
                  <w:vAlign w:val="center"/>
                </w:tcPr>
                <w:p w14:paraId="790F941A">
                  <w:pPr>
                    <w:snapToGrid w:val="0"/>
                    <w:ind w:left="-105" w:leftChars="-50" w:right="-105" w:rightChars="-50"/>
                    <w:jc w:val="center"/>
                    <w:rPr>
                      <w:szCs w:val="21"/>
                    </w:rPr>
                  </w:pPr>
                  <w:r>
                    <w:rPr>
                      <w:szCs w:val="21"/>
                    </w:rPr>
                    <w:t>生产废水处理站</w:t>
                  </w:r>
                </w:p>
              </w:tc>
              <w:tc>
                <w:tcPr>
                  <w:tcW w:w="1919" w:type="dxa"/>
                  <w:vAlign w:val="center"/>
                </w:tcPr>
                <w:p w14:paraId="418A00ED">
                  <w:pPr>
                    <w:snapToGrid w:val="0"/>
                    <w:jc w:val="center"/>
                    <w:rPr>
                      <w:szCs w:val="21"/>
                    </w:rPr>
                  </w:pPr>
                  <w:r>
                    <w:rPr>
                      <w:szCs w:val="21"/>
                    </w:rPr>
                    <w:t>SS、COD、BOD</w:t>
                  </w:r>
                  <w:r>
                    <w:rPr>
                      <w:szCs w:val="21"/>
                      <w:vertAlign w:val="subscript"/>
                    </w:rPr>
                    <w:t>5</w:t>
                  </w:r>
                  <w:r>
                    <w:rPr>
                      <w:szCs w:val="21"/>
                    </w:rPr>
                    <w:t>、氨氮、石油类等</w:t>
                  </w:r>
                </w:p>
              </w:tc>
              <w:tc>
                <w:tcPr>
                  <w:tcW w:w="4085" w:type="dxa"/>
                  <w:vAlign w:val="center"/>
                </w:tcPr>
                <w:p w14:paraId="5392537B">
                  <w:pPr>
                    <w:snapToGrid w:val="0"/>
                    <w:jc w:val="center"/>
                    <w:rPr>
                      <w:szCs w:val="21"/>
                    </w:rPr>
                  </w:pPr>
                  <w:r>
                    <w:rPr>
                      <w:szCs w:val="21"/>
                    </w:rPr>
                    <w:t>采用“旋流井+化学除油装置+混凝沉淀+过滤”处理工艺，出水全部回用于生产系统，不外排</w:t>
                  </w:r>
                </w:p>
              </w:tc>
            </w:tr>
            <w:tr w14:paraId="4B029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340" w:hRule="atLeast"/>
                <w:jc w:val="center"/>
              </w:trPr>
              <w:tc>
                <w:tcPr>
                  <w:tcW w:w="2886" w:type="dxa"/>
                  <w:gridSpan w:val="2"/>
                  <w:vAlign w:val="center"/>
                </w:tcPr>
                <w:p w14:paraId="455E956B">
                  <w:pPr>
                    <w:snapToGrid w:val="0"/>
                    <w:ind w:left="-105" w:leftChars="-50" w:right="-105" w:rightChars="-50"/>
                    <w:jc w:val="center"/>
                    <w:rPr>
                      <w:szCs w:val="21"/>
                    </w:rPr>
                  </w:pPr>
                  <w:r>
                    <w:rPr>
                      <w:szCs w:val="21"/>
                    </w:rPr>
                    <w:t>生活污水处理站</w:t>
                  </w:r>
                </w:p>
              </w:tc>
              <w:tc>
                <w:tcPr>
                  <w:tcW w:w="1919" w:type="dxa"/>
                  <w:vAlign w:val="center"/>
                </w:tcPr>
                <w:p w14:paraId="1BD45ABB">
                  <w:pPr>
                    <w:snapToGrid w:val="0"/>
                    <w:jc w:val="center"/>
                    <w:rPr>
                      <w:szCs w:val="21"/>
                    </w:rPr>
                  </w:pPr>
                  <w:r>
                    <w:rPr>
                      <w:szCs w:val="21"/>
                    </w:rPr>
                    <w:t>SS、COD、BOD</w:t>
                  </w:r>
                  <w:r>
                    <w:rPr>
                      <w:szCs w:val="21"/>
                      <w:vertAlign w:val="subscript"/>
                    </w:rPr>
                    <w:t>5</w:t>
                  </w:r>
                  <w:r>
                    <w:rPr>
                      <w:szCs w:val="21"/>
                    </w:rPr>
                    <w:t>、氨氮</w:t>
                  </w:r>
                </w:p>
              </w:tc>
              <w:tc>
                <w:tcPr>
                  <w:tcW w:w="4085" w:type="dxa"/>
                  <w:vAlign w:val="center"/>
                </w:tcPr>
                <w:p w14:paraId="1D93CD5C">
                  <w:pPr>
                    <w:snapToGrid w:val="0"/>
                    <w:jc w:val="center"/>
                    <w:rPr>
                      <w:szCs w:val="21"/>
                    </w:rPr>
                  </w:pPr>
                  <w:r>
                    <w:rPr>
                      <w:szCs w:val="21"/>
                    </w:rPr>
                    <w:t>采用“生物接触氧化法”处理工艺，出水全部回用于生产系统，不外排</w:t>
                  </w:r>
                </w:p>
              </w:tc>
            </w:tr>
          </w:tbl>
          <w:p w14:paraId="17CCB351">
            <w:pPr>
              <w:spacing w:line="500" w:lineRule="atLeast"/>
              <w:ind w:firstLine="482" w:firstLineChars="200"/>
              <w:rPr>
                <w:b/>
                <w:bCs/>
                <w:sz w:val="24"/>
              </w:rPr>
            </w:pPr>
            <w:r>
              <w:rPr>
                <w:rFonts w:hint="eastAsia"/>
                <w:b/>
                <w:bCs/>
                <w:sz w:val="24"/>
              </w:rPr>
              <w:t>（3）固体废物</w:t>
            </w:r>
          </w:p>
          <w:p w14:paraId="3C5854D8">
            <w:pPr>
              <w:spacing w:line="500" w:lineRule="atLeast"/>
              <w:ind w:firstLine="480" w:firstLineChars="200"/>
              <w:rPr>
                <w:rFonts w:hint="eastAsia"/>
                <w:bCs/>
                <w:color w:val="auto"/>
                <w:sz w:val="24"/>
              </w:rPr>
            </w:pPr>
            <w:r>
              <w:rPr>
                <w:rFonts w:hint="eastAsia"/>
                <w:bCs/>
                <w:color w:val="auto"/>
                <w:sz w:val="24"/>
              </w:rPr>
              <w:t>通过查阅企业数据表单及物料衡算，盛隆公司现有工程固体废物产生量及 其处理处置情况见表 2</w:t>
            </w:r>
            <w:r>
              <w:rPr>
                <w:rFonts w:hint="eastAsia"/>
                <w:bCs/>
                <w:color w:val="auto"/>
                <w:sz w:val="24"/>
                <w:lang w:val="en-US" w:eastAsia="zh-CN"/>
              </w:rPr>
              <w:t>-17</w:t>
            </w:r>
            <w:r>
              <w:rPr>
                <w:rFonts w:hint="eastAsia"/>
                <w:bCs/>
                <w:color w:val="auto"/>
                <w:sz w:val="24"/>
              </w:rPr>
              <w:t>。</w:t>
            </w:r>
          </w:p>
          <w:p w14:paraId="131D145A">
            <w:pPr>
              <w:pStyle w:val="48"/>
              <w:numPr>
                <w:ilvl w:val="2"/>
                <w:numId w:val="2"/>
              </w:numPr>
              <w:spacing w:line="500" w:lineRule="atLeast"/>
              <w:ind w:firstLineChars="0"/>
              <w:jc w:val="center"/>
              <w:rPr>
                <w:b/>
                <w:sz w:val="24"/>
              </w:rPr>
            </w:pPr>
            <w:r>
              <w:rPr>
                <w:rFonts w:hint="eastAsia"/>
                <w:b/>
                <w:sz w:val="24"/>
              </w:rPr>
              <w:t>现有工程主要固体废物产生及处理/处置情况  单位：万t/a</w:t>
            </w:r>
          </w:p>
          <w:tbl>
            <w:tblPr>
              <w:tblStyle w:val="23"/>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392"/>
              <w:gridCol w:w="767"/>
              <w:gridCol w:w="1188"/>
              <w:gridCol w:w="2582"/>
              <w:gridCol w:w="890"/>
              <w:gridCol w:w="1105"/>
            </w:tblGrid>
            <w:tr w14:paraId="72711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21158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固体废物名称</w:t>
                  </w:r>
                </w:p>
              </w:tc>
              <w:tc>
                <w:tcPr>
                  <w:tcW w:w="767" w:type="dxa"/>
                  <w:tcBorders>
                    <w:tl2br w:val="nil"/>
                    <w:tr2bl w:val="nil"/>
                  </w:tcBorders>
                  <w:shd w:val="clear" w:color="auto" w:fill="auto"/>
                  <w:vAlign w:val="center"/>
                </w:tcPr>
                <w:p w14:paraId="56662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产生量</w:t>
                  </w:r>
                </w:p>
              </w:tc>
              <w:tc>
                <w:tcPr>
                  <w:tcW w:w="1188" w:type="dxa"/>
                  <w:tcBorders>
                    <w:tl2br w:val="nil"/>
                    <w:tr2bl w:val="nil"/>
                  </w:tcBorders>
                  <w:shd w:val="clear" w:color="auto" w:fill="auto"/>
                  <w:vAlign w:val="center"/>
                </w:tcPr>
                <w:p w14:paraId="7018D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固废类别</w:t>
                  </w:r>
                </w:p>
              </w:tc>
              <w:tc>
                <w:tcPr>
                  <w:tcW w:w="2582" w:type="dxa"/>
                  <w:tcBorders>
                    <w:tl2br w:val="nil"/>
                    <w:tr2bl w:val="nil"/>
                  </w:tcBorders>
                  <w:shd w:val="clear" w:color="auto" w:fill="auto"/>
                  <w:vAlign w:val="center"/>
                </w:tcPr>
                <w:p w14:paraId="5A230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综合利用方式</w:t>
                  </w:r>
                </w:p>
              </w:tc>
              <w:tc>
                <w:tcPr>
                  <w:tcW w:w="890" w:type="dxa"/>
                  <w:tcBorders>
                    <w:tl2br w:val="nil"/>
                    <w:tr2bl w:val="nil"/>
                  </w:tcBorders>
                  <w:shd w:val="clear" w:color="auto" w:fill="auto"/>
                  <w:vAlign w:val="center"/>
                </w:tcPr>
                <w:p w14:paraId="06E94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综合利用量</w:t>
                  </w:r>
                </w:p>
              </w:tc>
              <w:tc>
                <w:tcPr>
                  <w:tcW w:w="1105" w:type="dxa"/>
                  <w:tcBorders>
                    <w:tl2br w:val="nil"/>
                    <w:tr2bl w:val="nil"/>
                  </w:tcBorders>
                  <w:shd w:val="clear" w:color="auto" w:fill="auto"/>
                  <w:vAlign w:val="center"/>
                </w:tcPr>
                <w:p w14:paraId="12CF8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综合利用率</w:t>
                  </w:r>
                </w:p>
              </w:tc>
            </w:tr>
            <w:tr w14:paraId="0F5D9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60F6E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除尘灰</w:t>
                  </w:r>
                </w:p>
              </w:tc>
              <w:tc>
                <w:tcPr>
                  <w:tcW w:w="767" w:type="dxa"/>
                  <w:tcBorders>
                    <w:tl2br w:val="nil"/>
                    <w:tr2bl w:val="nil"/>
                  </w:tcBorders>
                  <w:shd w:val="clear" w:color="auto" w:fill="auto"/>
                  <w:vAlign w:val="center"/>
                </w:tcPr>
                <w:p w14:paraId="0E7FB9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8.75</w:t>
                  </w:r>
                </w:p>
              </w:tc>
              <w:tc>
                <w:tcPr>
                  <w:tcW w:w="1188" w:type="dxa"/>
                  <w:tcBorders>
                    <w:tl2br w:val="nil"/>
                    <w:tr2bl w:val="nil"/>
                  </w:tcBorders>
                  <w:shd w:val="clear" w:color="auto" w:fill="auto"/>
                  <w:vAlign w:val="center"/>
                </w:tcPr>
                <w:p w14:paraId="2AD3B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044AF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煤尘返配煤工段掺入炼焦煤炼焦，焦尘返烧结工序作燃料利用</w:t>
                  </w:r>
                </w:p>
              </w:tc>
              <w:tc>
                <w:tcPr>
                  <w:tcW w:w="890" w:type="dxa"/>
                  <w:tcBorders>
                    <w:tl2br w:val="nil"/>
                    <w:tr2bl w:val="nil"/>
                  </w:tcBorders>
                  <w:shd w:val="clear" w:color="auto" w:fill="auto"/>
                  <w:vAlign w:val="center"/>
                </w:tcPr>
                <w:p w14:paraId="6D67AB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8.75</w:t>
                  </w:r>
                </w:p>
              </w:tc>
              <w:tc>
                <w:tcPr>
                  <w:tcW w:w="1105" w:type="dxa"/>
                  <w:tcBorders>
                    <w:tl2br w:val="nil"/>
                    <w:tr2bl w:val="nil"/>
                  </w:tcBorders>
                  <w:shd w:val="clear" w:color="auto" w:fill="auto"/>
                  <w:vAlign w:val="center"/>
                </w:tcPr>
                <w:p w14:paraId="3F742A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D8D3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117F7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筛焦过程产生的焦尘</w:t>
                  </w:r>
                </w:p>
              </w:tc>
              <w:tc>
                <w:tcPr>
                  <w:tcW w:w="767" w:type="dxa"/>
                  <w:tcBorders>
                    <w:tl2br w:val="nil"/>
                    <w:tr2bl w:val="nil"/>
                  </w:tcBorders>
                  <w:shd w:val="clear" w:color="auto" w:fill="auto"/>
                  <w:vAlign w:val="center"/>
                </w:tcPr>
                <w:p w14:paraId="3ADF70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w:t>
                  </w:r>
                </w:p>
              </w:tc>
              <w:tc>
                <w:tcPr>
                  <w:tcW w:w="1188" w:type="dxa"/>
                  <w:tcBorders>
                    <w:tl2br w:val="nil"/>
                    <w:tr2bl w:val="nil"/>
                  </w:tcBorders>
                  <w:shd w:val="clear" w:color="auto" w:fill="auto"/>
                  <w:vAlign w:val="center"/>
                </w:tcPr>
                <w:p w14:paraId="7DCA3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07553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返烧结工序作燃料利用</w:t>
                  </w:r>
                </w:p>
              </w:tc>
              <w:tc>
                <w:tcPr>
                  <w:tcW w:w="890" w:type="dxa"/>
                  <w:tcBorders>
                    <w:tl2br w:val="nil"/>
                    <w:tr2bl w:val="nil"/>
                  </w:tcBorders>
                  <w:shd w:val="clear" w:color="auto" w:fill="auto"/>
                  <w:vAlign w:val="center"/>
                </w:tcPr>
                <w:p w14:paraId="3A7AB5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w:t>
                  </w:r>
                </w:p>
              </w:tc>
              <w:tc>
                <w:tcPr>
                  <w:tcW w:w="1105" w:type="dxa"/>
                  <w:tcBorders>
                    <w:tl2br w:val="nil"/>
                    <w:tr2bl w:val="nil"/>
                  </w:tcBorders>
                  <w:shd w:val="clear" w:color="auto" w:fill="auto"/>
                  <w:vAlign w:val="center"/>
                </w:tcPr>
                <w:p w14:paraId="48CBA2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B458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2EB02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备用湿熄焦废水、沉淀池产生的粉焦</w:t>
                  </w:r>
                </w:p>
              </w:tc>
              <w:tc>
                <w:tcPr>
                  <w:tcW w:w="767" w:type="dxa"/>
                  <w:tcBorders>
                    <w:tl2br w:val="nil"/>
                    <w:tr2bl w:val="nil"/>
                  </w:tcBorders>
                  <w:shd w:val="clear" w:color="auto" w:fill="auto"/>
                  <w:vAlign w:val="center"/>
                </w:tcPr>
                <w:p w14:paraId="0FC0EF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w:t>
                  </w:r>
                </w:p>
              </w:tc>
              <w:tc>
                <w:tcPr>
                  <w:tcW w:w="1188" w:type="dxa"/>
                  <w:tcBorders>
                    <w:tl2br w:val="nil"/>
                    <w:tr2bl w:val="nil"/>
                  </w:tcBorders>
                  <w:shd w:val="clear" w:color="auto" w:fill="auto"/>
                  <w:vAlign w:val="center"/>
                </w:tcPr>
                <w:p w14:paraId="79D35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3B3EE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返烧结工序作燃料利用</w:t>
                  </w:r>
                </w:p>
              </w:tc>
              <w:tc>
                <w:tcPr>
                  <w:tcW w:w="890" w:type="dxa"/>
                  <w:tcBorders>
                    <w:tl2br w:val="nil"/>
                    <w:tr2bl w:val="nil"/>
                  </w:tcBorders>
                  <w:shd w:val="clear" w:color="auto" w:fill="auto"/>
                  <w:vAlign w:val="center"/>
                </w:tcPr>
                <w:p w14:paraId="69600C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w:t>
                  </w:r>
                </w:p>
              </w:tc>
              <w:tc>
                <w:tcPr>
                  <w:tcW w:w="1105" w:type="dxa"/>
                  <w:tcBorders>
                    <w:tl2br w:val="nil"/>
                    <w:tr2bl w:val="nil"/>
                  </w:tcBorders>
                  <w:shd w:val="clear" w:color="auto" w:fill="auto"/>
                  <w:vAlign w:val="center"/>
                </w:tcPr>
                <w:p w14:paraId="00CAF7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27944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5E9C9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脱硫灰</w:t>
                  </w:r>
                </w:p>
              </w:tc>
              <w:tc>
                <w:tcPr>
                  <w:tcW w:w="767" w:type="dxa"/>
                  <w:tcBorders>
                    <w:tl2br w:val="nil"/>
                    <w:tr2bl w:val="nil"/>
                  </w:tcBorders>
                  <w:shd w:val="clear" w:color="auto" w:fill="auto"/>
                  <w:vAlign w:val="center"/>
                </w:tcPr>
                <w:p w14:paraId="7C6A64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0.009</w:t>
                  </w:r>
                </w:p>
              </w:tc>
              <w:tc>
                <w:tcPr>
                  <w:tcW w:w="1188" w:type="dxa"/>
                  <w:tcBorders>
                    <w:tl2br w:val="nil"/>
                    <w:tr2bl w:val="nil"/>
                  </w:tcBorders>
                  <w:shd w:val="clear" w:color="auto" w:fill="auto"/>
                  <w:vAlign w:val="center"/>
                </w:tcPr>
                <w:p w14:paraId="6F3596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第Ⅱ类一般工业固废</w:t>
                  </w:r>
                </w:p>
              </w:tc>
              <w:tc>
                <w:tcPr>
                  <w:tcW w:w="2582" w:type="dxa"/>
                  <w:tcBorders>
                    <w:tl2br w:val="nil"/>
                    <w:tr2bl w:val="nil"/>
                  </w:tcBorders>
                  <w:shd w:val="clear" w:color="auto" w:fill="auto"/>
                  <w:vAlign w:val="center"/>
                </w:tcPr>
                <w:p w14:paraId="596085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返烧结配料回用</w:t>
                  </w:r>
                </w:p>
              </w:tc>
              <w:tc>
                <w:tcPr>
                  <w:tcW w:w="890" w:type="dxa"/>
                  <w:tcBorders>
                    <w:tl2br w:val="nil"/>
                    <w:tr2bl w:val="nil"/>
                  </w:tcBorders>
                  <w:shd w:val="clear" w:color="auto" w:fill="auto"/>
                  <w:vAlign w:val="center"/>
                </w:tcPr>
                <w:p w14:paraId="3F7065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0.009</w:t>
                  </w:r>
                </w:p>
              </w:tc>
              <w:tc>
                <w:tcPr>
                  <w:tcW w:w="1105" w:type="dxa"/>
                  <w:tcBorders>
                    <w:tl2br w:val="nil"/>
                    <w:tr2bl w:val="nil"/>
                  </w:tcBorders>
                  <w:shd w:val="clear" w:color="auto" w:fill="auto"/>
                  <w:vAlign w:val="center"/>
                </w:tcPr>
                <w:p w14:paraId="6D40F2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0075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24611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脱硝废催化剂</w:t>
                  </w:r>
                </w:p>
              </w:tc>
              <w:tc>
                <w:tcPr>
                  <w:tcW w:w="767" w:type="dxa"/>
                  <w:tcBorders>
                    <w:tl2br w:val="nil"/>
                    <w:tr2bl w:val="nil"/>
                  </w:tcBorders>
                  <w:shd w:val="clear" w:color="auto" w:fill="auto"/>
                  <w:vAlign w:val="center"/>
                </w:tcPr>
                <w:p w14:paraId="1E33C4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205m</w:t>
                  </w:r>
                  <w:r>
                    <w:rPr>
                      <w:rFonts w:hint="eastAsia" w:ascii="Times New Roman" w:hAnsi="Times New Roman" w:eastAsia="宋体" w:cs="Times New Roman"/>
                      <w:i w:val="0"/>
                      <w:iCs w:val="0"/>
                      <w:color w:val="000000"/>
                      <w:kern w:val="0"/>
                      <w:sz w:val="21"/>
                      <w:szCs w:val="21"/>
                      <w:u w:val="none"/>
                      <w:vertAlign w:val="superscript"/>
                      <w:lang w:val="en-US" w:eastAsia="zh-CN" w:bidi="ar"/>
                    </w:rPr>
                    <w:t>3</w:t>
                  </w:r>
                </w:p>
              </w:tc>
              <w:tc>
                <w:tcPr>
                  <w:tcW w:w="1188" w:type="dxa"/>
                  <w:tcBorders>
                    <w:tl2br w:val="nil"/>
                    <w:tr2bl w:val="nil"/>
                  </w:tcBorders>
                  <w:shd w:val="clear" w:color="auto" w:fill="auto"/>
                  <w:vAlign w:val="center"/>
                </w:tcPr>
                <w:p w14:paraId="05B84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493C1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直接由厂家更换并回收处置</w:t>
                  </w:r>
                </w:p>
              </w:tc>
              <w:tc>
                <w:tcPr>
                  <w:tcW w:w="890" w:type="dxa"/>
                  <w:tcBorders>
                    <w:tl2br w:val="nil"/>
                    <w:tr2bl w:val="nil"/>
                  </w:tcBorders>
                  <w:shd w:val="clear" w:color="auto" w:fill="auto"/>
                  <w:vAlign w:val="center"/>
                </w:tcPr>
                <w:p w14:paraId="1B0985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205m</w:t>
                  </w:r>
                  <w:r>
                    <w:rPr>
                      <w:rFonts w:hint="eastAsia" w:ascii="Times New Roman" w:hAnsi="Times New Roman" w:eastAsia="宋体" w:cs="Times New Roman"/>
                      <w:i w:val="0"/>
                      <w:iCs w:val="0"/>
                      <w:color w:val="000000"/>
                      <w:kern w:val="0"/>
                      <w:sz w:val="21"/>
                      <w:szCs w:val="21"/>
                      <w:u w:val="none"/>
                      <w:vertAlign w:val="superscript"/>
                      <w:lang w:val="en-US" w:eastAsia="zh-CN" w:bidi="ar"/>
                    </w:rPr>
                    <w:t>3</w:t>
                  </w:r>
                </w:p>
              </w:tc>
              <w:tc>
                <w:tcPr>
                  <w:tcW w:w="1105" w:type="dxa"/>
                  <w:tcBorders>
                    <w:tl2br w:val="nil"/>
                    <w:tr2bl w:val="nil"/>
                  </w:tcBorders>
                  <w:shd w:val="clear" w:color="auto" w:fill="auto"/>
                  <w:vAlign w:val="center"/>
                </w:tcPr>
                <w:p w14:paraId="1ABA76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322D1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72639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焦油渣</w:t>
                  </w:r>
                </w:p>
              </w:tc>
              <w:tc>
                <w:tcPr>
                  <w:tcW w:w="767" w:type="dxa"/>
                  <w:tcBorders>
                    <w:tl2br w:val="nil"/>
                    <w:tr2bl w:val="nil"/>
                  </w:tcBorders>
                  <w:shd w:val="clear" w:color="auto" w:fill="auto"/>
                  <w:vAlign w:val="center"/>
                </w:tcPr>
                <w:p w14:paraId="0FB42E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0.0642</w:t>
                  </w:r>
                </w:p>
              </w:tc>
              <w:tc>
                <w:tcPr>
                  <w:tcW w:w="1188" w:type="dxa"/>
                  <w:tcBorders>
                    <w:tl2br w:val="nil"/>
                    <w:tr2bl w:val="nil"/>
                  </w:tcBorders>
                  <w:shd w:val="clear" w:color="auto" w:fill="auto"/>
                  <w:vAlign w:val="center"/>
                </w:tcPr>
                <w:p w14:paraId="4C377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390B1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掺入炼焦煤炼焦</w:t>
                  </w:r>
                </w:p>
              </w:tc>
              <w:tc>
                <w:tcPr>
                  <w:tcW w:w="890" w:type="dxa"/>
                  <w:tcBorders>
                    <w:tl2br w:val="nil"/>
                    <w:tr2bl w:val="nil"/>
                  </w:tcBorders>
                  <w:shd w:val="clear" w:color="auto" w:fill="auto"/>
                  <w:vAlign w:val="center"/>
                </w:tcPr>
                <w:p w14:paraId="4090B5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0.0642</w:t>
                  </w:r>
                </w:p>
              </w:tc>
              <w:tc>
                <w:tcPr>
                  <w:tcW w:w="1105" w:type="dxa"/>
                  <w:tcBorders>
                    <w:tl2br w:val="nil"/>
                    <w:tr2bl w:val="nil"/>
                  </w:tcBorders>
                  <w:shd w:val="clear" w:color="auto" w:fill="auto"/>
                  <w:vAlign w:val="center"/>
                </w:tcPr>
                <w:p w14:paraId="5E0305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63B59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0EC13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再生器残渣</w:t>
                  </w:r>
                </w:p>
              </w:tc>
              <w:tc>
                <w:tcPr>
                  <w:tcW w:w="767" w:type="dxa"/>
                  <w:tcBorders>
                    <w:tl2br w:val="nil"/>
                    <w:tr2bl w:val="nil"/>
                  </w:tcBorders>
                  <w:shd w:val="clear" w:color="auto" w:fill="auto"/>
                  <w:vAlign w:val="center"/>
                </w:tcPr>
                <w:p w14:paraId="413DF5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0.0315</w:t>
                  </w:r>
                </w:p>
              </w:tc>
              <w:tc>
                <w:tcPr>
                  <w:tcW w:w="1188" w:type="dxa"/>
                  <w:tcBorders>
                    <w:tl2br w:val="nil"/>
                    <w:tr2bl w:val="nil"/>
                  </w:tcBorders>
                  <w:shd w:val="clear" w:color="auto" w:fill="auto"/>
                  <w:vAlign w:val="center"/>
                </w:tcPr>
                <w:p w14:paraId="11B75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6D421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返回焦油预分离器</w:t>
                  </w:r>
                </w:p>
              </w:tc>
              <w:tc>
                <w:tcPr>
                  <w:tcW w:w="890" w:type="dxa"/>
                  <w:tcBorders>
                    <w:tl2br w:val="nil"/>
                    <w:tr2bl w:val="nil"/>
                  </w:tcBorders>
                  <w:shd w:val="clear" w:color="auto" w:fill="auto"/>
                  <w:vAlign w:val="center"/>
                </w:tcPr>
                <w:p w14:paraId="210071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0.0315</w:t>
                  </w:r>
                </w:p>
              </w:tc>
              <w:tc>
                <w:tcPr>
                  <w:tcW w:w="1105" w:type="dxa"/>
                  <w:tcBorders>
                    <w:tl2br w:val="nil"/>
                    <w:tr2bl w:val="nil"/>
                  </w:tcBorders>
                  <w:shd w:val="clear" w:color="auto" w:fill="auto"/>
                  <w:vAlign w:val="center"/>
                </w:tcPr>
                <w:p w14:paraId="76D8BD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25AF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4F8C4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沥青渣</w:t>
                  </w:r>
                </w:p>
              </w:tc>
              <w:tc>
                <w:tcPr>
                  <w:tcW w:w="767" w:type="dxa"/>
                  <w:tcBorders>
                    <w:tl2br w:val="nil"/>
                    <w:tr2bl w:val="nil"/>
                  </w:tcBorders>
                  <w:shd w:val="clear" w:color="auto" w:fill="auto"/>
                  <w:vAlign w:val="center"/>
                </w:tcPr>
                <w:p w14:paraId="00CE67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0.0022</w:t>
                  </w:r>
                </w:p>
              </w:tc>
              <w:tc>
                <w:tcPr>
                  <w:tcW w:w="1188" w:type="dxa"/>
                  <w:tcBorders>
                    <w:tl2br w:val="nil"/>
                    <w:tr2bl w:val="nil"/>
                  </w:tcBorders>
                  <w:shd w:val="clear" w:color="auto" w:fill="auto"/>
                  <w:vAlign w:val="center"/>
                </w:tcPr>
                <w:p w14:paraId="2AC27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76419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掺入炼焦煤炼焦</w:t>
                  </w:r>
                </w:p>
              </w:tc>
              <w:tc>
                <w:tcPr>
                  <w:tcW w:w="890" w:type="dxa"/>
                  <w:tcBorders>
                    <w:tl2br w:val="nil"/>
                    <w:tr2bl w:val="nil"/>
                  </w:tcBorders>
                  <w:shd w:val="clear" w:color="auto" w:fill="auto"/>
                  <w:vAlign w:val="center"/>
                </w:tcPr>
                <w:p w14:paraId="4F9D1E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0.0022</w:t>
                  </w:r>
                </w:p>
              </w:tc>
              <w:tc>
                <w:tcPr>
                  <w:tcW w:w="1105" w:type="dxa"/>
                  <w:tcBorders>
                    <w:tl2br w:val="nil"/>
                    <w:tr2bl w:val="nil"/>
                  </w:tcBorders>
                  <w:shd w:val="clear" w:color="auto" w:fill="auto"/>
                  <w:vAlign w:val="center"/>
                </w:tcPr>
                <w:p w14:paraId="641EE8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70B6E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1670F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酸焦油</w:t>
                  </w:r>
                </w:p>
              </w:tc>
              <w:tc>
                <w:tcPr>
                  <w:tcW w:w="767" w:type="dxa"/>
                  <w:tcBorders>
                    <w:tl2br w:val="nil"/>
                    <w:tr2bl w:val="nil"/>
                  </w:tcBorders>
                  <w:shd w:val="clear" w:color="auto" w:fill="auto"/>
                  <w:vAlign w:val="center"/>
                </w:tcPr>
                <w:p w14:paraId="138FCE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w:t>
                  </w:r>
                </w:p>
              </w:tc>
              <w:tc>
                <w:tcPr>
                  <w:tcW w:w="1188" w:type="dxa"/>
                  <w:tcBorders>
                    <w:tl2br w:val="nil"/>
                    <w:tr2bl w:val="nil"/>
                  </w:tcBorders>
                  <w:shd w:val="clear" w:color="auto" w:fill="auto"/>
                  <w:vAlign w:val="center"/>
                </w:tcPr>
                <w:p w14:paraId="65435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07B00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掺入炼焦煤炼焦</w:t>
                  </w:r>
                </w:p>
              </w:tc>
              <w:tc>
                <w:tcPr>
                  <w:tcW w:w="890" w:type="dxa"/>
                  <w:tcBorders>
                    <w:tl2br w:val="nil"/>
                    <w:tr2bl w:val="nil"/>
                  </w:tcBorders>
                  <w:shd w:val="clear" w:color="auto" w:fill="auto"/>
                  <w:vAlign w:val="center"/>
                </w:tcPr>
                <w:p w14:paraId="32A668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w:t>
                  </w:r>
                </w:p>
              </w:tc>
              <w:tc>
                <w:tcPr>
                  <w:tcW w:w="1105" w:type="dxa"/>
                  <w:tcBorders>
                    <w:tl2br w:val="nil"/>
                    <w:tr2bl w:val="nil"/>
                  </w:tcBorders>
                  <w:shd w:val="clear" w:color="auto" w:fill="auto"/>
                  <w:vAlign w:val="center"/>
                </w:tcPr>
                <w:p w14:paraId="09C2AA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7FC6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41CEF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脱硫废液</w:t>
                  </w:r>
                </w:p>
              </w:tc>
              <w:tc>
                <w:tcPr>
                  <w:tcW w:w="767" w:type="dxa"/>
                  <w:tcBorders>
                    <w:tl2br w:val="nil"/>
                    <w:tr2bl w:val="nil"/>
                  </w:tcBorders>
                  <w:shd w:val="clear" w:color="auto" w:fill="auto"/>
                  <w:vAlign w:val="center"/>
                </w:tcPr>
                <w:p w14:paraId="7E0E0E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2.92</w:t>
                  </w:r>
                </w:p>
              </w:tc>
              <w:tc>
                <w:tcPr>
                  <w:tcW w:w="1188" w:type="dxa"/>
                  <w:tcBorders>
                    <w:tl2br w:val="nil"/>
                    <w:tr2bl w:val="nil"/>
                  </w:tcBorders>
                  <w:shd w:val="clear" w:color="auto" w:fill="auto"/>
                  <w:vAlign w:val="center"/>
                </w:tcPr>
                <w:p w14:paraId="0C6CE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6DBBFA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返制酸生产硫酸</w:t>
                  </w:r>
                </w:p>
              </w:tc>
              <w:tc>
                <w:tcPr>
                  <w:tcW w:w="890" w:type="dxa"/>
                  <w:tcBorders>
                    <w:tl2br w:val="nil"/>
                    <w:tr2bl w:val="nil"/>
                  </w:tcBorders>
                  <w:shd w:val="clear" w:color="auto" w:fill="auto"/>
                  <w:vAlign w:val="center"/>
                </w:tcPr>
                <w:p w14:paraId="677FE3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2.92</w:t>
                  </w:r>
                </w:p>
              </w:tc>
              <w:tc>
                <w:tcPr>
                  <w:tcW w:w="1105" w:type="dxa"/>
                  <w:tcBorders>
                    <w:tl2br w:val="nil"/>
                    <w:tr2bl w:val="nil"/>
                  </w:tcBorders>
                  <w:shd w:val="clear" w:color="auto" w:fill="auto"/>
                  <w:vAlign w:val="center"/>
                </w:tcPr>
                <w:p w14:paraId="20D8CF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1B915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6F23A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废水处理站污泥</w:t>
                  </w:r>
                </w:p>
              </w:tc>
              <w:tc>
                <w:tcPr>
                  <w:tcW w:w="767" w:type="dxa"/>
                  <w:tcBorders>
                    <w:tl2br w:val="nil"/>
                    <w:tr2bl w:val="nil"/>
                  </w:tcBorders>
                  <w:shd w:val="clear" w:color="auto" w:fill="auto"/>
                  <w:vAlign w:val="center"/>
                </w:tcPr>
                <w:p w14:paraId="4E5D00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w:t>
                  </w:r>
                </w:p>
              </w:tc>
              <w:tc>
                <w:tcPr>
                  <w:tcW w:w="1188" w:type="dxa"/>
                  <w:tcBorders>
                    <w:tl2br w:val="nil"/>
                    <w:tr2bl w:val="nil"/>
                  </w:tcBorders>
                  <w:shd w:val="clear" w:color="auto" w:fill="auto"/>
                  <w:vAlign w:val="center"/>
                </w:tcPr>
                <w:p w14:paraId="0A646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第Ⅱ类一般工业固废</w:t>
                  </w:r>
                </w:p>
              </w:tc>
              <w:tc>
                <w:tcPr>
                  <w:tcW w:w="2582" w:type="dxa"/>
                  <w:tcBorders>
                    <w:tl2br w:val="nil"/>
                    <w:tr2bl w:val="nil"/>
                  </w:tcBorders>
                  <w:shd w:val="clear" w:color="auto" w:fill="auto"/>
                  <w:vAlign w:val="center"/>
                </w:tcPr>
                <w:p w14:paraId="5735C32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返煤场掺入炼焦煤炼焦或返烧结配料回用</w:t>
                  </w:r>
                </w:p>
              </w:tc>
              <w:tc>
                <w:tcPr>
                  <w:tcW w:w="890" w:type="dxa"/>
                  <w:tcBorders>
                    <w:tl2br w:val="nil"/>
                    <w:tr2bl w:val="nil"/>
                  </w:tcBorders>
                  <w:shd w:val="clear" w:color="auto" w:fill="auto"/>
                  <w:vAlign w:val="center"/>
                </w:tcPr>
                <w:p w14:paraId="7B68B2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w:t>
                  </w:r>
                </w:p>
              </w:tc>
              <w:tc>
                <w:tcPr>
                  <w:tcW w:w="1105" w:type="dxa"/>
                  <w:tcBorders>
                    <w:tl2br w:val="nil"/>
                    <w:tr2bl w:val="nil"/>
                  </w:tcBorders>
                  <w:shd w:val="clear" w:color="auto" w:fill="auto"/>
                  <w:vAlign w:val="center"/>
                </w:tcPr>
                <w:p w14:paraId="0944E9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BF79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52288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除尘灰</w:t>
                  </w:r>
                </w:p>
              </w:tc>
              <w:tc>
                <w:tcPr>
                  <w:tcW w:w="767" w:type="dxa"/>
                  <w:tcBorders>
                    <w:tl2br w:val="nil"/>
                    <w:tr2bl w:val="nil"/>
                  </w:tcBorders>
                  <w:shd w:val="clear" w:color="auto" w:fill="auto"/>
                  <w:vAlign w:val="center"/>
                </w:tcPr>
                <w:p w14:paraId="27EC2D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26.63</w:t>
                  </w:r>
                </w:p>
              </w:tc>
              <w:tc>
                <w:tcPr>
                  <w:tcW w:w="1188" w:type="dxa"/>
                  <w:tcBorders>
                    <w:tl2br w:val="nil"/>
                    <w:tr2bl w:val="nil"/>
                  </w:tcBorders>
                  <w:shd w:val="clear" w:color="auto" w:fill="auto"/>
                  <w:vAlign w:val="center"/>
                </w:tcPr>
                <w:p w14:paraId="47EF7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5E08F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返烧结配料系统加以利用</w:t>
                  </w:r>
                </w:p>
              </w:tc>
              <w:tc>
                <w:tcPr>
                  <w:tcW w:w="890" w:type="dxa"/>
                  <w:tcBorders>
                    <w:tl2br w:val="nil"/>
                    <w:tr2bl w:val="nil"/>
                  </w:tcBorders>
                  <w:shd w:val="clear" w:color="auto" w:fill="auto"/>
                  <w:vAlign w:val="center"/>
                </w:tcPr>
                <w:p w14:paraId="4371CD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26.63</w:t>
                  </w:r>
                </w:p>
              </w:tc>
              <w:tc>
                <w:tcPr>
                  <w:tcW w:w="1105" w:type="dxa"/>
                  <w:tcBorders>
                    <w:tl2br w:val="nil"/>
                    <w:tr2bl w:val="nil"/>
                  </w:tcBorders>
                  <w:shd w:val="clear" w:color="auto" w:fill="auto"/>
                  <w:vAlign w:val="center"/>
                </w:tcPr>
                <w:p w14:paraId="036518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62ED9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6DF82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废活性焦</w:t>
                  </w:r>
                </w:p>
              </w:tc>
              <w:tc>
                <w:tcPr>
                  <w:tcW w:w="767" w:type="dxa"/>
                  <w:tcBorders>
                    <w:tl2br w:val="nil"/>
                    <w:tr2bl w:val="nil"/>
                  </w:tcBorders>
                  <w:shd w:val="clear" w:color="auto" w:fill="auto"/>
                  <w:vAlign w:val="center"/>
                </w:tcPr>
                <w:p w14:paraId="5FE871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5420</w:t>
                  </w:r>
                </w:p>
              </w:tc>
              <w:tc>
                <w:tcPr>
                  <w:tcW w:w="1188" w:type="dxa"/>
                  <w:tcBorders>
                    <w:tl2br w:val="nil"/>
                    <w:tr2bl w:val="nil"/>
                  </w:tcBorders>
                  <w:shd w:val="clear" w:color="auto" w:fill="auto"/>
                  <w:vAlign w:val="center"/>
                </w:tcPr>
                <w:p w14:paraId="3E0B6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0286B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送烧结工序作燃料利用</w:t>
                  </w:r>
                </w:p>
              </w:tc>
              <w:tc>
                <w:tcPr>
                  <w:tcW w:w="890" w:type="dxa"/>
                  <w:tcBorders>
                    <w:tl2br w:val="nil"/>
                    <w:tr2bl w:val="nil"/>
                  </w:tcBorders>
                  <w:shd w:val="clear" w:color="auto" w:fill="auto"/>
                  <w:vAlign w:val="center"/>
                </w:tcPr>
                <w:p w14:paraId="684D83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5420</w:t>
                  </w:r>
                </w:p>
              </w:tc>
              <w:tc>
                <w:tcPr>
                  <w:tcW w:w="1105" w:type="dxa"/>
                  <w:tcBorders>
                    <w:tl2br w:val="nil"/>
                    <w:tr2bl w:val="nil"/>
                  </w:tcBorders>
                  <w:shd w:val="clear" w:color="auto" w:fill="auto"/>
                  <w:vAlign w:val="center"/>
                </w:tcPr>
                <w:p w14:paraId="60EAFE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3B726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224A3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脱硫制酸系统废催化剂</w:t>
                  </w:r>
                </w:p>
              </w:tc>
              <w:tc>
                <w:tcPr>
                  <w:tcW w:w="767" w:type="dxa"/>
                  <w:tcBorders>
                    <w:tl2br w:val="nil"/>
                    <w:tr2bl w:val="nil"/>
                  </w:tcBorders>
                  <w:shd w:val="clear" w:color="auto" w:fill="auto"/>
                  <w:vAlign w:val="center"/>
                </w:tcPr>
                <w:p w14:paraId="60F2F5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346m</w:t>
                  </w:r>
                  <w:r>
                    <w:rPr>
                      <w:rFonts w:hint="eastAsia"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/3a</w:t>
                  </w:r>
                </w:p>
              </w:tc>
              <w:tc>
                <w:tcPr>
                  <w:tcW w:w="1188" w:type="dxa"/>
                  <w:tcBorders>
                    <w:tl2br w:val="nil"/>
                    <w:tr2bl w:val="nil"/>
                  </w:tcBorders>
                  <w:shd w:val="clear" w:color="auto" w:fill="auto"/>
                  <w:vAlign w:val="center"/>
                </w:tcPr>
                <w:p w14:paraId="7D4C0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03DD8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由厂家更换后直接回收处置</w:t>
                  </w:r>
                </w:p>
              </w:tc>
              <w:tc>
                <w:tcPr>
                  <w:tcW w:w="890" w:type="dxa"/>
                  <w:tcBorders>
                    <w:tl2br w:val="nil"/>
                    <w:tr2bl w:val="nil"/>
                  </w:tcBorders>
                  <w:shd w:val="clear" w:color="auto" w:fill="auto"/>
                  <w:vAlign w:val="center"/>
                </w:tcPr>
                <w:p w14:paraId="3353B2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346m</w:t>
                  </w:r>
                  <w:r>
                    <w:rPr>
                      <w:rFonts w:hint="eastAsia"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/3a</w:t>
                  </w:r>
                </w:p>
              </w:tc>
              <w:tc>
                <w:tcPr>
                  <w:tcW w:w="1105" w:type="dxa"/>
                  <w:tcBorders>
                    <w:tl2br w:val="nil"/>
                    <w:tr2bl w:val="nil"/>
                  </w:tcBorders>
                  <w:shd w:val="clear" w:color="auto" w:fill="auto"/>
                  <w:vAlign w:val="center"/>
                </w:tcPr>
                <w:p w14:paraId="4AC843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38835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75AB4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酸泥</w:t>
                  </w:r>
                </w:p>
              </w:tc>
              <w:tc>
                <w:tcPr>
                  <w:tcW w:w="767" w:type="dxa"/>
                  <w:tcBorders>
                    <w:tl2br w:val="nil"/>
                    <w:tr2bl w:val="nil"/>
                  </w:tcBorders>
                  <w:shd w:val="clear" w:color="auto" w:fill="auto"/>
                  <w:vAlign w:val="center"/>
                </w:tcPr>
                <w:p w14:paraId="7323DF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1188" w:type="dxa"/>
                  <w:tcBorders>
                    <w:tl2br w:val="nil"/>
                    <w:tr2bl w:val="nil"/>
                  </w:tcBorders>
                  <w:shd w:val="clear" w:color="auto" w:fill="auto"/>
                  <w:vAlign w:val="center"/>
                </w:tcPr>
                <w:p w14:paraId="2AE41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43A9F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返烧结系统配料利用</w:t>
                  </w:r>
                </w:p>
              </w:tc>
              <w:tc>
                <w:tcPr>
                  <w:tcW w:w="890" w:type="dxa"/>
                  <w:tcBorders>
                    <w:tl2br w:val="nil"/>
                    <w:tr2bl w:val="nil"/>
                  </w:tcBorders>
                  <w:shd w:val="clear" w:color="auto" w:fill="auto"/>
                  <w:vAlign w:val="center"/>
                </w:tcPr>
                <w:p w14:paraId="17A7E3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0.005</w:t>
                  </w:r>
                </w:p>
              </w:tc>
              <w:tc>
                <w:tcPr>
                  <w:tcW w:w="1105" w:type="dxa"/>
                  <w:tcBorders>
                    <w:tl2br w:val="nil"/>
                    <w:tr2bl w:val="nil"/>
                  </w:tcBorders>
                  <w:shd w:val="clear" w:color="auto" w:fill="auto"/>
                  <w:vAlign w:val="center"/>
                </w:tcPr>
                <w:p w14:paraId="632D66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46698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25F63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高炉渣</w:t>
                  </w:r>
                </w:p>
              </w:tc>
              <w:tc>
                <w:tcPr>
                  <w:tcW w:w="767" w:type="dxa"/>
                  <w:tcBorders>
                    <w:tl2br w:val="nil"/>
                    <w:tr2bl w:val="nil"/>
                  </w:tcBorders>
                  <w:shd w:val="clear" w:color="auto" w:fill="auto"/>
                  <w:vAlign w:val="center"/>
                </w:tcPr>
                <w:p w14:paraId="2C3162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359.16</w:t>
                  </w:r>
                </w:p>
              </w:tc>
              <w:tc>
                <w:tcPr>
                  <w:tcW w:w="1188" w:type="dxa"/>
                  <w:tcBorders>
                    <w:tl2br w:val="nil"/>
                    <w:tr2bl w:val="nil"/>
                  </w:tcBorders>
                  <w:shd w:val="clear" w:color="auto" w:fill="auto"/>
                  <w:vAlign w:val="center"/>
                </w:tcPr>
                <w:p w14:paraId="548DF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Ⅱ</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7A644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经分段侧滤法处理后，全部外售给广西源盛矿渣综合利用有限公司，用作生产新型建材微细矿粉的原料</w:t>
                  </w:r>
                </w:p>
              </w:tc>
              <w:tc>
                <w:tcPr>
                  <w:tcW w:w="890" w:type="dxa"/>
                  <w:tcBorders>
                    <w:tl2br w:val="nil"/>
                    <w:tr2bl w:val="nil"/>
                  </w:tcBorders>
                  <w:shd w:val="clear" w:color="auto" w:fill="auto"/>
                  <w:vAlign w:val="center"/>
                </w:tcPr>
                <w:p w14:paraId="7D13F8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359.16</w:t>
                  </w:r>
                </w:p>
              </w:tc>
              <w:tc>
                <w:tcPr>
                  <w:tcW w:w="1105" w:type="dxa"/>
                  <w:tcBorders>
                    <w:tl2br w:val="nil"/>
                    <w:tr2bl w:val="nil"/>
                  </w:tcBorders>
                  <w:shd w:val="clear" w:color="auto" w:fill="auto"/>
                  <w:vAlign w:val="center"/>
                </w:tcPr>
                <w:p w14:paraId="6BBD5E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77DAF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499D6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除尘灰、瓦斯灰</w:t>
                  </w:r>
                </w:p>
              </w:tc>
              <w:tc>
                <w:tcPr>
                  <w:tcW w:w="767" w:type="dxa"/>
                  <w:tcBorders>
                    <w:tl2br w:val="nil"/>
                    <w:tr2bl w:val="nil"/>
                  </w:tcBorders>
                  <w:shd w:val="clear" w:color="auto" w:fill="auto"/>
                  <w:vAlign w:val="center"/>
                </w:tcPr>
                <w:p w14:paraId="313C46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1188" w:type="dxa"/>
                  <w:tcBorders>
                    <w:tl2br w:val="nil"/>
                    <w:tr2bl w:val="nil"/>
                  </w:tcBorders>
                  <w:shd w:val="clear" w:color="auto" w:fill="auto"/>
                  <w:vAlign w:val="center"/>
                </w:tcPr>
                <w:p w14:paraId="65818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33916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返烧结配料系统加以利用</w:t>
                  </w:r>
                </w:p>
              </w:tc>
              <w:tc>
                <w:tcPr>
                  <w:tcW w:w="890" w:type="dxa"/>
                  <w:tcBorders>
                    <w:tl2br w:val="nil"/>
                    <w:tr2bl w:val="nil"/>
                  </w:tcBorders>
                  <w:shd w:val="clear" w:color="auto" w:fill="auto"/>
                  <w:vAlign w:val="center"/>
                </w:tcPr>
                <w:p w14:paraId="2069BC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1105" w:type="dxa"/>
                  <w:tcBorders>
                    <w:tl2br w:val="nil"/>
                    <w:tr2bl w:val="nil"/>
                  </w:tcBorders>
                  <w:shd w:val="clear" w:color="auto" w:fill="auto"/>
                  <w:vAlign w:val="center"/>
                </w:tcPr>
                <w:p w14:paraId="63B836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3ED19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7B9D3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钢渣</w:t>
                  </w:r>
                </w:p>
              </w:tc>
              <w:tc>
                <w:tcPr>
                  <w:tcW w:w="767" w:type="dxa"/>
                  <w:tcBorders>
                    <w:tl2br w:val="nil"/>
                    <w:tr2bl w:val="nil"/>
                  </w:tcBorders>
                  <w:shd w:val="clear" w:color="auto" w:fill="auto"/>
                  <w:vAlign w:val="center"/>
                </w:tcPr>
                <w:p w14:paraId="131768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121.56</w:t>
                  </w:r>
                </w:p>
              </w:tc>
              <w:tc>
                <w:tcPr>
                  <w:tcW w:w="1188" w:type="dxa"/>
                  <w:tcBorders>
                    <w:tl2br w:val="nil"/>
                    <w:tr2bl w:val="nil"/>
                  </w:tcBorders>
                  <w:shd w:val="clear" w:color="auto" w:fill="auto"/>
                  <w:vAlign w:val="center"/>
                </w:tcPr>
                <w:p w14:paraId="7B743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Ⅱ</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57548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北区钢渣经“热泼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破碎</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磁选”、南区钢渣经“辊压</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热闷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破碎-磁选”回收含铁成分后，尾渣全部外售给广西源盛矿渣综 合利用有限公司，用作生产新型环保建材的原料</w:t>
                  </w:r>
                </w:p>
              </w:tc>
              <w:tc>
                <w:tcPr>
                  <w:tcW w:w="890" w:type="dxa"/>
                  <w:tcBorders>
                    <w:tl2br w:val="nil"/>
                    <w:tr2bl w:val="nil"/>
                  </w:tcBorders>
                  <w:shd w:val="clear" w:color="auto" w:fill="auto"/>
                  <w:vAlign w:val="center"/>
                </w:tcPr>
                <w:p w14:paraId="073CDB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121.56</w:t>
                  </w:r>
                </w:p>
              </w:tc>
              <w:tc>
                <w:tcPr>
                  <w:tcW w:w="1105" w:type="dxa"/>
                  <w:tcBorders>
                    <w:tl2br w:val="nil"/>
                    <w:tr2bl w:val="nil"/>
                  </w:tcBorders>
                  <w:shd w:val="clear" w:color="auto" w:fill="auto"/>
                  <w:vAlign w:val="center"/>
                </w:tcPr>
                <w:p w14:paraId="75C8F3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1F34C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427F3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除尘灰</w:t>
                  </w:r>
                </w:p>
              </w:tc>
              <w:tc>
                <w:tcPr>
                  <w:tcW w:w="767" w:type="dxa"/>
                  <w:tcBorders>
                    <w:tl2br w:val="nil"/>
                    <w:tr2bl w:val="nil"/>
                  </w:tcBorders>
                  <w:shd w:val="clear" w:color="auto" w:fill="auto"/>
                  <w:vAlign w:val="center"/>
                </w:tcPr>
                <w:p w14:paraId="3344A8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30.39</w:t>
                  </w:r>
                </w:p>
              </w:tc>
              <w:tc>
                <w:tcPr>
                  <w:tcW w:w="1188" w:type="dxa"/>
                  <w:tcBorders>
                    <w:tl2br w:val="nil"/>
                    <w:tr2bl w:val="nil"/>
                  </w:tcBorders>
                  <w:shd w:val="clear" w:color="auto" w:fill="auto"/>
                  <w:vAlign w:val="center"/>
                </w:tcPr>
                <w:p w14:paraId="204FA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14350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返烧结配料系统利用</w:t>
                  </w:r>
                </w:p>
              </w:tc>
              <w:tc>
                <w:tcPr>
                  <w:tcW w:w="890" w:type="dxa"/>
                  <w:tcBorders>
                    <w:tl2br w:val="nil"/>
                    <w:tr2bl w:val="nil"/>
                  </w:tcBorders>
                  <w:shd w:val="clear" w:color="auto" w:fill="auto"/>
                  <w:vAlign w:val="center"/>
                </w:tcPr>
                <w:p w14:paraId="4DA171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30.39</w:t>
                  </w:r>
                </w:p>
              </w:tc>
              <w:tc>
                <w:tcPr>
                  <w:tcW w:w="1105" w:type="dxa"/>
                  <w:tcBorders>
                    <w:tl2br w:val="nil"/>
                    <w:tr2bl w:val="nil"/>
                  </w:tcBorders>
                  <w:shd w:val="clear" w:color="auto" w:fill="auto"/>
                  <w:vAlign w:val="center"/>
                </w:tcPr>
                <w:p w14:paraId="087BEE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D6B8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1460D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连铸氧化铁皮</w:t>
                  </w:r>
                </w:p>
              </w:tc>
              <w:tc>
                <w:tcPr>
                  <w:tcW w:w="767" w:type="dxa"/>
                  <w:tcBorders>
                    <w:tl2br w:val="nil"/>
                    <w:tr2bl w:val="nil"/>
                  </w:tcBorders>
                  <w:shd w:val="clear" w:color="auto" w:fill="auto"/>
                  <w:vAlign w:val="center"/>
                </w:tcPr>
                <w:p w14:paraId="741114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18.69</w:t>
                  </w:r>
                </w:p>
              </w:tc>
              <w:tc>
                <w:tcPr>
                  <w:tcW w:w="1188" w:type="dxa"/>
                  <w:tcBorders>
                    <w:tl2br w:val="nil"/>
                    <w:tr2bl w:val="nil"/>
                  </w:tcBorders>
                  <w:shd w:val="clear" w:color="auto" w:fill="auto"/>
                  <w:vAlign w:val="center"/>
                </w:tcPr>
                <w:p w14:paraId="62479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526EB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返烧结配料系统利用</w:t>
                  </w:r>
                </w:p>
              </w:tc>
              <w:tc>
                <w:tcPr>
                  <w:tcW w:w="890" w:type="dxa"/>
                  <w:tcBorders>
                    <w:tl2br w:val="nil"/>
                    <w:tr2bl w:val="nil"/>
                  </w:tcBorders>
                  <w:shd w:val="clear" w:color="auto" w:fill="auto"/>
                  <w:vAlign w:val="center"/>
                </w:tcPr>
                <w:p w14:paraId="7E1235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18.69</w:t>
                  </w:r>
                </w:p>
              </w:tc>
              <w:tc>
                <w:tcPr>
                  <w:tcW w:w="1105" w:type="dxa"/>
                  <w:tcBorders>
                    <w:tl2br w:val="nil"/>
                    <w:tr2bl w:val="nil"/>
                  </w:tcBorders>
                  <w:shd w:val="clear" w:color="auto" w:fill="auto"/>
                  <w:vAlign w:val="center"/>
                </w:tcPr>
                <w:p w14:paraId="478520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3A55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5BDE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含铁尘泥</w:t>
                  </w:r>
                </w:p>
              </w:tc>
              <w:tc>
                <w:tcPr>
                  <w:tcW w:w="767" w:type="dxa"/>
                  <w:tcBorders>
                    <w:tl2br w:val="nil"/>
                    <w:tr2bl w:val="nil"/>
                  </w:tcBorders>
                  <w:shd w:val="clear" w:color="auto" w:fill="auto"/>
                  <w:vAlign w:val="center"/>
                </w:tcPr>
                <w:p w14:paraId="0D00BF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2.77</w:t>
                  </w:r>
                </w:p>
              </w:tc>
              <w:tc>
                <w:tcPr>
                  <w:tcW w:w="1188" w:type="dxa"/>
                  <w:tcBorders>
                    <w:tl2br w:val="nil"/>
                    <w:tr2bl w:val="nil"/>
                  </w:tcBorders>
                  <w:shd w:val="clear" w:color="auto" w:fill="auto"/>
                  <w:vAlign w:val="center"/>
                </w:tcPr>
                <w:p w14:paraId="57A5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0DABD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返烧结配料系统利用</w:t>
                  </w:r>
                </w:p>
              </w:tc>
              <w:tc>
                <w:tcPr>
                  <w:tcW w:w="890" w:type="dxa"/>
                  <w:tcBorders>
                    <w:tl2br w:val="nil"/>
                    <w:tr2bl w:val="nil"/>
                  </w:tcBorders>
                  <w:shd w:val="clear" w:color="auto" w:fill="auto"/>
                  <w:vAlign w:val="center"/>
                </w:tcPr>
                <w:p w14:paraId="3972F7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2.77</w:t>
                  </w:r>
                </w:p>
              </w:tc>
              <w:tc>
                <w:tcPr>
                  <w:tcW w:w="1105" w:type="dxa"/>
                  <w:tcBorders>
                    <w:tl2br w:val="nil"/>
                    <w:tr2bl w:val="nil"/>
                  </w:tcBorders>
                  <w:shd w:val="clear" w:color="auto" w:fill="auto"/>
                  <w:vAlign w:val="center"/>
                </w:tcPr>
                <w:p w14:paraId="7E46B6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4E361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1A8C1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轧废、切头/尾</w:t>
                  </w:r>
                </w:p>
              </w:tc>
              <w:tc>
                <w:tcPr>
                  <w:tcW w:w="767" w:type="dxa"/>
                  <w:tcBorders>
                    <w:tl2br w:val="nil"/>
                    <w:tr2bl w:val="nil"/>
                  </w:tcBorders>
                  <w:shd w:val="clear" w:color="auto" w:fill="auto"/>
                  <w:vAlign w:val="center"/>
                </w:tcPr>
                <w:p w14:paraId="4ECC7B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12.86</w:t>
                  </w:r>
                </w:p>
              </w:tc>
              <w:tc>
                <w:tcPr>
                  <w:tcW w:w="1188" w:type="dxa"/>
                  <w:tcBorders>
                    <w:tl2br w:val="nil"/>
                    <w:tr2bl w:val="nil"/>
                  </w:tcBorders>
                  <w:shd w:val="clear" w:color="auto" w:fill="auto"/>
                  <w:vAlign w:val="center"/>
                </w:tcPr>
                <w:p w14:paraId="0CC3E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275C0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返炼钢车间作原料利用</w:t>
                  </w:r>
                </w:p>
              </w:tc>
              <w:tc>
                <w:tcPr>
                  <w:tcW w:w="890" w:type="dxa"/>
                  <w:tcBorders>
                    <w:tl2br w:val="nil"/>
                    <w:tr2bl w:val="nil"/>
                  </w:tcBorders>
                  <w:shd w:val="clear" w:color="auto" w:fill="auto"/>
                  <w:vAlign w:val="center"/>
                </w:tcPr>
                <w:p w14:paraId="102F9B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12.86</w:t>
                  </w:r>
                </w:p>
              </w:tc>
              <w:tc>
                <w:tcPr>
                  <w:tcW w:w="1105" w:type="dxa"/>
                  <w:tcBorders>
                    <w:tl2br w:val="nil"/>
                    <w:tr2bl w:val="nil"/>
                  </w:tcBorders>
                  <w:shd w:val="clear" w:color="auto" w:fill="auto"/>
                  <w:vAlign w:val="center"/>
                </w:tcPr>
                <w:p w14:paraId="696D95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560C1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5B0EA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氧化铁皮</w:t>
                  </w:r>
                </w:p>
              </w:tc>
              <w:tc>
                <w:tcPr>
                  <w:tcW w:w="767" w:type="dxa"/>
                  <w:tcBorders>
                    <w:tl2br w:val="nil"/>
                    <w:tr2bl w:val="nil"/>
                  </w:tcBorders>
                  <w:shd w:val="clear" w:color="auto" w:fill="auto"/>
                  <w:vAlign w:val="center"/>
                </w:tcPr>
                <w:p w14:paraId="6D2AAD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10.03</w:t>
                  </w:r>
                </w:p>
              </w:tc>
              <w:tc>
                <w:tcPr>
                  <w:tcW w:w="1188" w:type="dxa"/>
                  <w:tcBorders>
                    <w:tl2br w:val="nil"/>
                    <w:tr2bl w:val="nil"/>
                  </w:tcBorders>
                  <w:shd w:val="clear" w:color="auto" w:fill="auto"/>
                  <w:vAlign w:val="center"/>
                </w:tcPr>
                <w:p w14:paraId="11DF8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7A031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返烧结配料系统利用</w:t>
                  </w:r>
                </w:p>
              </w:tc>
              <w:tc>
                <w:tcPr>
                  <w:tcW w:w="890" w:type="dxa"/>
                  <w:tcBorders>
                    <w:tl2br w:val="nil"/>
                    <w:tr2bl w:val="nil"/>
                  </w:tcBorders>
                  <w:shd w:val="clear" w:color="auto" w:fill="auto"/>
                  <w:vAlign w:val="center"/>
                </w:tcPr>
                <w:p w14:paraId="133B7C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10.03</w:t>
                  </w:r>
                </w:p>
              </w:tc>
              <w:tc>
                <w:tcPr>
                  <w:tcW w:w="1105" w:type="dxa"/>
                  <w:tcBorders>
                    <w:tl2br w:val="nil"/>
                    <w:tr2bl w:val="nil"/>
                  </w:tcBorders>
                  <w:shd w:val="clear" w:color="auto" w:fill="auto"/>
                  <w:vAlign w:val="center"/>
                </w:tcPr>
                <w:p w14:paraId="5973A7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939F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06CC2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含铁尘泥</w:t>
                  </w:r>
                </w:p>
              </w:tc>
              <w:tc>
                <w:tcPr>
                  <w:tcW w:w="767" w:type="dxa"/>
                  <w:tcBorders>
                    <w:tl2br w:val="nil"/>
                    <w:tr2bl w:val="nil"/>
                  </w:tcBorders>
                  <w:shd w:val="clear" w:color="auto" w:fill="auto"/>
                  <w:vAlign w:val="center"/>
                </w:tcPr>
                <w:p w14:paraId="19F494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1188" w:type="dxa"/>
                  <w:tcBorders>
                    <w:tl2br w:val="nil"/>
                    <w:tr2bl w:val="nil"/>
                  </w:tcBorders>
                  <w:shd w:val="clear" w:color="auto" w:fill="auto"/>
                  <w:vAlign w:val="center"/>
                </w:tcPr>
                <w:p w14:paraId="03D44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7AB52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返烧结配料系统利用</w:t>
                  </w:r>
                </w:p>
              </w:tc>
              <w:tc>
                <w:tcPr>
                  <w:tcW w:w="890" w:type="dxa"/>
                  <w:tcBorders>
                    <w:tl2br w:val="nil"/>
                    <w:tr2bl w:val="nil"/>
                  </w:tcBorders>
                  <w:shd w:val="clear" w:color="auto" w:fill="auto"/>
                  <w:vAlign w:val="center"/>
                </w:tcPr>
                <w:p w14:paraId="7A9A95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1105" w:type="dxa"/>
                  <w:tcBorders>
                    <w:tl2br w:val="nil"/>
                    <w:tr2bl w:val="nil"/>
                  </w:tcBorders>
                  <w:shd w:val="clear" w:color="auto" w:fill="auto"/>
                  <w:vAlign w:val="center"/>
                </w:tcPr>
                <w:p w14:paraId="1B8F8D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33479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1A70D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除尘灰</w:t>
                  </w:r>
                </w:p>
              </w:tc>
              <w:tc>
                <w:tcPr>
                  <w:tcW w:w="767" w:type="dxa"/>
                  <w:tcBorders>
                    <w:tl2br w:val="nil"/>
                    <w:tr2bl w:val="nil"/>
                  </w:tcBorders>
                  <w:shd w:val="clear" w:color="auto" w:fill="auto"/>
                  <w:vAlign w:val="center"/>
                </w:tcPr>
                <w:p w14:paraId="1CE291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w:t>
                  </w:r>
                </w:p>
              </w:tc>
              <w:tc>
                <w:tcPr>
                  <w:tcW w:w="1188" w:type="dxa"/>
                  <w:tcBorders>
                    <w:tl2br w:val="nil"/>
                    <w:tr2bl w:val="nil"/>
                  </w:tcBorders>
                  <w:shd w:val="clear" w:color="auto" w:fill="auto"/>
                  <w:vAlign w:val="center"/>
                </w:tcPr>
                <w:p w14:paraId="47A26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53176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返烧结配料系统利用</w:t>
                  </w:r>
                </w:p>
              </w:tc>
              <w:tc>
                <w:tcPr>
                  <w:tcW w:w="890" w:type="dxa"/>
                  <w:tcBorders>
                    <w:tl2br w:val="nil"/>
                    <w:tr2bl w:val="nil"/>
                  </w:tcBorders>
                  <w:shd w:val="clear" w:color="auto" w:fill="auto"/>
                  <w:vAlign w:val="center"/>
                </w:tcPr>
                <w:p w14:paraId="52288C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1.92</w:t>
                  </w:r>
                </w:p>
              </w:tc>
              <w:tc>
                <w:tcPr>
                  <w:tcW w:w="1105" w:type="dxa"/>
                  <w:tcBorders>
                    <w:tl2br w:val="nil"/>
                    <w:tr2bl w:val="nil"/>
                  </w:tcBorders>
                  <w:shd w:val="clear" w:color="auto" w:fill="auto"/>
                  <w:vAlign w:val="center"/>
                </w:tcPr>
                <w:p w14:paraId="76DBD7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5A75D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774DA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生产废水和生活 污水处理站污泥</w:t>
                  </w:r>
                </w:p>
              </w:tc>
              <w:tc>
                <w:tcPr>
                  <w:tcW w:w="767" w:type="dxa"/>
                  <w:tcBorders>
                    <w:tl2br w:val="nil"/>
                    <w:tr2bl w:val="nil"/>
                  </w:tcBorders>
                  <w:shd w:val="clear" w:color="auto" w:fill="auto"/>
                  <w:vAlign w:val="center"/>
                </w:tcPr>
                <w:p w14:paraId="39201B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1.85</w:t>
                  </w:r>
                </w:p>
              </w:tc>
              <w:tc>
                <w:tcPr>
                  <w:tcW w:w="1188" w:type="dxa"/>
                  <w:tcBorders>
                    <w:tl2br w:val="nil"/>
                    <w:tr2bl w:val="nil"/>
                  </w:tcBorders>
                  <w:shd w:val="clear" w:color="auto" w:fill="auto"/>
                  <w:vAlign w:val="center"/>
                </w:tcPr>
                <w:p w14:paraId="58B85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第Ⅱ类一般工业固废</w:t>
                  </w:r>
                </w:p>
              </w:tc>
              <w:tc>
                <w:tcPr>
                  <w:tcW w:w="2582" w:type="dxa"/>
                  <w:tcBorders>
                    <w:tl2br w:val="nil"/>
                    <w:tr2bl w:val="nil"/>
                  </w:tcBorders>
                  <w:shd w:val="clear" w:color="auto" w:fill="auto"/>
                  <w:vAlign w:val="center"/>
                </w:tcPr>
                <w:p w14:paraId="4DBF2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返烧结配料系统加以利用</w:t>
                  </w:r>
                </w:p>
              </w:tc>
              <w:tc>
                <w:tcPr>
                  <w:tcW w:w="890" w:type="dxa"/>
                  <w:tcBorders>
                    <w:tl2br w:val="nil"/>
                    <w:tr2bl w:val="nil"/>
                  </w:tcBorders>
                  <w:shd w:val="clear" w:color="auto" w:fill="auto"/>
                  <w:vAlign w:val="center"/>
                </w:tcPr>
                <w:p w14:paraId="7AAF87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1.85</w:t>
                  </w:r>
                </w:p>
              </w:tc>
              <w:tc>
                <w:tcPr>
                  <w:tcW w:w="1105" w:type="dxa"/>
                  <w:tcBorders>
                    <w:tl2br w:val="nil"/>
                    <w:tr2bl w:val="nil"/>
                  </w:tcBorders>
                  <w:shd w:val="clear" w:color="auto" w:fill="auto"/>
                  <w:vAlign w:val="center"/>
                </w:tcPr>
                <w:p w14:paraId="10EF87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151BF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10C4C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废耐火材料</w:t>
                  </w:r>
                </w:p>
              </w:tc>
              <w:tc>
                <w:tcPr>
                  <w:tcW w:w="767" w:type="dxa"/>
                  <w:tcBorders>
                    <w:tl2br w:val="nil"/>
                    <w:tr2bl w:val="nil"/>
                  </w:tcBorders>
                  <w:shd w:val="clear" w:color="auto" w:fill="auto"/>
                  <w:vAlign w:val="center"/>
                </w:tcPr>
                <w:p w14:paraId="0DA36D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1188" w:type="dxa"/>
                  <w:tcBorders>
                    <w:tl2br w:val="nil"/>
                    <w:tr2bl w:val="nil"/>
                  </w:tcBorders>
                  <w:shd w:val="clear" w:color="auto" w:fill="auto"/>
                  <w:vAlign w:val="center"/>
                </w:tcPr>
                <w:p w14:paraId="2D7D7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w:t>
                  </w:r>
                  <w:r>
                    <w:rPr>
                      <w:rFonts w:hint="default" w:ascii="Times New Roman" w:hAnsi="Times New Roman" w:eastAsia="宋体" w:cs="Times New Roman"/>
                      <w:i w:val="0"/>
                      <w:iCs w:val="0"/>
                      <w:color w:val="000000"/>
                      <w:kern w:val="0"/>
                      <w:sz w:val="21"/>
                      <w:szCs w:val="21"/>
                      <w:u w:val="none"/>
                      <w:lang w:val="en-US" w:eastAsia="zh-CN" w:bidi="ar"/>
                    </w:rPr>
                    <w:t>Ⅰ</w:t>
                  </w:r>
                  <w:r>
                    <w:rPr>
                      <w:rFonts w:hint="eastAsia" w:ascii="宋体" w:hAnsi="宋体" w:eastAsia="宋体" w:cs="宋体"/>
                      <w:i w:val="0"/>
                      <w:iCs w:val="0"/>
                      <w:color w:val="000000"/>
                      <w:kern w:val="0"/>
                      <w:sz w:val="21"/>
                      <w:szCs w:val="21"/>
                      <w:u w:val="none"/>
                      <w:lang w:val="en-US" w:eastAsia="zh-CN" w:bidi="ar"/>
                    </w:rPr>
                    <w:t>类一般工业固废</w:t>
                  </w:r>
                </w:p>
              </w:tc>
              <w:tc>
                <w:tcPr>
                  <w:tcW w:w="2582" w:type="dxa"/>
                  <w:tcBorders>
                    <w:tl2br w:val="nil"/>
                    <w:tr2bl w:val="nil"/>
                  </w:tcBorders>
                  <w:shd w:val="clear" w:color="auto" w:fill="auto"/>
                  <w:vAlign w:val="center"/>
                </w:tcPr>
                <w:p w14:paraId="4FDE2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可利用部分厂内回用，不可利用部分由厂家回收作为骨料使用 或用于筑路</w:t>
                  </w:r>
                </w:p>
              </w:tc>
              <w:tc>
                <w:tcPr>
                  <w:tcW w:w="890" w:type="dxa"/>
                  <w:tcBorders>
                    <w:tl2br w:val="nil"/>
                    <w:tr2bl w:val="nil"/>
                  </w:tcBorders>
                  <w:shd w:val="clear" w:color="auto" w:fill="auto"/>
                  <w:vAlign w:val="center"/>
                </w:tcPr>
                <w:p w14:paraId="3F75EC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1105" w:type="dxa"/>
                  <w:tcBorders>
                    <w:tl2br w:val="nil"/>
                    <w:tr2bl w:val="nil"/>
                  </w:tcBorders>
                  <w:shd w:val="clear" w:color="auto" w:fill="auto"/>
                  <w:vAlign w:val="center"/>
                </w:tcPr>
                <w:p w14:paraId="55C067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FD8C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41EC3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废布袋</w:t>
                  </w:r>
                </w:p>
              </w:tc>
              <w:tc>
                <w:tcPr>
                  <w:tcW w:w="767" w:type="dxa"/>
                  <w:tcBorders>
                    <w:tl2br w:val="nil"/>
                    <w:tr2bl w:val="nil"/>
                  </w:tcBorders>
                  <w:shd w:val="clear" w:color="auto" w:fill="auto"/>
                  <w:vAlign w:val="center"/>
                </w:tcPr>
                <w:p w14:paraId="3A7638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65000 </w:t>
                  </w:r>
                  <w:r>
                    <w:rPr>
                      <w:rFonts w:hint="eastAsia" w:ascii="宋体" w:hAnsi="宋体" w:eastAsia="宋体" w:cs="宋体"/>
                      <w:i w:val="0"/>
                      <w:iCs w:val="0"/>
                      <w:color w:val="000000"/>
                      <w:kern w:val="0"/>
                      <w:sz w:val="21"/>
                      <w:szCs w:val="21"/>
                      <w:u w:val="none"/>
                      <w:lang w:val="en-US" w:eastAsia="zh-CN" w:bidi="ar"/>
                    </w:rPr>
                    <w:t>条</w:t>
                  </w:r>
                </w:p>
              </w:tc>
              <w:tc>
                <w:tcPr>
                  <w:tcW w:w="1188" w:type="dxa"/>
                  <w:tcBorders>
                    <w:tl2br w:val="nil"/>
                    <w:tr2bl w:val="nil"/>
                  </w:tcBorders>
                  <w:shd w:val="clear" w:color="auto" w:fill="auto"/>
                  <w:vAlign w:val="center"/>
                </w:tcPr>
                <w:p w14:paraId="50156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第Ⅰ类一般工业固废</w:t>
                  </w:r>
                </w:p>
              </w:tc>
              <w:tc>
                <w:tcPr>
                  <w:tcW w:w="2582" w:type="dxa"/>
                  <w:tcBorders>
                    <w:tl2br w:val="nil"/>
                    <w:tr2bl w:val="nil"/>
                  </w:tcBorders>
                  <w:shd w:val="clear" w:color="auto" w:fill="auto"/>
                  <w:vAlign w:val="center"/>
                </w:tcPr>
                <w:p w14:paraId="30BF0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厂家更换后，废布袋全部由厂家回收综合利用</w:t>
                  </w:r>
                </w:p>
              </w:tc>
              <w:tc>
                <w:tcPr>
                  <w:tcW w:w="890" w:type="dxa"/>
                  <w:tcBorders>
                    <w:tl2br w:val="nil"/>
                    <w:tr2bl w:val="nil"/>
                  </w:tcBorders>
                  <w:shd w:val="clear" w:color="auto" w:fill="auto"/>
                  <w:vAlign w:val="center"/>
                </w:tcPr>
                <w:p w14:paraId="3C3C16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65000 </w:t>
                  </w:r>
                  <w:r>
                    <w:rPr>
                      <w:rFonts w:hint="eastAsia" w:ascii="宋体" w:hAnsi="宋体" w:eastAsia="宋体" w:cs="宋体"/>
                      <w:i w:val="0"/>
                      <w:iCs w:val="0"/>
                      <w:color w:val="000000"/>
                      <w:kern w:val="0"/>
                      <w:sz w:val="21"/>
                      <w:szCs w:val="21"/>
                      <w:u w:val="none"/>
                      <w:lang w:val="en-US" w:eastAsia="zh-CN" w:bidi="ar"/>
                    </w:rPr>
                    <w:t>条</w:t>
                  </w:r>
                </w:p>
              </w:tc>
              <w:tc>
                <w:tcPr>
                  <w:tcW w:w="1105" w:type="dxa"/>
                  <w:tcBorders>
                    <w:tl2br w:val="nil"/>
                    <w:tr2bl w:val="nil"/>
                  </w:tcBorders>
                  <w:shd w:val="clear" w:color="auto" w:fill="auto"/>
                  <w:vAlign w:val="center"/>
                </w:tcPr>
                <w:p w14:paraId="6E8726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3776D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22BE5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废矿物油</w:t>
                  </w:r>
                </w:p>
              </w:tc>
              <w:tc>
                <w:tcPr>
                  <w:tcW w:w="767" w:type="dxa"/>
                  <w:tcBorders>
                    <w:tl2br w:val="nil"/>
                    <w:tr2bl w:val="nil"/>
                  </w:tcBorders>
                  <w:shd w:val="clear" w:color="auto" w:fill="auto"/>
                  <w:vAlign w:val="center"/>
                </w:tcPr>
                <w:p w14:paraId="0C9D98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1188" w:type="dxa"/>
                  <w:tcBorders>
                    <w:tl2br w:val="nil"/>
                    <w:tr2bl w:val="nil"/>
                  </w:tcBorders>
                  <w:shd w:val="clear" w:color="auto" w:fill="auto"/>
                  <w:vAlign w:val="center"/>
                </w:tcPr>
                <w:p w14:paraId="02193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59C66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暂存于废油库，定期委托防城港市康超再生物资有限公司处置</w:t>
                  </w:r>
                </w:p>
              </w:tc>
              <w:tc>
                <w:tcPr>
                  <w:tcW w:w="890" w:type="dxa"/>
                  <w:tcBorders>
                    <w:tl2br w:val="nil"/>
                    <w:tr2bl w:val="nil"/>
                  </w:tcBorders>
                  <w:shd w:val="clear" w:color="auto" w:fill="auto"/>
                  <w:vAlign w:val="center"/>
                </w:tcPr>
                <w:p w14:paraId="6267E6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1105" w:type="dxa"/>
                  <w:tcBorders>
                    <w:tl2br w:val="nil"/>
                    <w:tr2bl w:val="nil"/>
                  </w:tcBorders>
                  <w:shd w:val="clear" w:color="auto" w:fill="auto"/>
                  <w:vAlign w:val="center"/>
                </w:tcPr>
                <w:p w14:paraId="64199A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5CA7A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08E5B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废油桶、废油漆桶</w:t>
                  </w:r>
                </w:p>
              </w:tc>
              <w:tc>
                <w:tcPr>
                  <w:tcW w:w="767" w:type="dxa"/>
                  <w:tcBorders>
                    <w:tl2br w:val="nil"/>
                    <w:tr2bl w:val="nil"/>
                  </w:tcBorders>
                  <w:shd w:val="clear" w:color="auto" w:fill="auto"/>
                  <w:vAlign w:val="center"/>
                </w:tcPr>
                <w:p w14:paraId="51C971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88" w:type="dxa"/>
                  <w:tcBorders>
                    <w:tl2br w:val="nil"/>
                    <w:tr2bl w:val="nil"/>
                  </w:tcBorders>
                  <w:shd w:val="clear" w:color="auto" w:fill="auto"/>
                  <w:vAlign w:val="center"/>
                </w:tcPr>
                <w:p w14:paraId="2963B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41382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控干油、油漆后，剪切成合适尺寸入转炉冶炼</w:t>
                  </w:r>
                </w:p>
              </w:tc>
              <w:tc>
                <w:tcPr>
                  <w:tcW w:w="890" w:type="dxa"/>
                  <w:tcBorders>
                    <w:tl2br w:val="nil"/>
                    <w:tr2bl w:val="nil"/>
                  </w:tcBorders>
                  <w:shd w:val="clear" w:color="auto" w:fill="auto"/>
                  <w:vAlign w:val="center"/>
                </w:tcPr>
                <w:p w14:paraId="7B8F4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05" w:type="dxa"/>
                  <w:tcBorders>
                    <w:tl2br w:val="nil"/>
                    <w:tr2bl w:val="nil"/>
                  </w:tcBorders>
                  <w:shd w:val="clear" w:color="auto" w:fill="auto"/>
                  <w:vAlign w:val="center"/>
                </w:tcPr>
                <w:p w14:paraId="152738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04AA3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3A96E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废弃的含油抹布、 劳保用品</w:t>
                  </w:r>
                </w:p>
              </w:tc>
              <w:tc>
                <w:tcPr>
                  <w:tcW w:w="767" w:type="dxa"/>
                  <w:tcBorders>
                    <w:tl2br w:val="nil"/>
                    <w:tr2bl w:val="nil"/>
                  </w:tcBorders>
                  <w:shd w:val="clear" w:color="auto" w:fill="auto"/>
                  <w:vAlign w:val="center"/>
                </w:tcPr>
                <w:p w14:paraId="1AF662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88" w:type="dxa"/>
                  <w:tcBorders>
                    <w:tl2br w:val="nil"/>
                    <w:tr2bl w:val="nil"/>
                  </w:tcBorders>
                  <w:shd w:val="clear" w:color="auto" w:fill="auto"/>
                  <w:vAlign w:val="center"/>
                </w:tcPr>
                <w:p w14:paraId="159A3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w:t>
                  </w:r>
                </w:p>
              </w:tc>
              <w:tc>
                <w:tcPr>
                  <w:tcW w:w="2582" w:type="dxa"/>
                  <w:tcBorders>
                    <w:tl2br w:val="nil"/>
                    <w:tr2bl w:val="nil"/>
                  </w:tcBorders>
                  <w:shd w:val="clear" w:color="auto" w:fill="auto"/>
                  <w:vAlign w:val="center"/>
                </w:tcPr>
                <w:p w14:paraId="7BDF4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混入生活垃圾，收集于垃圾桶内，由环卫部门定期清运</w:t>
                  </w:r>
                </w:p>
              </w:tc>
              <w:tc>
                <w:tcPr>
                  <w:tcW w:w="890" w:type="dxa"/>
                  <w:tcBorders>
                    <w:tl2br w:val="nil"/>
                    <w:tr2bl w:val="nil"/>
                  </w:tcBorders>
                  <w:shd w:val="clear" w:color="auto" w:fill="auto"/>
                  <w:vAlign w:val="center"/>
                </w:tcPr>
                <w:p w14:paraId="1C233D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05" w:type="dxa"/>
                  <w:tcBorders>
                    <w:tl2br w:val="nil"/>
                    <w:tr2bl w:val="nil"/>
                  </w:tcBorders>
                  <w:shd w:val="clear" w:color="auto" w:fill="auto"/>
                  <w:vAlign w:val="center"/>
                </w:tcPr>
                <w:p w14:paraId="3C3C6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妥善处置</w:t>
                  </w:r>
                </w:p>
              </w:tc>
            </w:tr>
            <w:tr w14:paraId="301FE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392" w:type="dxa"/>
                  <w:tcBorders>
                    <w:tl2br w:val="nil"/>
                    <w:tr2bl w:val="nil"/>
                  </w:tcBorders>
                  <w:shd w:val="clear" w:color="auto" w:fill="auto"/>
                  <w:vAlign w:val="center"/>
                </w:tcPr>
                <w:p w14:paraId="7C9F9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w:t>
                  </w:r>
                </w:p>
              </w:tc>
              <w:tc>
                <w:tcPr>
                  <w:tcW w:w="767" w:type="dxa"/>
                  <w:tcBorders>
                    <w:tl2br w:val="nil"/>
                    <w:tr2bl w:val="nil"/>
                  </w:tcBorders>
                  <w:shd w:val="clear" w:color="auto" w:fill="auto"/>
                  <w:vAlign w:val="center"/>
                </w:tcPr>
                <w:p w14:paraId="2CEAAA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w:t>
                  </w:r>
                </w:p>
              </w:tc>
              <w:tc>
                <w:tcPr>
                  <w:tcW w:w="1188" w:type="dxa"/>
                  <w:tcBorders>
                    <w:tl2br w:val="nil"/>
                    <w:tr2bl w:val="nil"/>
                  </w:tcBorders>
                  <w:shd w:val="clear" w:color="auto" w:fill="auto"/>
                  <w:vAlign w:val="center"/>
                </w:tcPr>
                <w:p w14:paraId="1DE37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w:t>
                  </w:r>
                </w:p>
              </w:tc>
              <w:tc>
                <w:tcPr>
                  <w:tcW w:w="2582" w:type="dxa"/>
                  <w:tcBorders>
                    <w:tl2br w:val="nil"/>
                    <w:tr2bl w:val="nil"/>
                  </w:tcBorders>
                  <w:shd w:val="clear" w:color="auto" w:fill="auto"/>
                  <w:vAlign w:val="center"/>
                </w:tcPr>
                <w:p w14:paraId="449D6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收集于垃圾桶内，由环卫部门定期清运</w:t>
                  </w:r>
                </w:p>
              </w:tc>
              <w:tc>
                <w:tcPr>
                  <w:tcW w:w="890" w:type="dxa"/>
                  <w:tcBorders>
                    <w:tl2br w:val="nil"/>
                    <w:tr2bl w:val="nil"/>
                  </w:tcBorders>
                  <w:shd w:val="clear" w:color="auto" w:fill="auto"/>
                  <w:vAlign w:val="center"/>
                </w:tcPr>
                <w:p w14:paraId="1EE166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0.35</w:t>
                  </w:r>
                </w:p>
              </w:tc>
              <w:tc>
                <w:tcPr>
                  <w:tcW w:w="1105" w:type="dxa"/>
                  <w:tcBorders>
                    <w:tl2br w:val="nil"/>
                    <w:tr2bl w:val="nil"/>
                  </w:tcBorders>
                  <w:shd w:val="clear" w:color="auto" w:fill="auto"/>
                  <w:vAlign w:val="center"/>
                </w:tcPr>
                <w:p w14:paraId="1ADB9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妥善处置</w:t>
                  </w:r>
                </w:p>
              </w:tc>
            </w:tr>
          </w:tbl>
          <w:p w14:paraId="7DDB80FA">
            <w:pPr>
              <w:spacing w:line="500" w:lineRule="atLeast"/>
              <w:ind w:firstLine="482" w:firstLineChars="200"/>
              <w:rPr>
                <w:b/>
                <w:bCs/>
                <w:sz w:val="24"/>
              </w:rPr>
            </w:pPr>
            <w:r>
              <w:rPr>
                <w:rFonts w:hint="eastAsia"/>
                <w:b/>
                <w:bCs/>
                <w:sz w:val="24"/>
              </w:rPr>
              <w:t>3、现有项目污染排放情况</w:t>
            </w:r>
          </w:p>
          <w:p w14:paraId="2232E0BC">
            <w:pPr>
              <w:spacing w:line="500" w:lineRule="atLeast"/>
              <w:ind w:firstLine="480" w:firstLineChars="200"/>
              <w:rPr>
                <w:bCs/>
                <w:sz w:val="24"/>
              </w:rPr>
            </w:pPr>
            <w:r>
              <w:rPr>
                <w:rFonts w:hint="eastAsia"/>
                <w:bCs/>
                <w:sz w:val="24"/>
              </w:rPr>
              <w:t>现有工程生产废水和生活污水经处理达标后，全部回用于生产系统，不外排。现有工程主要污染物排放量汇总见下表。</w:t>
            </w:r>
          </w:p>
          <w:p w14:paraId="45AA5C8D">
            <w:pPr>
              <w:pStyle w:val="48"/>
              <w:numPr>
                <w:ilvl w:val="2"/>
                <w:numId w:val="2"/>
              </w:numPr>
              <w:spacing w:line="500" w:lineRule="atLeast"/>
              <w:ind w:firstLineChars="0"/>
              <w:jc w:val="center"/>
              <w:rPr>
                <w:b/>
                <w:sz w:val="24"/>
              </w:rPr>
            </w:pPr>
            <w:r>
              <w:rPr>
                <w:rFonts w:hint="eastAsia"/>
                <w:b/>
                <w:sz w:val="24"/>
              </w:rPr>
              <w:t>现有工程主要污染物排放量汇总表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3568"/>
              <w:gridCol w:w="2646"/>
            </w:tblGrid>
            <w:tr w14:paraId="77F8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84" w:type="pct"/>
                  <w:shd w:val="clear" w:color="auto" w:fill="auto"/>
                  <w:vAlign w:val="center"/>
                </w:tcPr>
                <w:p w14:paraId="0C0B53A1">
                  <w:pPr>
                    <w:spacing w:line="240" w:lineRule="exact"/>
                    <w:jc w:val="center"/>
                    <w:rPr>
                      <w:color w:val="auto"/>
                      <w:szCs w:val="21"/>
                    </w:rPr>
                  </w:pPr>
                  <w:r>
                    <w:rPr>
                      <w:color w:val="auto"/>
                      <w:szCs w:val="21"/>
                    </w:rPr>
                    <w:t>类别</w:t>
                  </w:r>
                </w:p>
              </w:tc>
              <w:tc>
                <w:tcPr>
                  <w:tcW w:w="2248" w:type="pct"/>
                  <w:shd w:val="clear" w:color="auto" w:fill="auto"/>
                  <w:vAlign w:val="center"/>
                </w:tcPr>
                <w:p w14:paraId="455B389F">
                  <w:pPr>
                    <w:spacing w:line="240" w:lineRule="exact"/>
                    <w:jc w:val="center"/>
                    <w:rPr>
                      <w:color w:val="auto"/>
                      <w:szCs w:val="21"/>
                    </w:rPr>
                  </w:pPr>
                  <w:r>
                    <w:rPr>
                      <w:color w:val="auto"/>
                      <w:szCs w:val="21"/>
                    </w:rPr>
                    <w:t>污染物</w:t>
                  </w:r>
                </w:p>
              </w:tc>
              <w:tc>
                <w:tcPr>
                  <w:tcW w:w="1667" w:type="pct"/>
                  <w:shd w:val="clear" w:color="auto" w:fill="auto"/>
                  <w:vAlign w:val="center"/>
                </w:tcPr>
                <w:p w14:paraId="0ECF0DCA">
                  <w:pPr>
                    <w:spacing w:line="240" w:lineRule="exact"/>
                    <w:jc w:val="center"/>
                    <w:rPr>
                      <w:color w:val="auto"/>
                      <w:szCs w:val="21"/>
                    </w:rPr>
                  </w:pPr>
                  <w:r>
                    <w:rPr>
                      <w:color w:val="auto"/>
                      <w:szCs w:val="21"/>
                      <w:lang w:bidi="ar"/>
                    </w:rPr>
                    <w:t>排放量</w:t>
                  </w:r>
                  <w:r>
                    <w:rPr>
                      <w:color w:val="auto"/>
                      <w:szCs w:val="21"/>
                    </w:rPr>
                    <w:t>（t/a）</w:t>
                  </w:r>
                </w:p>
              </w:tc>
            </w:tr>
            <w:tr w14:paraId="440D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restart"/>
                  <w:shd w:val="clear" w:color="auto" w:fill="auto"/>
                  <w:vAlign w:val="center"/>
                </w:tcPr>
                <w:p w14:paraId="1E5F0E21">
                  <w:pPr>
                    <w:spacing w:line="240" w:lineRule="exact"/>
                    <w:jc w:val="center"/>
                    <w:rPr>
                      <w:color w:val="auto"/>
                      <w:szCs w:val="21"/>
                    </w:rPr>
                  </w:pPr>
                  <w:r>
                    <w:rPr>
                      <w:color w:val="auto"/>
                      <w:szCs w:val="21"/>
                    </w:rPr>
                    <w:t>废气</w:t>
                  </w:r>
                </w:p>
              </w:tc>
              <w:tc>
                <w:tcPr>
                  <w:tcW w:w="2248" w:type="pct"/>
                  <w:shd w:val="clear" w:color="auto" w:fill="auto"/>
                  <w:vAlign w:val="center"/>
                </w:tcPr>
                <w:p w14:paraId="23B6CB85">
                  <w:pPr>
                    <w:spacing w:line="240" w:lineRule="exact"/>
                    <w:jc w:val="center"/>
                    <w:rPr>
                      <w:color w:val="auto"/>
                      <w:szCs w:val="21"/>
                    </w:rPr>
                  </w:pPr>
                  <w:r>
                    <w:rPr>
                      <w:color w:val="auto"/>
                      <w:szCs w:val="21"/>
                    </w:rPr>
                    <w:t>颗粒物</w:t>
                  </w:r>
                </w:p>
              </w:tc>
              <w:tc>
                <w:tcPr>
                  <w:tcW w:w="1667" w:type="pct"/>
                  <w:shd w:val="clear" w:color="auto" w:fill="auto"/>
                  <w:vAlign w:val="center"/>
                </w:tcPr>
                <w:p w14:paraId="221663A1">
                  <w:pPr>
                    <w:spacing w:line="240" w:lineRule="exact"/>
                    <w:jc w:val="center"/>
                    <w:rPr>
                      <w:color w:val="auto"/>
                      <w:szCs w:val="21"/>
                    </w:rPr>
                  </w:pPr>
                  <w:r>
                    <w:rPr>
                      <w:color w:val="auto"/>
                      <w:szCs w:val="21"/>
                    </w:rPr>
                    <w:t>3512.729</w:t>
                  </w:r>
                </w:p>
              </w:tc>
            </w:tr>
            <w:tr w14:paraId="16C6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1D217544">
                  <w:pPr>
                    <w:spacing w:line="240" w:lineRule="exact"/>
                    <w:jc w:val="center"/>
                    <w:rPr>
                      <w:color w:val="auto"/>
                      <w:szCs w:val="21"/>
                    </w:rPr>
                  </w:pPr>
                </w:p>
              </w:tc>
              <w:tc>
                <w:tcPr>
                  <w:tcW w:w="2248" w:type="pct"/>
                  <w:shd w:val="clear" w:color="auto" w:fill="auto"/>
                  <w:vAlign w:val="center"/>
                </w:tcPr>
                <w:p w14:paraId="772DA624">
                  <w:pPr>
                    <w:spacing w:line="240" w:lineRule="exact"/>
                    <w:jc w:val="center"/>
                    <w:rPr>
                      <w:color w:val="auto"/>
                      <w:szCs w:val="21"/>
                    </w:rPr>
                  </w:pPr>
                  <w:r>
                    <w:rPr>
                      <w:color w:val="auto"/>
                      <w:szCs w:val="21"/>
                    </w:rPr>
                    <w:t>SO</w:t>
                  </w:r>
                  <w:r>
                    <w:rPr>
                      <w:color w:val="auto"/>
                      <w:szCs w:val="21"/>
                      <w:vertAlign w:val="subscript"/>
                    </w:rPr>
                    <w:t>2</w:t>
                  </w:r>
                </w:p>
              </w:tc>
              <w:tc>
                <w:tcPr>
                  <w:tcW w:w="1667" w:type="pct"/>
                  <w:shd w:val="clear" w:color="auto" w:fill="auto"/>
                  <w:vAlign w:val="center"/>
                </w:tcPr>
                <w:p w14:paraId="3382EC69">
                  <w:pPr>
                    <w:spacing w:line="240" w:lineRule="exact"/>
                    <w:jc w:val="center"/>
                    <w:rPr>
                      <w:color w:val="auto"/>
                      <w:szCs w:val="21"/>
                    </w:rPr>
                  </w:pPr>
                  <w:r>
                    <w:rPr>
                      <w:color w:val="auto"/>
                      <w:szCs w:val="21"/>
                    </w:rPr>
                    <w:t>2501.558</w:t>
                  </w:r>
                </w:p>
              </w:tc>
            </w:tr>
            <w:tr w14:paraId="6EC1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592E6051">
                  <w:pPr>
                    <w:spacing w:line="240" w:lineRule="exact"/>
                    <w:jc w:val="center"/>
                    <w:rPr>
                      <w:color w:val="auto"/>
                      <w:szCs w:val="21"/>
                    </w:rPr>
                  </w:pPr>
                </w:p>
              </w:tc>
              <w:tc>
                <w:tcPr>
                  <w:tcW w:w="2248" w:type="pct"/>
                  <w:shd w:val="clear" w:color="auto" w:fill="auto"/>
                  <w:vAlign w:val="center"/>
                </w:tcPr>
                <w:p w14:paraId="3B320BDA">
                  <w:pPr>
                    <w:spacing w:line="240" w:lineRule="exact"/>
                    <w:jc w:val="center"/>
                    <w:rPr>
                      <w:color w:val="auto"/>
                      <w:szCs w:val="21"/>
                    </w:rPr>
                  </w:pPr>
                  <w:r>
                    <w:rPr>
                      <w:color w:val="auto"/>
                      <w:szCs w:val="21"/>
                    </w:rPr>
                    <w:t>NO</w:t>
                  </w:r>
                  <w:r>
                    <w:rPr>
                      <w:color w:val="auto"/>
                      <w:szCs w:val="21"/>
                      <w:vertAlign w:val="subscript"/>
                    </w:rPr>
                    <w:t>X</w:t>
                  </w:r>
                </w:p>
              </w:tc>
              <w:tc>
                <w:tcPr>
                  <w:tcW w:w="1667" w:type="pct"/>
                  <w:shd w:val="clear" w:color="auto" w:fill="auto"/>
                  <w:vAlign w:val="center"/>
                </w:tcPr>
                <w:p w14:paraId="265D5E03">
                  <w:pPr>
                    <w:spacing w:line="240" w:lineRule="exact"/>
                    <w:jc w:val="center"/>
                    <w:rPr>
                      <w:color w:val="auto"/>
                      <w:szCs w:val="21"/>
                    </w:rPr>
                  </w:pPr>
                  <w:r>
                    <w:rPr>
                      <w:color w:val="auto"/>
                      <w:szCs w:val="21"/>
                    </w:rPr>
                    <w:t>4752.69</w:t>
                  </w:r>
                </w:p>
              </w:tc>
            </w:tr>
            <w:tr w14:paraId="39BD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2600AF94">
                  <w:pPr>
                    <w:spacing w:line="240" w:lineRule="exact"/>
                    <w:jc w:val="center"/>
                    <w:rPr>
                      <w:color w:val="auto"/>
                      <w:szCs w:val="21"/>
                    </w:rPr>
                  </w:pPr>
                </w:p>
              </w:tc>
              <w:tc>
                <w:tcPr>
                  <w:tcW w:w="2248" w:type="pct"/>
                  <w:shd w:val="clear" w:color="auto" w:fill="auto"/>
                  <w:vAlign w:val="center"/>
                </w:tcPr>
                <w:p w14:paraId="291066B8">
                  <w:pPr>
                    <w:spacing w:line="240" w:lineRule="exact"/>
                    <w:jc w:val="center"/>
                    <w:rPr>
                      <w:color w:val="auto"/>
                      <w:szCs w:val="21"/>
                    </w:rPr>
                  </w:pPr>
                  <w:r>
                    <w:rPr>
                      <w:color w:val="auto"/>
                      <w:szCs w:val="21"/>
                    </w:rPr>
                    <w:t>VOCs</w:t>
                  </w:r>
                </w:p>
              </w:tc>
              <w:tc>
                <w:tcPr>
                  <w:tcW w:w="1667" w:type="pct"/>
                  <w:shd w:val="clear" w:color="auto" w:fill="auto"/>
                  <w:vAlign w:val="center"/>
                </w:tcPr>
                <w:p w14:paraId="1A27D223">
                  <w:pPr>
                    <w:spacing w:line="240" w:lineRule="exact"/>
                    <w:jc w:val="center"/>
                    <w:rPr>
                      <w:color w:val="auto"/>
                      <w:szCs w:val="21"/>
                    </w:rPr>
                  </w:pPr>
                  <w:r>
                    <w:rPr>
                      <w:color w:val="auto"/>
                      <w:szCs w:val="21"/>
                      <w:lang w:bidi="ar"/>
                    </w:rPr>
                    <w:t>162.92</w:t>
                  </w:r>
                </w:p>
              </w:tc>
            </w:tr>
            <w:tr w14:paraId="4C46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67ECD4F0">
                  <w:pPr>
                    <w:spacing w:line="240" w:lineRule="exact"/>
                    <w:jc w:val="center"/>
                    <w:rPr>
                      <w:color w:val="auto"/>
                      <w:szCs w:val="21"/>
                    </w:rPr>
                  </w:pPr>
                </w:p>
              </w:tc>
              <w:tc>
                <w:tcPr>
                  <w:tcW w:w="2248" w:type="pct"/>
                  <w:shd w:val="clear" w:color="auto" w:fill="auto"/>
                  <w:vAlign w:val="center"/>
                </w:tcPr>
                <w:p w14:paraId="5AAA80D4">
                  <w:pPr>
                    <w:spacing w:line="240" w:lineRule="exact"/>
                    <w:jc w:val="center"/>
                    <w:rPr>
                      <w:color w:val="auto"/>
                      <w:szCs w:val="21"/>
                    </w:rPr>
                  </w:pPr>
                  <w:r>
                    <w:rPr>
                      <w:color w:val="auto"/>
                      <w:szCs w:val="21"/>
                    </w:rPr>
                    <w:t>NH</w:t>
                  </w:r>
                  <w:r>
                    <w:rPr>
                      <w:color w:val="auto"/>
                      <w:szCs w:val="21"/>
                      <w:vertAlign w:val="subscript"/>
                    </w:rPr>
                    <w:t>3</w:t>
                  </w:r>
                </w:p>
              </w:tc>
              <w:tc>
                <w:tcPr>
                  <w:tcW w:w="1667" w:type="pct"/>
                  <w:shd w:val="clear" w:color="auto" w:fill="auto"/>
                  <w:vAlign w:val="center"/>
                </w:tcPr>
                <w:p w14:paraId="73258CB3">
                  <w:pPr>
                    <w:spacing w:line="240" w:lineRule="exact"/>
                    <w:jc w:val="center"/>
                    <w:rPr>
                      <w:color w:val="auto"/>
                      <w:szCs w:val="21"/>
                    </w:rPr>
                  </w:pPr>
                  <w:r>
                    <w:rPr>
                      <w:color w:val="auto"/>
                      <w:szCs w:val="21"/>
                      <w:lang w:bidi="ar"/>
                    </w:rPr>
                    <w:t>4.99</w:t>
                  </w:r>
                </w:p>
              </w:tc>
            </w:tr>
            <w:tr w14:paraId="3C27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4CE9DD6D">
                  <w:pPr>
                    <w:spacing w:line="240" w:lineRule="exact"/>
                    <w:jc w:val="center"/>
                    <w:rPr>
                      <w:color w:val="auto"/>
                      <w:szCs w:val="21"/>
                    </w:rPr>
                  </w:pPr>
                </w:p>
              </w:tc>
              <w:tc>
                <w:tcPr>
                  <w:tcW w:w="2248" w:type="pct"/>
                  <w:shd w:val="clear" w:color="auto" w:fill="auto"/>
                  <w:vAlign w:val="center"/>
                </w:tcPr>
                <w:p w14:paraId="74ABF9E7">
                  <w:pPr>
                    <w:spacing w:line="240" w:lineRule="exact"/>
                    <w:jc w:val="center"/>
                    <w:rPr>
                      <w:color w:val="auto"/>
                      <w:szCs w:val="21"/>
                    </w:rPr>
                  </w:pPr>
                  <w:r>
                    <w:rPr>
                      <w:color w:val="auto"/>
                      <w:szCs w:val="21"/>
                    </w:rPr>
                    <w:t>硫酸雾</w:t>
                  </w:r>
                </w:p>
              </w:tc>
              <w:tc>
                <w:tcPr>
                  <w:tcW w:w="1667" w:type="pct"/>
                  <w:shd w:val="clear" w:color="auto" w:fill="auto"/>
                  <w:vAlign w:val="center"/>
                </w:tcPr>
                <w:p w14:paraId="0FDF1B58">
                  <w:pPr>
                    <w:spacing w:line="240" w:lineRule="exact"/>
                    <w:jc w:val="center"/>
                    <w:rPr>
                      <w:color w:val="auto"/>
                      <w:szCs w:val="21"/>
                      <w:lang w:bidi="ar"/>
                    </w:rPr>
                  </w:pPr>
                  <w:r>
                    <w:rPr>
                      <w:color w:val="auto"/>
                      <w:szCs w:val="21"/>
                      <w:lang w:bidi="ar"/>
                    </w:rPr>
                    <w:t>0.364</w:t>
                  </w:r>
                </w:p>
              </w:tc>
            </w:tr>
            <w:tr w14:paraId="12AB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667A6C71">
                  <w:pPr>
                    <w:spacing w:line="240" w:lineRule="exact"/>
                    <w:jc w:val="center"/>
                    <w:rPr>
                      <w:color w:val="auto"/>
                      <w:szCs w:val="21"/>
                    </w:rPr>
                  </w:pPr>
                </w:p>
              </w:tc>
              <w:tc>
                <w:tcPr>
                  <w:tcW w:w="2248" w:type="pct"/>
                  <w:shd w:val="clear" w:color="auto" w:fill="auto"/>
                  <w:vAlign w:val="center"/>
                </w:tcPr>
                <w:p w14:paraId="68D9C99C">
                  <w:pPr>
                    <w:spacing w:line="240" w:lineRule="exact"/>
                    <w:jc w:val="center"/>
                    <w:rPr>
                      <w:color w:val="auto"/>
                      <w:szCs w:val="21"/>
                    </w:rPr>
                  </w:pPr>
                  <w:r>
                    <w:rPr>
                      <w:color w:val="auto"/>
                      <w:szCs w:val="21"/>
                    </w:rPr>
                    <w:t>H</w:t>
                  </w:r>
                  <w:r>
                    <w:rPr>
                      <w:color w:val="auto"/>
                      <w:szCs w:val="21"/>
                      <w:vertAlign w:val="subscript"/>
                    </w:rPr>
                    <w:t>2</w:t>
                  </w:r>
                  <w:r>
                    <w:rPr>
                      <w:color w:val="auto"/>
                      <w:szCs w:val="21"/>
                    </w:rPr>
                    <w:t>S</w:t>
                  </w:r>
                </w:p>
              </w:tc>
              <w:tc>
                <w:tcPr>
                  <w:tcW w:w="1667" w:type="pct"/>
                  <w:shd w:val="clear" w:color="auto" w:fill="auto"/>
                  <w:vAlign w:val="center"/>
                </w:tcPr>
                <w:p w14:paraId="2305A459">
                  <w:pPr>
                    <w:spacing w:line="240" w:lineRule="exact"/>
                    <w:jc w:val="center"/>
                    <w:rPr>
                      <w:color w:val="auto"/>
                      <w:szCs w:val="21"/>
                    </w:rPr>
                  </w:pPr>
                  <w:r>
                    <w:rPr>
                      <w:color w:val="auto"/>
                      <w:szCs w:val="21"/>
                      <w:lang w:bidi="ar"/>
                    </w:rPr>
                    <w:t>1.14</w:t>
                  </w:r>
                </w:p>
              </w:tc>
            </w:tr>
            <w:tr w14:paraId="7EAE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6CDEF5C2">
                  <w:pPr>
                    <w:spacing w:line="240" w:lineRule="exact"/>
                    <w:jc w:val="center"/>
                    <w:rPr>
                      <w:color w:val="auto"/>
                      <w:szCs w:val="21"/>
                    </w:rPr>
                  </w:pPr>
                </w:p>
              </w:tc>
              <w:tc>
                <w:tcPr>
                  <w:tcW w:w="2248" w:type="pct"/>
                  <w:shd w:val="clear" w:color="auto" w:fill="auto"/>
                  <w:vAlign w:val="center"/>
                </w:tcPr>
                <w:p w14:paraId="447E181F">
                  <w:pPr>
                    <w:spacing w:line="240" w:lineRule="exact"/>
                    <w:jc w:val="center"/>
                    <w:rPr>
                      <w:color w:val="auto"/>
                      <w:szCs w:val="21"/>
                    </w:rPr>
                  </w:pPr>
                  <w:r>
                    <w:rPr>
                      <w:color w:val="auto"/>
                      <w:spacing w:val="10"/>
                      <w:szCs w:val="21"/>
                    </w:rPr>
                    <w:t>酚类</w:t>
                  </w:r>
                </w:p>
              </w:tc>
              <w:tc>
                <w:tcPr>
                  <w:tcW w:w="1667" w:type="pct"/>
                  <w:shd w:val="clear" w:color="auto" w:fill="auto"/>
                  <w:vAlign w:val="center"/>
                </w:tcPr>
                <w:p w14:paraId="3489ECC5">
                  <w:pPr>
                    <w:spacing w:line="240" w:lineRule="exact"/>
                    <w:jc w:val="center"/>
                    <w:rPr>
                      <w:color w:val="auto"/>
                      <w:szCs w:val="21"/>
                    </w:rPr>
                  </w:pPr>
                  <w:r>
                    <w:rPr>
                      <w:color w:val="auto"/>
                      <w:szCs w:val="21"/>
                      <w:lang w:bidi="ar"/>
                    </w:rPr>
                    <w:t>0.09</w:t>
                  </w:r>
                </w:p>
              </w:tc>
            </w:tr>
            <w:tr w14:paraId="627F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765B3C62">
                  <w:pPr>
                    <w:spacing w:line="240" w:lineRule="exact"/>
                    <w:jc w:val="center"/>
                    <w:rPr>
                      <w:color w:val="auto"/>
                      <w:szCs w:val="21"/>
                    </w:rPr>
                  </w:pPr>
                </w:p>
              </w:tc>
              <w:tc>
                <w:tcPr>
                  <w:tcW w:w="2248" w:type="pct"/>
                  <w:shd w:val="clear" w:color="auto" w:fill="auto"/>
                  <w:vAlign w:val="center"/>
                </w:tcPr>
                <w:p w14:paraId="09F844CF">
                  <w:pPr>
                    <w:spacing w:line="240" w:lineRule="exact"/>
                    <w:jc w:val="center"/>
                    <w:rPr>
                      <w:color w:val="auto"/>
                      <w:szCs w:val="21"/>
                    </w:rPr>
                  </w:pPr>
                  <w:r>
                    <w:rPr>
                      <w:color w:val="auto"/>
                      <w:spacing w:val="10"/>
                      <w:szCs w:val="21"/>
                    </w:rPr>
                    <w:t>HCN</w:t>
                  </w:r>
                </w:p>
              </w:tc>
              <w:tc>
                <w:tcPr>
                  <w:tcW w:w="1667" w:type="pct"/>
                  <w:shd w:val="clear" w:color="auto" w:fill="auto"/>
                  <w:vAlign w:val="center"/>
                </w:tcPr>
                <w:p w14:paraId="081E9AF5">
                  <w:pPr>
                    <w:spacing w:line="240" w:lineRule="exact"/>
                    <w:jc w:val="center"/>
                    <w:rPr>
                      <w:color w:val="auto"/>
                      <w:szCs w:val="21"/>
                    </w:rPr>
                  </w:pPr>
                  <w:r>
                    <w:rPr>
                      <w:color w:val="auto"/>
                      <w:szCs w:val="21"/>
                      <w:lang w:bidi="ar"/>
                    </w:rPr>
                    <w:t>2.3</w:t>
                  </w:r>
                </w:p>
              </w:tc>
            </w:tr>
            <w:tr w14:paraId="03A1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6F23B5B2">
                  <w:pPr>
                    <w:spacing w:line="240" w:lineRule="exact"/>
                    <w:jc w:val="center"/>
                    <w:rPr>
                      <w:color w:val="auto"/>
                      <w:szCs w:val="21"/>
                    </w:rPr>
                  </w:pPr>
                </w:p>
              </w:tc>
              <w:tc>
                <w:tcPr>
                  <w:tcW w:w="2248" w:type="pct"/>
                  <w:shd w:val="clear" w:color="auto" w:fill="auto"/>
                  <w:vAlign w:val="center"/>
                </w:tcPr>
                <w:p w14:paraId="03146D30">
                  <w:pPr>
                    <w:spacing w:line="240" w:lineRule="exact"/>
                    <w:jc w:val="center"/>
                    <w:rPr>
                      <w:color w:val="auto"/>
                      <w:szCs w:val="21"/>
                    </w:rPr>
                  </w:pPr>
                  <w:r>
                    <w:rPr>
                      <w:color w:val="auto"/>
                      <w:szCs w:val="21"/>
                    </w:rPr>
                    <w:t>苯</w:t>
                  </w:r>
                </w:p>
              </w:tc>
              <w:tc>
                <w:tcPr>
                  <w:tcW w:w="1667" w:type="pct"/>
                  <w:shd w:val="clear" w:color="auto" w:fill="auto"/>
                  <w:vAlign w:val="center"/>
                </w:tcPr>
                <w:p w14:paraId="4E56B725">
                  <w:pPr>
                    <w:spacing w:line="240" w:lineRule="exact"/>
                    <w:jc w:val="center"/>
                    <w:rPr>
                      <w:color w:val="auto"/>
                      <w:szCs w:val="21"/>
                    </w:rPr>
                  </w:pPr>
                  <w:r>
                    <w:rPr>
                      <w:color w:val="auto"/>
                      <w:szCs w:val="21"/>
                      <w:lang w:bidi="ar"/>
                    </w:rPr>
                    <w:t>20.98</w:t>
                  </w:r>
                </w:p>
              </w:tc>
            </w:tr>
            <w:tr w14:paraId="6A5C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42D1923F">
                  <w:pPr>
                    <w:spacing w:line="240" w:lineRule="exact"/>
                    <w:jc w:val="center"/>
                    <w:rPr>
                      <w:color w:val="auto"/>
                      <w:szCs w:val="21"/>
                    </w:rPr>
                  </w:pPr>
                </w:p>
              </w:tc>
              <w:tc>
                <w:tcPr>
                  <w:tcW w:w="2248" w:type="pct"/>
                  <w:shd w:val="clear" w:color="auto" w:fill="auto"/>
                  <w:vAlign w:val="center"/>
                </w:tcPr>
                <w:p w14:paraId="3D73288F">
                  <w:pPr>
                    <w:spacing w:line="240" w:lineRule="exact"/>
                    <w:jc w:val="center"/>
                    <w:rPr>
                      <w:color w:val="auto"/>
                      <w:szCs w:val="21"/>
                    </w:rPr>
                  </w:pPr>
                  <w:r>
                    <w:rPr>
                      <w:color w:val="auto"/>
                      <w:szCs w:val="21"/>
                    </w:rPr>
                    <w:t>BaP（kg/a）</w:t>
                  </w:r>
                </w:p>
              </w:tc>
              <w:tc>
                <w:tcPr>
                  <w:tcW w:w="1667" w:type="pct"/>
                  <w:shd w:val="clear" w:color="auto" w:fill="auto"/>
                  <w:vAlign w:val="center"/>
                </w:tcPr>
                <w:p w14:paraId="76396C8F">
                  <w:pPr>
                    <w:spacing w:line="240" w:lineRule="exact"/>
                    <w:jc w:val="center"/>
                    <w:rPr>
                      <w:color w:val="auto"/>
                      <w:szCs w:val="21"/>
                    </w:rPr>
                  </w:pPr>
                  <w:r>
                    <w:rPr>
                      <w:color w:val="auto"/>
                      <w:szCs w:val="21"/>
                    </w:rPr>
                    <w:t>7.35</w:t>
                  </w:r>
                </w:p>
              </w:tc>
            </w:tr>
            <w:tr w14:paraId="38E3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41C664D8">
                  <w:pPr>
                    <w:spacing w:line="240" w:lineRule="exact"/>
                    <w:jc w:val="center"/>
                    <w:rPr>
                      <w:color w:val="auto"/>
                      <w:szCs w:val="21"/>
                    </w:rPr>
                  </w:pPr>
                </w:p>
              </w:tc>
              <w:tc>
                <w:tcPr>
                  <w:tcW w:w="2248" w:type="pct"/>
                  <w:shd w:val="clear" w:color="auto" w:fill="auto"/>
                  <w:vAlign w:val="center"/>
                </w:tcPr>
                <w:p w14:paraId="4B462861">
                  <w:pPr>
                    <w:spacing w:line="240" w:lineRule="exact"/>
                    <w:jc w:val="center"/>
                    <w:rPr>
                      <w:color w:val="auto"/>
                      <w:szCs w:val="21"/>
                    </w:rPr>
                  </w:pPr>
                  <w:r>
                    <w:rPr>
                      <w:color w:val="auto"/>
                      <w:szCs w:val="21"/>
                    </w:rPr>
                    <w:t>氟化物</w:t>
                  </w:r>
                </w:p>
              </w:tc>
              <w:tc>
                <w:tcPr>
                  <w:tcW w:w="1667" w:type="pct"/>
                  <w:shd w:val="clear" w:color="auto" w:fill="auto"/>
                  <w:vAlign w:val="center"/>
                </w:tcPr>
                <w:p w14:paraId="5A018DDD">
                  <w:pPr>
                    <w:spacing w:line="240" w:lineRule="exact"/>
                    <w:jc w:val="center"/>
                    <w:rPr>
                      <w:color w:val="auto"/>
                      <w:szCs w:val="21"/>
                    </w:rPr>
                  </w:pPr>
                  <w:r>
                    <w:rPr>
                      <w:color w:val="auto"/>
                      <w:szCs w:val="21"/>
                      <w:lang w:bidi="ar"/>
                    </w:rPr>
                    <w:t>10.5</w:t>
                  </w:r>
                </w:p>
              </w:tc>
            </w:tr>
            <w:tr w14:paraId="589B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2646173E">
                  <w:pPr>
                    <w:spacing w:line="240" w:lineRule="exact"/>
                    <w:jc w:val="center"/>
                    <w:rPr>
                      <w:color w:val="auto"/>
                      <w:szCs w:val="21"/>
                    </w:rPr>
                  </w:pPr>
                </w:p>
              </w:tc>
              <w:tc>
                <w:tcPr>
                  <w:tcW w:w="2248" w:type="pct"/>
                  <w:shd w:val="clear" w:color="auto" w:fill="auto"/>
                  <w:vAlign w:val="center"/>
                </w:tcPr>
                <w:p w14:paraId="2510F5F5">
                  <w:pPr>
                    <w:spacing w:line="240" w:lineRule="exact"/>
                    <w:jc w:val="center"/>
                    <w:rPr>
                      <w:color w:val="auto"/>
                      <w:szCs w:val="21"/>
                    </w:rPr>
                  </w:pPr>
                  <w:r>
                    <w:rPr>
                      <w:color w:val="auto"/>
                      <w:szCs w:val="21"/>
                    </w:rPr>
                    <w:t>二噁英类（g-TEQ/a）</w:t>
                  </w:r>
                </w:p>
              </w:tc>
              <w:tc>
                <w:tcPr>
                  <w:tcW w:w="1667" w:type="pct"/>
                  <w:shd w:val="clear" w:color="auto" w:fill="auto"/>
                  <w:vAlign w:val="center"/>
                </w:tcPr>
                <w:p w14:paraId="0AEEF171">
                  <w:pPr>
                    <w:spacing w:line="240" w:lineRule="exact"/>
                    <w:jc w:val="center"/>
                    <w:rPr>
                      <w:color w:val="auto"/>
                      <w:szCs w:val="21"/>
                    </w:rPr>
                  </w:pPr>
                  <w:r>
                    <w:rPr>
                      <w:color w:val="auto"/>
                      <w:szCs w:val="21"/>
                      <w:lang w:bidi="ar"/>
                    </w:rPr>
                    <w:t>6.88</w:t>
                  </w:r>
                </w:p>
              </w:tc>
            </w:tr>
            <w:tr w14:paraId="7E5B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shd w:val="clear" w:color="auto" w:fill="auto"/>
                  <w:vAlign w:val="center"/>
                </w:tcPr>
                <w:p w14:paraId="27A5FF72">
                  <w:pPr>
                    <w:spacing w:line="240" w:lineRule="exact"/>
                    <w:jc w:val="center"/>
                    <w:rPr>
                      <w:color w:val="auto"/>
                      <w:szCs w:val="21"/>
                    </w:rPr>
                  </w:pPr>
                  <w:r>
                    <w:rPr>
                      <w:color w:val="auto"/>
                      <w:szCs w:val="21"/>
                    </w:rPr>
                    <w:t>废水</w:t>
                  </w:r>
                </w:p>
              </w:tc>
              <w:tc>
                <w:tcPr>
                  <w:tcW w:w="2248" w:type="pct"/>
                  <w:shd w:val="clear" w:color="auto" w:fill="auto"/>
                  <w:vAlign w:val="center"/>
                </w:tcPr>
                <w:p w14:paraId="09227740">
                  <w:pPr>
                    <w:spacing w:line="240" w:lineRule="exact"/>
                    <w:jc w:val="center"/>
                    <w:rPr>
                      <w:color w:val="auto"/>
                      <w:szCs w:val="21"/>
                    </w:rPr>
                  </w:pPr>
                  <w:r>
                    <w:rPr>
                      <w:color w:val="auto"/>
                      <w:szCs w:val="21"/>
                    </w:rPr>
                    <w:t>/</w:t>
                  </w:r>
                </w:p>
              </w:tc>
              <w:tc>
                <w:tcPr>
                  <w:tcW w:w="1667" w:type="pct"/>
                  <w:shd w:val="clear" w:color="auto" w:fill="auto"/>
                  <w:vAlign w:val="center"/>
                </w:tcPr>
                <w:p w14:paraId="2592B90B">
                  <w:pPr>
                    <w:spacing w:line="240" w:lineRule="exact"/>
                    <w:jc w:val="center"/>
                    <w:rPr>
                      <w:color w:val="auto"/>
                      <w:szCs w:val="21"/>
                      <w:lang w:bidi="ar"/>
                    </w:rPr>
                  </w:pPr>
                  <w:r>
                    <w:rPr>
                      <w:color w:val="auto"/>
                      <w:szCs w:val="21"/>
                      <w:lang w:bidi="ar"/>
                    </w:rPr>
                    <w:t>0</w:t>
                  </w:r>
                </w:p>
              </w:tc>
            </w:tr>
            <w:tr w14:paraId="4C7E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restart"/>
                  <w:shd w:val="clear" w:color="auto" w:fill="auto"/>
                  <w:vAlign w:val="center"/>
                </w:tcPr>
                <w:p w14:paraId="214F0DFA">
                  <w:pPr>
                    <w:spacing w:line="240" w:lineRule="exact"/>
                    <w:jc w:val="center"/>
                    <w:rPr>
                      <w:color w:val="auto"/>
                      <w:szCs w:val="21"/>
                    </w:rPr>
                  </w:pPr>
                  <w:r>
                    <w:rPr>
                      <w:color w:val="auto"/>
                      <w:szCs w:val="21"/>
                    </w:rPr>
                    <w:t>固体废物</w:t>
                  </w:r>
                </w:p>
              </w:tc>
              <w:tc>
                <w:tcPr>
                  <w:tcW w:w="2248" w:type="pct"/>
                  <w:shd w:val="clear" w:color="auto" w:fill="auto"/>
                  <w:vAlign w:val="center"/>
                </w:tcPr>
                <w:p w14:paraId="3B3212C4">
                  <w:pPr>
                    <w:spacing w:line="240" w:lineRule="exact"/>
                    <w:jc w:val="center"/>
                    <w:rPr>
                      <w:color w:val="auto"/>
                      <w:szCs w:val="21"/>
                    </w:rPr>
                  </w:pPr>
                  <w:r>
                    <w:rPr>
                      <w:color w:val="auto"/>
                      <w:szCs w:val="21"/>
                    </w:rPr>
                    <w:t>一般工业固废（</w:t>
                  </w:r>
                  <w:r>
                    <w:rPr>
                      <w:rFonts w:hint="eastAsia"/>
                      <w:color w:val="auto"/>
                      <w:szCs w:val="21"/>
                      <w:lang w:val="en-US" w:eastAsia="zh-CN"/>
                    </w:rPr>
                    <w:t>万</w:t>
                  </w:r>
                  <w:r>
                    <w:rPr>
                      <w:color w:val="auto"/>
                      <w:szCs w:val="21"/>
                    </w:rPr>
                    <w:t>t/a）</w:t>
                  </w:r>
                </w:p>
              </w:tc>
              <w:tc>
                <w:tcPr>
                  <w:tcW w:w="1667" w:type="pct"/>
                  <w:shd w:val="clear" w:color="auto" w:fill="auto"/>
                  <w:vAlign w:val="center"/>
                </w:tcPr>
                <w:p w14:paraId="1C964326">
                  <w:pPr>
                    <w:spacing w:line="240" w:lineRule="exact"/>
                    <w:jc w:val="center"/>
                    <w:rPr>
                      <w:rFonts w:hint="default" w:eastAsia="宋体"/>
                      <w:color w:val="auto"/>
                      <w:szCs w:val="21"/>
                      <w:lang w:val="en-US" w:eastAsia="zh-CN" w:bidi="ar"/>
                    </w:rPr>
                  </w:pPr>
                  <w:r>
                    <w:rPr>
                      <w:rFonts w:hint="eastAsia"/>
                      <w:color w:val="auto"/>
                      <w:szCs w:val="21"/>
                      <w:lang w:val="en-US" w:eastAsia="zh-CN" w:bidi="ar"/>
                    </w:rPr>
                    <w:t>624.07</w:t>
                  </w:r>
                </w:p>
              </w:tc>
            </w:tr>
            <w:tr w14:paraId="46B4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3C3B8CC3">
                  <w:pPr>
                    <w:spacing w:line="240" w:lineRule="exact"/>
                    <w:jc w:val="center"/>
                    <w:rPr>
                      <w:color w:val="auto"/>
                      <w:szCs w:val="21"/>
                    </w:rPr>
                  </w:pPr>
                </w:p>
              </w:tc>
              <w:tc>
                <w:tcPr>
                  <w:tcW w:w="2248" w:type="pct"/>
                  <w:shd w:val="clear" w:color="auto" w:fill="auto"/>
                  <w:vAlign w:val="center"/>
                </w:tcPr>
                <w:p w14:paraId="785D3355">
                  <w:pPr>
                    <w:spacing w:line="240" w:lineRule="exact"/>
                    <w:jc w:val="center"/>
                    <w:rPr>
                      <w:color w:val="auto"/>
                      <w:szCs w:val="21"/>
                    </w:rPr>
                  </w:pPr>
                  <w:r>
                    <w:rPr>
                      <w:color w:val="auto"/>
                      <w:szCs w:val="21"/>
                    </w:rPr>
                    <w:t>危险废物（</w:t>
                  </w:r>
                  <w:r>
                    <w:rPr>
                      <w:rFonts w:hint="eastAsia"/>
                      <w:color w:val="auto"/>
                      <w:szCs w:val="21"/>
                      <w:lang w:val="en-US" w:eastAsia="zh-CN"/>
                    </w:rPr>
                    <w:t>万</w:t>
                  </w:r>
                  <w:r>
                    <w:rPr>
                      <w:color w:val="auto"/>
                      <w:szCs w:val="21"/>
                    </w:rPr>
                    <w:t>t/a）</w:t>
                  </w:r>
                </w:p>
              </w:tc>
              <w:tc>
                <w:tcPr>
                  <w:tcW w:w="1667" w:type="pct"/>
                  <w:shd w:val="clear" w:color="auto" w:fill="auto"/>
                  <w:vAlign w:val="center"/>
                </w:tcPr>
                <w:p w14:paraId="5F6D6ADA">
                  <w:pPr>
                    <w:spacing w:line="240" w:lineRule="exact"/>
                    <w:jc w:val="center"/>
                    <w:rPr>
                      <w:rFonts w:hint="default" w:eastAsia="宋体"/>
                      <w:color w:val="auto"/>
                      <w:szCs w:val="21"/>
                      <w:lang w:val="en-US" w:eastAsia="zh-CN" w:bidi="ar"/>
                    </w:rPr>
                  </w:pPr>
                  <w:r>
                    <w:rPr>
                      <w:rFonts w:hint="eastAsia"/>
                      <w:color w:val="auto"/>
                      <w:szCs w:val="21"/>
                      <w:lang w:val="en-US" w:eastAsia="zh-CN" w:bidi="ar"/>
                    </w:rPr>
                    <w:t>5423.06</w:t>
                  </w:r>
                </w:p>
              </w:tc>
            </w:tr>
            <w:tr w14:paraId="3B2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4" w:type="pct"/>
                  <w:vMerge w:val="continue"/>
                  <w:shd w:val="clear" w:color="auto" w:fill="auto"/>
                  <w:vAlign w:val="center"/>
                </w:tcPr>
                <w:p w14:paraId="23E811BE">
                  <w:pPr>
                    <w:spacing w:line="240" w:lineRule="exact"/>
                    <w:jc w:val="center"/>
                    <w:rPr>
                      <w:color w:val="auto"/>
                      <w:szCs w:val="21"/>
                    </w:rPr>
                  </w:pPr>
                </w:p>
              </w:tc>
              <w:tc>
                <w:tcPr>
                  <w:tcW w:w="2248" w:type="pct"/>
                  <w:shd w:val="clear" w:color="auto" w:fill="auto"/>
                  <w:vAlign w:val="center"/>
                </w:tcPr>
                <w:p w14:paraId="3786E001">
                  <w:pPr>
                    <w:spacing w:line="240" w:lineRule="exact"/>
                    <w:jc w:val="center"/>
                    <w:rPr>
                      <w:color w:val="auto"/>
                      <w:szCs w:val="21"/>
                    </w:rPr>
                  </w:pPr>
                  <w:r>
                    <w:rPr>
                      <w:color w:val="auto"/>
                      <w:szCs w:val="21"/>
                    </w:rPr>
                    <w:t>生活垃圾（</w:t>
                  </w:r>
                  <w:r>
                    <w:rPr>
                      <w:rFonts w:hint="eastAsia"/>
                      <w:color w:val="auto"/>
                      <w:szCs w:val="21"/>
                      <w:lang w:val="en-US" w:eastAsia="zh-CN"/>
                    </w:rPr>
                    <w:t>万</w:t>
                  </w:r>
                  <w:r>
                    <w:rPr>
                      <w:color w:val="auto"/>
                      <w:szCs w:val="21"/>
                    </w:rPr>
                    <w:t>t/a）</w:t>
                  </w:r>
                </w:p>
              </w:tc>
              <w:tc>
                <w:tcPr>
                  <w:tcW w:w="1667" w:type="pct"/>
                  <w:shd w:val="clear" w:color="auto" w:fill="auto"/>
                  <w:vAlign w:val="center"/>
                </w:tcPr>
                <w:p w14:paraId="04B83E8B">
                  <w:pPr>
                    <w:spacing w:line="240" w:lineRule="exact"/>
                    <w:jc w:val="center"/>
                    <w:rPr>
                      <w:rFonts w:hint="default" w:eastAsia="宋体"/>
                      <w:color w:val="auto"/>
                      <w:szCs w:val="21"/>
                      <w:lang w:val="en-US" w:eastAsia="zh-CN" w:bidi="ar"/>
                    </w:rPr>
                  </w:pPr>
                  <w:r>
                    <w:rPr>
                      <w:rFonts w:hint="eastAsia"/>
                      <w:color w:val="auto"/>
                      <w:szCs w:val="21"/>
                      <w:lang w:val="en-US" w:eastAsia="zh-CN" w:bidi="ar"/>
                    </w:rPr>
                    <w:t>0.35</w:t>
                  </w:r>
                </w:p>
              </w:tc>
            </w:tr>
          </w:tbl>
          <w:p w14:paraId="6AF4DF2B">
            <w:pPr>
              <w:spacing w:line="500" w:lineRule="atLeast"/>
              <w:ind w:firstLine="482" w:firstLineChars="200"/>
              <w:rPr>
                <w:b/>
                <w:bCs/>
                <w:sz w:val="24"/>
              </w:rPr>
            </w:pPr>
            <w:r>
              <w:rPr>
                <w:rFonts w:hint="eastAsia"/>
                <w:b/>
                <w:bCs/>
                <w:sz w:val="24"/>
              </w:rPr>
              <w:t>4、与排污许可证申请与核发的衔接</w:t>
            </w:r>
          </w:p>
          <w:p w14:paraId="4EEDBED5">
            <w:pPr>
              <w:spacing w:line="500" w:lineRule="atLeast"/>
              <w:ind w:firstLine="480" w:firstLineChars="200"/>
              <w:rPr>
                <w:bCs/>
                <w:sz w:val="24"/>
              </w:rPr>
            </w:pPr>
            <w:r>
              <w:rPr>
                <w:rFonts w:hint="eastAsia"/>
                <w:bCs/>
                <w:sz w:val="24"/>
              </w:rPr>
              <w:t>2017年6月，原防城港市环保局</w:t>
            </w:r>
            <w:r>
              <w:rPr>
                <w:rFonts w:hint="eastAsia"/>
                <w:bCs/>
                <w:sz w:val="24"/>
                <w:lang w:eastAsia="zh-CN"/>
              </w:rPr>
              <w:t>（</w:t>
            </w:r>
            <w:r>
              <w:rPr>
                <w:rFonts w:hint="eastAsia"/>
                <w:bCs/>
                <w:sz w:val="24"/>
                <w:lang w:val="en-US" w:eastAsia="zh-CN"/>
              </w:rPr>
              <w:t>现防城港市生态环境局</w:t>
            </w:r>
            <w:r>
              <w:rPr>
                <w:rFonts w:hint="eastAsia"/>
                <w:bCs/>
                <w:sz w:val="24"/>
                <w:lang w:eastAsia="zh-CN"/>
              </w:rPr>
              <w:t>）</w:t>
            </w:r>
            <w:r>
              <w:rPr>
                <w:rFonts w:hint="eastAsia"/>
                <w:bCs/>
                <w:sz w:val="24"/>
              </w:rPr>
              <w:t>为公司核发了排污许可证，证书编号：9145060075122294X6001P。其后，公司完成了一系列升级改造工程的环评手续，并按相关规定对排污许可证办理了补充申报、延续和变更申请，2023年6月防城港市大数据和行政审批局给公司核发了最新的排污许可证，总量控制指标：颗粒物4062.51t/a、SO</w:t>
            </w:r>
            <w:r>
              <w:rPr>
                <w:rFonts w:hint="eastAsia"/>
                <w:bCs/>
                <w:sz w:val="24"/>
                <w:vertAlign w:val="subscript"/>
              </w:rPr>
              <w:t>2</w:t>
            </w:r>
            <w:r>
              <w:rPr>
                <w:rFonts w:hint="eastAsia"/>
                <w:bCs/>
                <w:sz w:val="24"/>
              </w:rPr>
              <w:t xml:space="preserve"> 2980.55t/a、NO</w:t>
            </w:r>
            <w:r>
              <w:rPr>
                <w:rFonts w:hint="eastAsia"/>
                <w:bCs/>
                <w:sz w:val="24"/>
                <w:vertAlign w:val="subscript"/>
              </w:rPr>
              <w:t>x</w:t>
            </w:r>
            <w:r>
              <w:rPr>
                <w:rFonts w:hint="eastAsia"/>
                <w:bCs/>
                <w:sz w:val="24"/>
              </w:rPr>
              <w:t>5765.14t/a、挥发性有机物171.15t/a。</w:t>
            </w:r>
          </w:p>
          <w:p w14:paraId="7DEA4151">
            <w:pPr>
              <w:spacing w:line="500" w:lineRule="atLeast"/>
              <w:ind w:firstLine="480" w:firstLineChars="200"/>
              <w:rPr>
                <w:bCs/>
                <w:sz w:val="24"/>
              </w:rPr>
            </w:pPr>
            <w:r>
              <w:rPr>
                <w:bCs/>
                <w:sz w:val="24"/>
              </w:rPr>
              <w:t>盛隆公司现</w:t>
            </w:r>
            <w:r>
              <w:rPr>
                <w:rFonts w:hint="eastAsia"/>
                <w:bCs/>
                <w:sz w:val="24"/>
              </w:rPr>
              <w:t>有</w:t>
            </w:r>
            <w:r>
              <w:rPr>
                <w:bCs/>
                <w:sz w:val="24"/>
              </w:rPr>
              <w:t>工程主要污染物排放量与排污许可证许可排放量对比分析结果见</w:t>
            </w:r>
            <w:r>
              <w:rPr>
                <w:rFonts w:hint="eastAsia"/>
                <w:bCs/>
                <w:sz w:val="24"/>
              </w:rPr>
              <w:t>下</w:t>
            </w:r>
            <w:r>
              <w:rPr>
                <w:bCs/>
                <w:sz w:val="24"/>
              </w:rPr>
              <w:t>表。</w:t>
            </w:r>
          </w:p>
          <w:p w14:paraId="6F80042B">
            <w:pPr>
              <w:pStyle w:val="48"/>
              <w:numPr>
                <w:ilvl w:val="2"/>
                <w:numId w:val="2"/>
              </w:numPr>
              <w:spacing w:line="500" w:lineRule="atLeast"/>
              <w:ind w:firstLineChars="0"/>
              <w:jc w:val="center"/>
              <w:rPr>
                <w:b/>
                <w:sz w:val="24"/>
              </w:rPr>
            </w:pPr>
            <w:r>
              <w:rPr>
                <w:rFonts w:hint="eastAsia"/>
                <w:b/>
                <w:sz w:val="24"/>
              </w:rPr>
              <w:t>现有工程主要污染物排放量与许可排放量对比表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2300"/>
              <w:gridCol w:w="2604"/>
            </w:tblGrid>
            <w:tr w14:paraId="1471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2AEEF16A">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项目</w:t>
                  </w:r>
                </w:p>
              </w:tc>
              <w:tc>
                <w:tcPr>
                  <w:tcW w:w="1449" w:type="pct"/>
                  <w:tcBorders>
                    <w:top w:val="single" w:color="auto" w:sz="4" w:space="0"/>
                    <w:left w:val="single" w:color="auto" w:sz="4" w:space="0"/>
                    <w:bottom w:val="single" w:color="auto" w:sz="4" w:space="0"/>
                    <w:right w:val="single" w:color="auto" w:sz="4" w:space="0"/>
                  </w:tcBorders>
                  <w:vAlign w:val="center"/>
                </w:tcPr>
                <w:p w14:paraId="6378B641">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现有工程排放量</w:t>
                  </w:r>
                  <w:r>
                    <w:rPr>
                      <w:rFonts w:hint="eastAsia" w:ascii="Times New Roman" w:hAnsi="Times New Roman"/>
                    </w:rPr>
                    <w:t>（t/a）</w:t>
                  </w:r>
                </w:p>
              </w:tc>
              <w:tc>
                <w:tcPr>
                  <w:tcW w:w="1640" w:type="pct"/>
                  <w:tcBorders>
                    <w:top w:val="single" w:color="auto" w:sz="4" w:space="0"/>
                    <w:left w:val="single" w:color="auto" w:sz="4" w:space="0"/>
                    <w:bottom w:val="single" w:color="auto" w:sz="4" w:space="0"/>
                    <w:right w:val="single" w:color="auto" w:sz="4" w:space="0"/>
                  </w:tcBorders>
                  <w:vAlign w:val="center"/>
                </w:tcPr>
                <w:p w14:paraId="60318F54">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许可排放量</w:t>
                  </w:r>
                  <w:r>
                    <w:rPr>
                      <w:rFonts w:hint="eastAsia" w:ascii="Times New Roman" w:hAnsi="Times New Roman"/>
                    </w:rPr>
                    <w:t>（t/a）</w:t>
                  </w:r>
                </w:p>
              </w:tc>
            </w:tr>
            <w:tr w14:paraId="242C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62D6B03E">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颗粒物</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7DBEDE0A">
                  <w:pPr>
                    <w:spacing w:line="240" w:lineRule="exact"/>
                    <w:jc w:val="center"/>
                    <w:rPr>
                      <w:rFonts w:ascii="Times New Roman" w:hAnsi="Times New Roman" w:eastAsia="宋体" w:cs="Times New Roman"/>
                      <w:color w:val="auto"/>
                      <w:kern w:val="2"/>
                      <w:sz w:val="21"/>
                      <w:szCs w:val="21"/>
                      <w:lang w:val="en-US" w:eastAsia="zh-CN" w:bidi="ar-SA"/>
                    </w:rPr>
                  </w:pPr>
                  <w:r>
                    <w:rPr>
                      <w:color w:val="auto"/>
                      <w:szCs w:val="21"/>
                    </w:rPr>
                    <w:t>3512.729</w:t>
                  </w:r>
                </w:p>
              </w:tc>
              <w:tc>
                <w:tcPr>
                  <w:tcW w:w="1640" w:type="pct"/>
                  <w:tcBorders>
                    <w:top w:val="single" w:color="auto" w:sz="4" w:space="0"/>
                    <w:left w:val="single" w:color="auto" w:sz="4" w:space="0"/>
                    <w:bottom w:val="single" w:color="auto" w:sz="4" w:space="0"/>
                    <w:right w:val="single" w:color="auto" w:sz="4" w:space="0"/>
                  </w:tcBorders>
                  <w:vAlign w:val="center"/>
                </w:tcPr>
                <w:p w14:paraId="13BCF268">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4062.51</w:t>
                  </w:r>
                </w:p>
              </w:tc>
            </w:tr>
            <w:tr w14:paraId="79EB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34EBB1F4">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SO</w:t>
                  </w:r>
                  <w:r>
                    <w:rPr>
                      <w:rFonts w:ascii="Times New Roman" w:hAnsi="Times New Roman"/>
                      <w:vertAlign w:val="subscript"/>
                    </w:rPr>
                    <w:t>2</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32182451">
                  <w:pPr>
                    <w:spacing w:line="240" w:lineRule="exact"/>
                    <w:jc w:val="center"/>
                    <w:rPr>
                      <w:rFonts w:ascii="Times New Roman" w:hAnsi="Times New Roman" w:eastAsia="宋体" w:cs="Times New Roman"/>
                      <w:color w:val="auto"/>
                      <w:kern w:val="2"/>
                      <w:sz w:val="21"/>
                      <w:szCs w:val="21"/>
                      <w:lang w:val="en-US" w:eastAsia="zh-CN" w:bidi="ar-SA"/>
                    </w:rPr>
                  </w:pPr>
                  <w:r>
                    <w:rPr>
                      <w:color w:val="auto"/>
                      <w:szCs w:val="21"/>
                    </w:rPr>
                    <w:t>2501.558</w:t>
                  </w:r>
                </w:p>
              </w:tc>
              <w:tc>
                <w:tcPr>
                  <w:tcW w:w="1640" w:type="pct"/>
                  <w:tcBorders>
                    <w:top w:val="single" w:color="auto" w:sz="4" w:space="0"/>
                    <w:left w:val="single" w:color="auto" w:sz="4" w:space="0"/>
                    <w:bottom w:val="single" w:color="auto" w:sz="4" w:space="0"/>
                    <w:right w:val="single" w:color="auto" w:sz="4" w:space="0"/>
                  </w:tcBorders>
                  <w:vAlign w:val="center"/>
                </w:tcPr>
                <w:p w14:paraId="285DE2BA">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2980.55</w:t>
                  </w:r>
                </w:p>
              </w:tc>
            </w:tr>
            <w:tr w14:paraId="405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0D557520">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NO</w:t>
                  </w:r>
                  <w:r>
                    <w:rPr>
                      <w:rFonts w:ascii="Times New Roman" w:hAnsi="Times New Roman"/>
                      <w:vertAlign w:val="subscript"/>
                    </w:rPr>
                    <w:t>X</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0541283E">
                  <w:pPr>
                    <w:spacing w:line="240" w:lineRule="exact"/>
                    <w:jc w:val="center"/>
                    <w:rPr>
                      <w:rFonts w:ascii="Times New Roman" w:hAnsi="Times New Roman" w:eastAsia="宋体" w:cs="Times New Roman"/>
                      <w:color w:val="auto"/>
                      <w:kern w:val="2"/>
                      <w:sz w:val="21"/>
                      <w:szCs w:val="21"/>
                      <w:lang w:val="en-US" w:eastAsia="zh-CN" w:bidi="ar-SA"/>
                    </w:rPr>
                  </w:pPr>
                  <w:r>
                    <w:rPr>
                      <w:color w:val="auto"/>
                      <w:szCs w:val="21"/>
                    </w:rPr>
                    <w:t>4752.69</w:t>
                  </w:r>
                </w:p>
              </w:tc>
              <w:tc>
                <w:tcPr>
                  <w:tcW w:w="1640" w:type="pct"/>
                  <w:tcBorders>
                    <w:top w:val="single" w:color="auto" w:sz="4" w:space="0"/>
                    <w:left w:val="single" w:color="auto" w:sz="4" w:space="0"/>
                    <w:bottom w:val="single" w:color="auto" w:sz="4" w:space="0"/>
                    <w:right w:val="single" w:color="auto" w:sz="4" w:space="0"/>
                  </w:tcBorders>
                  <w:vAlign w:val="center"/>
                </w:tcPr>
                <w:p w14:paraId="76E48F79">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5765.14</w:t>
                  </w:r>
                </w:p>
              </w:tc>
            </w:tr>
            <w:tr w14:paraId="1FC4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07A02D87">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VOCs</w:t>
                  </w:r>
                </w:p>
              </w:tc>
              <w:tc>
                <w:tcPr>
                  <w:tcW w:w="1449" w:type="pct"/>
                  <w:tcBorders>
                    <w:top w:val="single" w:color="auto" w:sz="4" w:space="0"/>
                    <w:left w:val="single" w:color="auto" w:sz="4" w:space="0"/>
                    <w:bottom w:val="single" w:color="auto" w:sz="4" w:space="0"/>
                    <w:right w:val="single" w:color="auto" w:sz="4" w:space="0"/>
                  </w:tcBorders>
                  <w:vAlign w:val="center"/>
                </w:tcPr>
                <w:p w14:paraId="3315D0C2">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lang w:bidi="ar"/>
                    </w:rPr>
                    <w:t>162.92</w:t>
                  </w:r>
                </w:p>
              </w:tc>
              <w:tc>
                <w:tcPr>
                  <w:tcW w:w="1640" w:type="pct"/>
                  <w:tcBorders>
                    <w:top w:val="single" w:color="auto" w:sz="4" w:space="0"/>
                    <w:left w:val="single" w:color="auto" w:sz="4" w:space="0"/>
                    <w:bottom w:val="single" w:color="auto" w:sz="4" w:space="0"/>
                    <w:right w:val="single" w:color="auto" w:sz="4" w:space="0"/>
                  </w:tcBorders>
                  <w:vAlign w:val="center"/>
                </w:tcPr>
                <w:p w14:paraId="3136C3A2">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171.15</w:t>
                  </w:r>
                </w:p>
              </w:tc>
            </w:tr>
            <w:tr w14:paraId="0ED0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2BF17F87">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NH</w:t>
                  </w:r>
                  <w:r>
                    <w:rPr>
                      <w:rFonts w:ascii="Times New Roman" w:hAnsi="Times New Roman"/>
                      <w:vertAlign w:val="subscript"/>
                    </w:rPr>
                    <w:t>3</w:t>
                  </w:r>
                </w:p>
              </w:tc>
              <w:tc>
                <w:tcPr>
                  <w:tcW w:w="1449" w:type="pct"/>
                  <w:tcBorders>
                    <w:top w:val="single" w:color="auto" w:sz="4" w:space="0"/>
                    <w:left w:val="single" w:color="auto" w:sz="4" w:space="0"/>
                    <w:bottom w:val="single" w:color="auto" w:sz="4" w:space="0"/>
                    <w:right w:val="single" w:color="auto" w:sz="4" w:space="0"/>
                  </w:tcBorders>
                  <w:vAlign w:val="center"/>
                </w:tcPr>
                <w:p w14:paraId="2C184AF5">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lang w:bidi="ar"/>
                    </w:rPr>
                    <w:t>3.92</w:t>
                  </w:r>
                </w:p>
              </w:tc>
              <w:tc>
                <w:tcPr>
                  <w:tcW w:w="1640" w:type="pct"/>
                  <w:tcBorders>
                    <w:top w:val="single" w:color="auto" w:sz="4" w:space="0"/>
                    <w:left w:val="single" w:color="auto" w:sz="4" w:space="0"/>
                    <w:bottom w:val="single" w:color="auto" w:sz="4" w:space="0"/>
                    <w:right w:val="single" w:color="auto" w:sz="4" w:space="0"/>
                  </w:tcBorders>
                  <w:vAlign w:val="center"/>
                </w:tcPr>
                <w:p w14:paraId="52069E06">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w:t>
                  </w:r>
                </w:p>
              </w:tc>
            </w:tr>
            <w:tr w14:paraId="3024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7BC86CCC">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H</w:t>
                  </w:r>
                  <w:r>
                    <w:rPr>
                      <w:rFonts w:ascii="Times New Roman" w:hAnsi="Times New Roman"/>
                      <w:vertAlign w:val="subscript"/>
                    </w:rPr>
                    <w:t>2</w:t>
                  </w:r>
                  <w:r>
                    <w:rPr>
                      <w:rFonts w:ascii="Times New Roman" w:hAnsi="Times New Roman"/>
                    </w:rPr>
                    <w:t>S</w:t>
                  </w:r>
                </w:p>
              </w:tc>
              <w:tc>
                <w:tcPr>
                  <w:tcW w:w="1449" w:type="pct"/>
                  <w:tcBorders>
                    <w:top w:val="single" w:color="auto" w:sz="4" w:space="0"/>
                    <w:left w:val="single" w:color="auto" w:sz="4" w:space="0"/>
                    <w:bottom w:val="single" w:color="auto" w:sz="4" w:space="0"/>
                    <w:right w:val="single" w:color="auto" w:sz="4" w:space="0"/>
                  </w:tcBorders>
                  <w:vAlign w:val="center"/>
                </w:tcPr>
                <w:p w14:paraId="5E57C3AC">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lang w:bidi="ar"/>
                    </w:rPr>
                    <w:t>1.14</w:t>
                  </w:r>
                </w:p>
              </w:tc>
              <w:tc>
                <w:tcPr>
                  <w:tcW w:w="1640" w:type="pct"/>
                  <w:tcBorders>
                    <w:top w:val="single" w:color="auto" w:sz="4" w:space="0"/>
                    <w:left w:val="single" w:color="auto" w:sz="4" w:space="0"/>
                    <w:bottom w:val="single" w:color="auto" w:sz="4" w:space="0"/>
                    <w:right w:val="single" w:color="auto" w:sz="4" w:space="0"/>
                  </w:tcBorders>
                  <w:vAlign w:val="center"/>
                </w:tcPr>
                <w:p w14:paraId="72DD5D15">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w:t>
                  </w:r>
                </w:p>
              </w:tc>
            </w:tr>
            <w:tr w14:paraId="6DD7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6B5BA836">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spacing w:val="10"/>
                    </w:rPr>
                    <w:t>酚类</w:t>
                  </w:r>
                </w:p>
              </w:tc>
              <w:tc>
                <w:tcPr>
                  <w:tcW w:w="1449" w:type="pct"/>
                  <w:tcBorders>
                    <w:top w:val="single" w:color="auto" w:sz="4" w:space="0"/>
                    <w:left w:val="single" w:color="auto" w:sz="4" w:space="0"/>
                    <w:bottom w:val="single" w:color="auto" w:sz="4" w:space="0"/>
                    <w:right w:val="single" w:color="auto" w:sz="4" w:space="0"/>
                  </w:tcBorders>
                  <w:vAlign w:val="center"/>
                </w:tcPr>
                <w:p w14:paraId="6E44720C">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lang w:bidi="ar"/>
                    </w:rPr>
                    <w:t>0.09</w:t>
                  </w:r>
                </w:p>
              </w:tc>
              <w:tc>
                <w:tcPr>
                  <w:tcW w:w="1640" w:type="pct"/>
                  <w:tcBorders>
                    <w:top w:val="single" w:color="auto" w:sz="4" w:space="0"/>
                    <w:left w:val="single" w:color="auto" w:sz="4" w:space="0"/>
                    <w:bottom w:val="single" w:color="auto" w:sz="4" w:space="0"/>
                    <w:right w:val="single" w:color="auto" w:sz="4" w:space="0"/>
                  </w:tcBorders>
                  <w:vAlign w:val="center"/>
                </w:tcPr>
                <w:p w14:paraId="777168CE">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w:t>
                  </w:r>
                </w:p>
              </w:tc>
            </w:tr>
            <w:tr w14:paraId="74FF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16B3B757">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spacing w:val="10"/>
                    </w:rPr>
                    <w:t>HCN</w:t>
                  </w:r>
                </w:p>
              </w:tc>
              <w:tc>
                <w:tcPr>
                  <w:tcW w:w="1449" w:type="pct"/>
                  <w:tcBorders>
                    <w:top w:val="single" w:color="auto" w:sz="4" w:space="0"/>
                    <w:left w:val="single" w:color="auto" w:sz="4" w:space="0"/>
                    <w:bottom w:val="single" w:color="auto" w:sz="4" w:space="0"/>
                    <w:right w:val="single" w:color="auto" w:sz="4" w:space="0"/>
                  </w:tcBorders>
                  <w:vAlign w:val="center"/>
                </w:tcPr>
                <w:p w14:paraId="385E62E7">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lang w:bidi="ar"/>
                    </w:rPr>
                    <w:t>2.3</w:t>
                  </w:r>
                </w:p>
              </w:tc>
              <w:tc>
                <w:tcPr>
                  <w:tcW w:w="1640" w:type="pct"/>
                  <w:tcBorders>
                    <w:top w:val="single" w:color="auto" w:sz="4" w:space="0"/>
                    <w:left w:val="single" w:color="auto" w:sz="4" w:space="0"/>
                    <w:bottom w:val="single" w:color="auto" w:sz="4" w:space="0"/>
                    <w:right w:val="single" w:color="auto" w:sz="4" w:space="0"/>
                  </w:tcBorders>
                  <w:vAlign w:val="center"/>
                </w:tcPr>
                <w:p w14:paraId="6C51781C">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w:t>
                  </w:r>
                </w:p>
              </w:tc>
            </w:tr>
            <w:tr w14:paraId="12B0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4A40EB20">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苯</w:t>
                  </w:r>
                </w:p>
              </w:tc>
              <w:tc>
                <w:tcPr>
                  <w:tcW w:w="1449" w:type="pct"/>
                  <w:tcBorders>
                    <w:top w:val="single" w:color="auto" w:sz="4" w:space="0"/>
                    <w:left w:val="single" w:color="auto" w:sz="4" w:space="0"/>
                    <w:bottom w:val="single" w:color="auto" w:sz="4" w:space="0"/>
                    <w:right w:val="single" w:color="auto" w:sz="4" w:space="0"/>
                  </w:tcBorders>
                  <w:vAlign w:val="center"/>
                </w:tcPr>
                <w:p w14:paraId="7DFA34D5">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lang w:bidi="ar"/>
                    </w:rPr>
                    <w:t>20.98</w:t>
                  </w:r>
                </w:p>
              </w:tc>
              <w:tc>
                <w:tcPr>
                  <w:tcW w:w="1640" w:type="pct"/>
                  <w:tcBorders>
                    <w:top w:val="single" w:color="auto" w:sz="4" w:space="0"/>
                    <w:left w:val="single" w:color="auto" w:sz="4" w:space="0"/>
                    <w:bottom w:val="single" w:color="auto" w:sz="4" w:space="0"/>
                    <w:right w:val="single" w:color="auto" w:sz="4" w:space="0"/>
                  </w:tcBorders>
                  <w:vAlign w:val="center"/>
                </w:tcPr>
                <w:p w14:paraId="155AE485">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w:t>
                  </w:r>
                </w:p>
              </w:tc>
            </w:tr>
            <w:tr w14:paraId="3A32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28C2B964">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BaP（kg/a）</w:t>
                  </w:r>
                </w:p>
              </w:tc>
              <w:tc>
                <w:tcPr>
                  <w:tcW w:w="1449" w:type="pct"/>
                  <w:tcBorders>
                    <w:top w:val="single" w:color="auto" w:sz="4" w:space="0"/>
                    <w:left w:val="single" w:color="auto" w:sz="4" w:space="0"/>
                    <w:bottom w:val="single" w:color="auto" w:sz="4" w:space="0"/>
                    <w:right w:val="single" w:color="auto" w:sz="4" w:space="0"/>
                  </w:tcBorders>
                  <w:vAlign w:val="center"/>
                </w:tcPr>
                <w:p w14:paraId="5A9357CF">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7.35</w:t>
                  </w:r>
                </w:p>
              </w:tc>
              <w:tc>
                <w:tcPr>
                  <w:tcW w:w="1640" w:type="pct"/>
                  <w:tcBorders>
                    <w:top w:val="single" w:color="auto" w:sz="4" w:space="0"/>
                    <w:left w:val="single" w:color="auto" w:sz="4" w:space="0"/>
                    <w:bottom w:val="single" w:color="auto" w:sz="4" w:space="0"/>
                    <w:right w:val="single" w:color="auto" w:sz="4" w:space="0"/>
                  </w:tcBorders>
                  <w:vAlign w:val="center"/>
                </w:tcPr>
                <w:p w14:paraId="41FE6097">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w:t>
                  </w:r>
                </w:p>
              </w:tc>
            </w:tr>
            <w:tr w14:paraId="3305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6B74D1CB">
                  <w:pPr>
                    <w:snapToGrid w:val="0"/>
                    <w:jc w:val="center"/>
                    <w:rPr>
                      <w:szCs w:val="21"/>
                    </w:rPr>
                  </w:pPr>
                  <w:r>
                    <w:rPr>
                      <w:szCs w:val="21"/>
                    </w:rPr>
                    <w:t>氟化物</w:t>
                  </w:r>
                </w:p>
              </w:tc>
              <w:tc>
                <w:tcPr>
                  <w:tcW w:w="1449" w:type="pct"/>
                  <w:tcBorders>
                    <w:top w:val="single" w:color="auto" w:sz="4" w:space="0"/>
                    <w:left w:val="single" w:color="auto" w:sz="4" w:space="0"/>
                    <w:bottom w:val="single" w:color="auto" w:sz="4" w:space="0"/>
                    <w:right w:val="single" w:color="auto" w:sz="4" w:space="0"/>
                  </w:tcBorders>
                  <w:vAlign w:val="center"/>
                </w:tcPr>
                <w:p w14:paraId="426A5D59">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lang w:bidi="ar"/>
                    </w:rPr>
                    <w:t>10.5</w:t>
                  </w:r>
                </w:p>
              </w:tc>
              <w:tc>
                <w:tcPr>
                  <w:tcW w:w="1640" w:type="pct"/>
                  <w:tcBorders>
                    <w:top w:val="single" w:color="auto" w:sz="4" w:space="0"/>
                    <w:left w:val="single" w:color="auto" w:sz="4" w:space="0"/>
                    <w:bottom w:val="single" w:color="auto" w:sz="4" w:space="0"/>
                    <w:right w:val="single" w:color="auto" w:sz="4" w:space="0"/>
                  </w:tcBorders>
                  <w:vAlign w:val="center"/>
                </w:tcPr>
                <w:p w14:paraId="7CF65531">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w:t>
                  </w:r>
                </w:p>
              </w:tc>
            </w:tr>
            <w:tr w14:paraId="46EE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09" w:type="pct"/>
                  <w:tcBorders>
                    <w:top w:val="single" w:color="auto" w:sz="4" w:space="0"/>
                    <w:left w:val="single" w:color="auto" w:sz="4" w:space="0"/>
                    <w:bottom w:val="single" w:color="auto" w:sz="4" w:space="0"/>
                    <w:right w:val="single" w:color="auto" w:sz="4" w:space="0"/>
                  </w:tcBorders>
                  <w:vAlign w:val="center"/>
                </w:tcPr>
                <w:p w14:paraId="2980C7E1">
                  <w:pPr>
                    <w:snapToGrid w:val="0"/>
                    <w:ind w:left="-105" w:leftChars="-50" w:right="-105" w:rightChars="-50"/>
                    <w:jc w:val="center"/>
                    <w:rPr>
                      <w:szCs w:val="21"/>
                    </w:rPr>
                  </w:pPr>
                  <w:r>
                    <w:rPr>
                      <w:szCs w:val="21"/>
                    </w:rPr>
                    <w:t>二噁英类（g-TEQ/a）</w:t>
                  </w:r>
                </w:p>
              </w:tc>
              <w:tc>
                <w:tcPr>
                  <w:tcW w:w="1449" w:type="pct"/>
                  <w:tcBorders>
                    <w:top w:val="single" w:color="auto" w:sz="4" w:space="0"/>
                    <w:left w:val="single" w:color="auto" w:sz="4" w:space="0"/>
                    <w:bottom w:val="single" w:color="auto" w:sz="4" w:space="0"/>
                    <w:right w:val="single" w:color="auto" w:sz="4" w:space="0"/>
                  </w:tcBorders>
                  <w:vAlign w:val="center"/>
                </w:tcPr>
                <w:p w14:paraId="39276DAC">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lang w:bidi="ar"/>
                    </w:rPr>
                  </w:pPr>
                  <w:r>
                    <w:rPr>
                      <w:rFonts w:ascii="Times New Roman" w:hAnsi="Times New Roman"/>
                      <w:lang w:bidi="ar"/>
                    </w:rPr>
                    <w:t>6.88</w:t>
                  </w:r>
                </w:p>
              </w:tc>
              <w:tc>
                <w:tcPr>
                  <w:tcW w:w="1640" w:type="pct"/>
                  <w:tcBorders>
                    <w:top w:val="single" w:color="auto" w:sz="4" w:space="0"/>
                    <w:left w:val="single" w:color="auto" w:sz="4" w:space="0"/>
                    <w:bottom w:val="single" w:color="auto" w:sz="4" w:space="0"/>
                    <w:right w:val="single" w:color="auto" w:sz="4" w:space="0"/>
                  </w:tcBorders>
                  <w:vAlign w:val="center"/>
                </w:tcPr>
                <w:p w14:paraId="792FDC07">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w:t>
                  </w:r>
                </w:p>
              </w:tc>
            </w:tr>
          </w:tbl>
          <w:p w14:paraId="296ABACD">
            <w:pPr>
              <w:spacing w:line="500" w:lineRule="atLeast"/>
              <w:ind w:firstLine="480" w:firstLineChars="200"/>
              <w:rPr>
                <w:bCs/>
                <w:sz w:val="24"/>
              </w:rPr>
            </w:pPr>
            <w:r>
              <w:rPr>
                <w:rFonts w:hint="eastAsia"/>
                <w:bCs/>
                <w:sz w:val="24"/>
              </w:rPr>
              <w:t>由表可知，盛隆公司现有工程颗粒物、SO</w:t>
            </w:r>
            <w:r>
              <w:rPr>
                <w:rFonts w:hint="eastAsia"/>
                <w:bCs/>
                <w:sz w:val="24"/>
                <w:vertAlign w:val="subscript"/>
              </w:rPr>
              <w:t>2</w:t>
            </w:r>
            <w:r>
              <w:rPr>
                <w:rFonts w:hint="eastAsia"/>
                <w:bCs/>
                <w:sz w:val="24"/>
              </w:rPr>
              <w:t>、NOx、VOCs排放量满足排污许可证许可排放量的要求。</w:t>
            </w:r>
          </w:p>
          <w:p w14:paraId="4F388E1D">
            <w:pPr>
              <w:spacing w:line="500" w:lineRule="atLeast"/>
              <w:ind w:firstLine="482" w:firstLineChars="200"/>
              <w:rPr>
                <w:b/>
                <w:bCs/>
                <w:sz w:val="24"/>
              </w:rPr>
            </w:pPr>
            <w:r>
              <w:rPr>
                <w:rFonts w:hint="eastAsia"/>
                <w:b/>
                <w:bCs/>
                <w:sz w:val="24"/>
                <w:lang w:val="en-US" w:eastAsia="zh-CN"/>
              </w:rPr>
              <w:t>5</w:t>
            </w:r>
            <w:r>
              <w:rPr>
                <w:rFonts w:hint="eastAsia"/>
                <w:b/>
                <w:bCs/>
                <w:sz w:val="24"/>
              </w:rPr>
              <w:t>、现有项目存在的环境问题及整改要求</w:t>
            </w:r>
          </w:p>
          <w:p w14:paraId="5923CB38">
            <w:pPr>
              <w:spacing w:line="500" w:lineRule="atLeast"/>
              <w:ind w:firstLine="480" w:firstLineChars="200"/>
              <w:rPr>
                <w:rFonts w:hint="default" w:eastAsia="宋体"/>
                <w:bCs/>
                <w:sz w:val="24"/>
                <w:lang w:val="en-US" w:eastAsia="zh-CN"/>
              </w:rPr>
            </w:pPr>
            <w:r>
              <w:rPr>
                <w:rFonts w:hint="eastAsia"/>
                <w:bCs/>
                <w:sz w:val="24"/>
                <w:lang w:eastAsia="zh-CN"/>
              </w:rPr>
              <w:t>（</w:t>
            </w:r>
            <w:r>
              <w:rPr>
                <w:rFonts w:hint="eastAsia"/>
                <w:bCs/>
                <w:sz w:val="24"/>
                <w:lang w:val="en-US" w:eastAsia="zh-CN"/>
              </w:rPr>
              <w:t>1</w:t>
            </w:r>
            <w:r>
              <w:rPr>
                <w:rFonts w:hint="eastAsia"/>
                <w:bCs/>
                <w:sz w:val="24"/>
                <w:lang w:eastAsia="zh-CN"/>
              </w:rPr>
              <w:t>）</w:t>
            </w:r>
            <w:r>
              <w:rPr>
                <w:rFonts w:hint="eastAsia"/>
                <w:bCs/>
                <w:sz w:val="24"/>
                <w:lang w:val="en-US" w:eastAsia="zh-CN"/>
              </w:rPr>
              <w:t>环保投诉情况</w:t>
            </w:r>
          </w:p>
          <w:p w14:paraId="651826FD">
            <w:pPr>
              <w:spacing w:line="500" w:lineRule="atLeast"/>
              <w:ind w:firstLine="480" w:firstLineChars="200"/>
              <w:rPr>
                <w:rFonts w:hint="eastAsia"/>
                <w:bCs/>
                <w:sz w:val="24"/>
              </w:rPr>
            </w:pPr>
            <w:r>
              <w:rPr>
                <w:rFonts w:hint="eastAsia"/>
                <w:bCs/>
                <w:sz w:val="24"/>
              </w:rPr>
              <w:t>通过现场踏勘、资料收集和座谈了解到，</w:t>
            </w:r>
            <w:r>
              <w:rPr>
                <w:rFonts w:hint="eastAsia"/>
                <w:bCs/>
                <w:sz w:val="24"/>
                <w:lang w:val="en-US" w:eastAsia="zh-CN"/>
              </w:rPr>
              <w:t>历史</w:t>
            </w:r>
            <w:r>
              <w:rPr>
                <w:rFonts w:hint="eastAsia"/>
                <w:bCs/>
                <w:sz w:val="24"/>
              </w:rPr>
              <w:t>以来盛隆公司接到的环保投诉及市生态环境保护综合行政执法支队（以下简称“执法支队”）现场监察核实情况如下：</w:t>
            </w:r>
          </w:p>
          <w:p w14:paraId="5B12FA77">
            <w:pPr>
              <w:spacing w:line="500" w:lineRule="atLeast"/>
              <w:ind w:firstLine="480" w:firstLineChars="200"/>
              <w:rPr>
                <w:rFonts w:hint="eastAsia"/>
                <w:bCs/>
                <w:sz w:val="24"/>
              </w:rPr>
            </w:pPr>
            <w:r>
              <w:rPr>
                <w:rFonts w:hint="eastAsia"/>
                <w:bCs/>
                <w:sz w:val="24"/>
                <w:lang w:val="en-US" w:eastAsia="zh-CN"/>
              </w:rPr>
              <w:t>1、</w:t>
            </w:r>
            <w:r>
              <w:rPr>
                <w:rFonts w:hint="eastAsia"/>
                <w:bCs/>
                <w:sz w:val="24"/>
              </w:rPr>
              <w:t>2021年1月27日，执法支队根据群众投诉，对盛隆公司排放工业废水和噪音扰民问题进行调查处理。现场检查时，发现东南面技改雨排口排出的水体中部分呈浅黑色现象；现场未发现具体产生比较大的噪声源。处理意见或要求：盛隆公司立即对技改南面雨排口的雨污水收集区域废水排放情况进行排查，并立即对目前外排水组织采样监测，了解水质状况，如发现污水外排现象，立即切断污水排放源头；针对群众反映的噪声扰民问题，立即组织查找噪声产生源头，按要求开展整治，减少噪声环境影响。</w:t>
            </w:r>
          </w:p>
          <w:p w14:paraId="4AB40795">
            <w:pPr>
              <w:spacing w:line="500" w:lineRule="atLeast"/>
              <w:ind w:firstLine="480" w:firstLineChars="200"/>
              <w:rPr>
                <w:rFonts w:hint="eastAsia"/>
                <w:bCs/>
                <w:sz w:val="24"/>
                <w:lang w:eastAsia="zh-CN"/>
              </w:rPr>
            </w:pPr>
            <w:r>
              <w:rPr>
                <w:rFonts w:hint="eastAsia"/>
                <w:bCs/>
                <w:sz w:val="24"/>
              </w:rPr>
              <w:t>盛隆公司环保中心工作人员陪同执法支队完成现场检查后，立即组织相关部门人员对东南面技改雨排口存在的问题开展排查溯源和整改工作，并于 2020年4月1日向防城港市生态环境局上报排查和整改结果</w:t>
            </w:r>
            <w:r>
              <w:rPr>
                <w:rFonts w:hint="eastAsia"/>
                <w:bCs/>
                <w:sz w:val="24"/>
                <w:lang w:eastAsia="zh-CN"/>
              </w:rPr>
              <w:t>。</w:t>
            </w:r>
          </w:p>
          <w:p w14:paraId="4E296434">
            <w:pPr>
              <w:spacing w:line="500" w:lineRule="atLeast"/>
              <w:ind w:firstLine="480" w:firstLineChars="200"/>
              <w:rPr>
                <w:rFonts w:hint="eastAsia"/>
                <w:bCs/>
                <w:sz w:val="24"/>
                <w:lang w:eastAsia="zh-CN"/>
              </w:rPr>
            </w:pPr>
            <w:r>
              <w:rPr>
                <w:rFonts w:hint="eastAsia"/>
                <w:bCs/>
                <w:sz w:val="24"/>
                <w:lang w:val="en-US" w:eastAsia="zh-CN"/>
              </w:rPr>
              <w:t>2、</w:t>
            </w:r>
            <w:r>
              <w:rPr>
                <w:rFonts w:hint="eastAsia"/>
                <w:bCs/>
                <w:sz w:val="24"/>
                <w:lang w:eastAsia="zh-CN"/>
              </w:rPr>
              <w:t>2021年5月6日，执法支队根据群众投诉的噪声影响问题对盛隆公司进行现场检查。检查时，盛隆公司6#煤气发电站项目正在建设，群众投诉反应的噪声影响设备为项目临时用于管道清扫的末端处理消声器，该消声器主要用于对管道内存在的杂质、垃圾等通过蒸汽吹散后排出；现场检查时，该消声器正间歇性运行，有明显刺耳声音，对周围环境影响明显，该消声器于2021年5月5日中午11时开始使用，每天运行20~30次，每次1~2分钟，预计于5月10日停止使用。处理意见或要求：严格对该消声器的运行管理，严格遵守噪声法规定作息时间，禁止在中午12时至下午14时和晚上22时至第二天6时时间段运行；严格遵守后停止运行时间，5月10日前停止。</w:t>
            </w:r>
          </w:p>
          <w:p w14:paraId="7742FA5F">
            <w:pPr>
              <w:spacing w:line="500" w:lineRule="atLeast"/>
              <w:ind w:firstLine="480" w:firstLineChars="200"/>
              <w:rPr>
                <w:rFonts w:hint="default"/>
                <w:bCs/>
                <w:sz w:val="24"/>
                <w:lang w:val="en-US" w:eastAsia="zh-CN"/>
              </w:rPr>
            </w:pPr>
            <w:r>
              <w:rPr>
                <w:rFonts w:hint="eastAsia"/>
                <w:bCs/>
                <w:sz w:val="24"/>
                <w:lang w:val="en-US" w:eastAsia="zh-CN"/>
              </w:rPr>
              <w:t>3、2021年8月17日，执法支队根据群众投诉，对盛隆公司炼铁厂4#高炉产生噪音问题进行现场检查。检查时，企业正常生产，污染防治设施正常运行；4#高炉主要产噪设备为助燃风机，该处建有隔音间，降噪效果较明显；4#高炉检修期间（三个月一次），06:51-06:59会进行煤气放散，噪声较大，对周边环境有一定影响；根据企业第二季度咨询监测报告结果，厂界噪声符合《工业企业厂界环境噪声排放标准》（GB12348-2008）。处理意见或要求：尽量减少检修时煤气放散时间，减少对周边环境的影响；做好厂区日常管理，确保噪声稳 定达标排放，按照排污许可证要求，定期开展厂界噪声监测。</w:t>
            </w:r>
          </w:p>
          <w:p w14:paraId="1444496E">
            <w:pPr>
              <w:spacing w:line="500" w:lineRule="atLeast"/>
              <w:ind w:firstLine="480" w:firstLineChars="200"/>
              <w:rPr>
                <w:rFonts w:hint="default"/>
                <w:bCs/>
                <w:sz w:val="24"/>
                <w:lang w:val="en-US" w:eastAsia="zh-CN"/>
              </w:rPr>
            </w:pPr>
            <w:r>
              <w:rPr>
                <w:rFonts w:hint="eastAsia"/>
                <w:bCs/>
                <w:sz w:val="24"/>
                <w:lang w:val="en-US" w:eastAsia="zh-CN"/>
              </w:rPr>
              <w:t>4、2021年9月27日，执法支队根据群众投诉的噪声影响问题对盛隆公司进行现场检查。检查时，盛隆公司北区在进行二期技改项目建设，正在对原1#、2#高炉及其配套的TRT 发电等建筑物进行拆除施工作业，现场噪声源主要为挖 掘机、打桩机、破拆机等施工机械噪声，施工噪声对周围环境造成一定影响。 处理意见或要求：要求盛隆公司在组织施工过程中严格落实噪声污染防治法，严禁在晚上22时至次日凌晨6时、中午12时至14时施工作业，避免对周边环 境和居民休息产生影响。</w:t>
            </w:r>
          </w:p>
          <w:p w14:paraId="7C659816">
            <w:pPr>
              <w:spacing w:line="500" w:lineRule="atLeast"/>
              <w:ind w:firstLine="480" w:firstLineChars="200"/>
              <w:rPr>
                <w:rFonts w:hint="eastAsia"/>
                <w:bCs/>
                <w:sz w:val="24"/>
                <w:lang w:eastAsia="zh-CN"/>
              </w:rPr>
            </w:pPr>
            <w:r>
              <w:rPr>
                <w:rFonts w:hint="eastAsia"/>
                <w:bCs/>
                <w:sz w:val="24"/>
                <w:lang w:val="en-US" w:eastAsia="zh-CN"/>
              </w:rPr>
              <w:t>5、</w:t>
            </w:r>
            <w:r>
              <w:rPr>
                <w:rFonts w:hint="eastAsia"/>
                <w:bCs/>
                <w:sz w:val="24"/>
                <w:lang w:eastAsia="zh-CN"/>
              </w:rPr>
              <w:t>2021年10月18日，执法支队根据群众投诉对盛隆公司进行现场检查。检查时，一区焦化厂冷鼓工段机械化澄清槽刮板机链条拉断检修，检修时有少量煤焦油刺鼻性气味；二期技改施工已按照整改要求落实施工时段控制，以减少拆建施工过程中产生噪声对周边环境的影响。处理意见或要求：尽快完成一区焦化厂冷鼓工段机械化澄清槽刮板机链条打断检修，减少无组织废气排放对周边环境造成影响；继续对技改施工噪声进行严格管控。</w:t>
            </w:r>
          </w:p>
          <w:p w14:paraId="4ACE07AC">
            <w:pPr>
              <w:spacing w:line="500" w:lineRule="atLeast"/>
              <w:ind w:firstLine="480" w:firstLineChars="200"/>
              <w:rPr>
                <w:rFonts w:hint="default"/>
                <w:bCs/>
                <w:sz w:val="24"/>
                <w:lang w:val="en-US" w:eastAsia="zh-CN"/>
              </w:rPr>
            </w:pPr>
            <w:r>
              <w:rPr>
                <w:rFonts w:hint="eastAsia"/>
                <w:bCs/>
                <w:sz w:val="24"/>
                <w:lang w:val="en-US" w:eastAsia="zh-CN"/>
              </w:rPr>
              <w:t>6、2021年11月19日，执法支队根据群众投诉对盛隆公司进行现场检查。检查时，盛隆公司正常生产；11月13日上午，盛隆公司5#高炉因事故造成高炉炉顶煤气放散，持续约5分钟，放散过程中冒黑烟持续约1分钟，高炉煤气含有铁、氧化亚铁、氧化铝、氧化硅和焦炭粉末等物质，对周边环境造成一定影响。盛隆公司于11月15日就此次环保事故如实向市生态环境局进行报告备案。处理意见或要求：加强厂区管理，确保污染防治设施正常运行，污染物浓度达标排放。</w:t>
            </w:r>
          </w:p>
          <w:p w14:paraId="7E9EA322">
            <w:pPr>
              <w:spacing w:line="500" w:lineRule="atLeast"/>
              <w:ind w:firstLine="480" w:firstLineChars="200"/>
              <w:rPr>
                <w:rFonts w:hint="eastAsia" w:eastAsia="宋体"/>
                <w:bCs/>
                <w:sz w:val="24"/>
                <w:lang w:val="en-US" w:eastAsia="zh-CN"/>
              </w:rPr>
            </w:pPr>
            <w:r>
              <w:rPr>
                <w:rFonts w:hint="eastAsia"/>
                <w:bCs/>
                <w:sz w:val="24"/>
                <w:lang w:val="en-US" w:eastAsia="zh-CN"/>
              </w:rPr>
              <w:t>7、2021年12月21日，执法支队根据群众投诉对盛隆公司进行现场检查。检查时，盛隆公司正常生产；企业环保设施正常运行，近期没有出现环保设施故障及其他应急事故；经查看在线监控情况，12月份以来，在线监控没有出现超标情况。处理意见或要求：加强厂区管理，确保污染防治设施正常运行，污染 物稳定达标排放。</w:t>
            </w:r>
          </w:p>
          <w:p w14:paraId="491431A2">
            <w:pPr>
              <w:spacing w:line="500" w:lineRule="atLeast"/>
              <w:ind w:firstLine="480" w:firstLineChars="200"/>
              <w:rPr>
                <w:rFonts w:hint="eastAsia"/>
                <w:bCs/>
                <w:sz w:val="24"/>
              </w:rPr>
            </w:pPr>
            <w:r>
              <w:rPr>
                <w:rFonts w:hint="eastAsia"/>
                <w:bCs/>
                <w:sz w:val="24"/>
                <w:lang w:val="en-US" w:eastAsia="zh-CN"/>
              </w:rPr>
              <w:t>8、</w:t>
            </w:r>
            <w:r>
              <w:rPr>
                <w:rFonts w:hint="eastAsia"/>
                <w:bCs/>
                <w:sz w:val="24"/>
              </w:rPr>
              <w:t>2023年2月4日，根据群众投诉，防城港市生态环境局执法人员到盛隆公司现场检查，发现存在生产设备产生噪声对周边环境造成影响的情况（北面厂界噪声超标），要求对盛隆公司厂区生产设备及噪声污染防治设施进行排查和整改，采取有效措施，减少振动、降低噪声，防止噪声污染。</w:t>
            </w:r>
          </w:p>
          <w:p w14:paraId="7E0AD1FF">
            <w:pPr>
              <w:spacing w:line="500" w:lineRule="atLeast"/>
              <w:ind w:firstLine="480" w:firstLineChars="200"/>
              <w:rPr>
                <w:rFonts w:hint="eastAsia"/>
                <w:bCs/>
                <w:sz w:val="24"/>
              </w:rPr>
            </w:pPr>
            <w:r>
              <w:rPr>
                <w:rFonts w:hint="eastAsia"/>
                <w:bCs/>
                <w:sz w:val="24"/>
              </w:rPr>
              <w:t>2023年以来，盛隆公司已组织开展3轮次的噪声排查整治，对易产生噪声污染的设施设备完成隔音治理及多个生产环节的噪声进行升级改造。2024年，完成了超临界煤气发电站及5#、6#高炉BPRT风机房的噪声治理，根据《广西盛隆冶金有限公司焦化三期焦炉煤气脱硫副产物利用项目竣工环境保护验收监测报告》中2024年8月26日~27日噪声监测数据，厂界四周噪声均可达标。</w:t>
            </w:r>
          </w:p>
          <w:p w14:paraId="02BCAE47">
            <w:pPr>
              <w:spacing w:line="500" w:lineRule="atLeast"/>
              <w:ind w:firstLine="480" w:firstLineChars="200"/>
              <w:rPr>
                <w:rFonts w:hint="eastAsia"/>
                <w:bCs/>
                <w:sz w:val="24"/>
                <w:lang w:val="en-US" w:eastAsia="zh-CN"/>
              </w:rPr>
            </w:pPr>
            <w:r>
              <w:rPr>
                <w:rFonts w:hint="eastAsia"/>
                <w:bCs/>
                <w:sz w:val="24"/>
                <w:lang w:eastAsia="zh-CN"/>
              </w:rPr>
              <w:t>（</w:t>
            </w:r>
            <w:r>
              <w:rPr>
                <w:rFonts w:hint="eastAsia"/>
                <w:bCs/>
                <w:sz w:val="24"/>
                <w:lang w:val="en-US" w:eastAsia="zh-CN"/>
              </w:rPr>
              <w:t>2</w:t>
            </w:r>
            <w:r>
              <w:rPr>
                <w:rFonts w:hint="eastAsia"/>
                <w:bCs/>
                <w:sz w:val="24"/>
                <w:lang w:eastAsia="zh-CN"/>
              </w:rPr>
              <w:t>）</w:t>
            </w:r>
            <w:r>
              <w:rPr>
                <w:rFonts w:hint="eastAsia"/>
                <w:bCs/>
                <w:sz w:val="24"/>
                <w:lang w:val="en-US" w:eastAsia="zh-CN"/>
              </w:rPr>
              <w:t>存在的主要环保问题及整改方案</w:t>
            </w:r>
          </w:p>
          <w:p w14:paraId="72F7D473">
            <w:pPr>
              <w:spacing w:line="500" w:lineRule="atLeast"/>
              <w:ind w:firstLine="480" w:firstLineChars="200"/>
              <w:rPr>
                <w:rFonts w:hint="eastAsia"/>
                <w:bCs/>
                <w:sz w:val="24"/>
                <w:lang w:val="en-US" w:eastAsia="zh-CN"/>
              </w:rPr>
            </w:pPr>
            <w:r>
              <w:rPr>
                <w:rFonts w:hint="default"/>
                <w:bCs/>
                <w:sz w:val="24"/>
                <w:lang w:val="en-US" w:eastAsia="zh-CN"/>
              </w:rPr>
              <w:t>通过资料收集和现场踏勘，</w:t>
            </w:r>
            <w:r>
              <w:rPr>
                <w:rFonts w:hint="eastAsia"/>
                <w:bCs/>
                <w:sz w:val="24"/>
                <w:lang w:val="en-US" w:eastAsia="zh-CN"/>
              </w:rPr>
              <w:t>历史</w:t>
            </w:r>
            <w:r>
              <w:rPr>
                <w:rFonts w:hint="default"/>
                <w:bCs/>
                <w:sz w:val="24"/>
                <w:lang w:val="en-US" w:eastAsia="zh-CN"/>
              </w:rPr>
              <w:t>以来盛隆公司现状工程存在的主要环境问题及整改方案见表</w:t>
            </w:r>
            <w:r>
              <w:rPr>
                <w:rFonts w:hint="eastAsia"/>
                <w:bCs/>
                <w:sz w:val="24"/>
                <w:lang w:val="en-US" w:eastAsia="zh-CN"/>
              </w:rPr>
              <w:t>2-20。</w:t>
            </w:r>
          </w:p>
          <w:p w14:paraId="7CEB85BE">
            <w:pPr>
              <w:pStyle w:val="48"/>
              <w:numPr>
                <w:ilvl w:val="2"/>
                <w:numId w:val="2"/>
              </w:numPr>
              <w:spacing w:line="500" w:lineRule="atLeast"/>
              <w:ind w:firstLineChars="0"/>
              <w:jc w:val="center"/>
              <w:rPr>
                <w:rFonts w:hint="eastAsia"/>
                <w:bCs/>
                <w:sz w:val="24"/>
              </w:rPr>
            </w:pPr>
            <w:r>
              <w:rPr>
                <w:rFonts w:hint="eastAsia"/>
                <w:b/>
                <w:sz w:val="24"/>
              </w:rPr>
              <w:t>盛隆公司现状工程存在的主要环保问题及整改方案一览表</w:t>
            </w:r>
          </w:p>
          <w:tbl>
            <w:tblPr>
              <w:tblStyle w:val="23"/>
              <w:tblW w:w="794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1"/>
              <w:gridCol w:w="2841"/>
              <w:gridCol w:w="3785"/>
              <w:gridCol w:w="908"/>
            </w:tblGrid>
            <w:tr w14:paraId="25E96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dxa"/>
                  <w:tcBorders>
                    <w:tl2br w:val="nil"/>
                    <w:tr2bl w:val="nil"/>
                  </w:tcBorders>
                  <w:vAlign w:val="center"/>
                </w:tcPr>
                <w:p w14:paraId="05DF131D">
                  <w:pPr>
                    <w:pStyle w:val="67"/>
                    <w:spacing w:before="2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841" w:type="dxa"/>
                  <w:tcBorders>
                    <w:tl2br w:val="nil"/>
                    <w:tr2bl w:val="nil"/>
                  </w:tcBorders>
                  <w:vAlign w:val="center"/>
                </w:tcPr>
                <w:p w14:paraId="41109825">
                  <w:pPr>
                    <w:pStyle w:val="67"/>
                    <w:spacing w:before="2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存在的主要环保问题</w:t>
                  </w:r>
                </w:p>
              </w:tc>
              <w:tc>
                <w:tcPr>
                  <w:tcW w:w="3785" w:type="dxa"/>
                  <w:tcBorders>
                    <w:tl2br w:val="nil"/>
                    <w:tr2bl w:val="nil"/>
                  </w:tcBorders>
                  <w:vAlign w:val="center"/>
                </w:tcPr>
                <w:p w14:paraId="0FFFC388">
                  <w:pPr>
                    <w:pStyle w:val="67"/>
                    <w:spacing w:before="2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企业制定的整改方案</w:t>
                  </w:r>
                </w:p>
              </w:tc>
              <w:tc>
                <w:tcPr>
                  <w:tcW w:w="908" w:type="dxa"/>
                  <w:tcBorders>
                    <w:tl2br w:val="nil"/>
                    <w:tr2bl w:val="nil"/>
                  </w:tcBorders>
                  <w:vAlign w:val="center"/>
                </w:tcPr>
                <w:p w14:paraId="40A0A042">
                  <w:pPr>
                    <w:pStyle w:val="67"/>
                    <w:spacing w:before="2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完成进度</w:t>
                  </w:r>
                </w:p>
              </w:tc>
            </w:tr>
            <w:tr w14:paraId="31DD5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dxa"/>
                  <w:tcBorders>
                    <w:tl2br w:val="nil"/>
                    <w:tr2bl w:val="nil"/>
                  </w:tcBorders>
                  <w:vAlign w:val="center"/>
                </w:tcPr>
                <w:p w14:paraId="5DD5CA81">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1</w:t>
                  </w:r>
                </w:p>
              </w:tc>
              <w:tc>
                <w:tcPr>
                  <w:tcW w:w="2841" w:type="dxa"/>
                  <w:tcBorders>
                    <w:tl2br w:val="nil"/>
                    <w:tr2bl w:val="nil"/>
                  </w:tcBorders>
                  <w:shd w:val="clear" w:color="auto" w:fill="auto"/>
                  <w:vAlign w:val="center"/>
                </w:tcPr>
                <w:p w14:paraId="02447EB3">
                  <w:pPr>
                    <w:pStyle w:val="67"/>
                    <w:spacing w:before="1" w:line="240" w:lineRule="exact"/>
                    <w:ind w:left="0" w:leftChars="0" w:right="0" w:rightChars="0" w:firstLine="0" w:firstLineChars="0"/>
                    <w:jc w:val="center"/>
                    <w:rPr>
                      <w:rFonts w:hint="default" w:ascii="宋体" w:hAnsi="宋体" w:eastAsia="宋体" w:cs="宋体"/>
                      <w:kern w:val="2"/>
                      <w:sz w:val="21"/>
                      <w:szCs w:val="21"/>
                      <w:lang w:val="en-US" w:eastAsia="zh-CN" w:bidi="ar-SA"/>
                    </w:rPr>
                  </w:pPr>
                  <w:r>
                    <w:rPr>
                      <w:rFonts w:ascii="Times New Roman" w:hAnsi="Times New Roman" w:eastAsia="Times New Roman" w:cs="Times New Roman"/>
                      <w:sz w:val="21"/>
                      <w:szCs w:val="21"/>
                    </w:rPr>
                    <w:t>2021</w:t>
                  </w:r>
                  <w:r>
                    <w:rPr>
                      <w:rFonts w:ascii="宋体" w:hAnsi="宋体" w:eastAsia="宋体" w:cs="宋体"/>
                      <w:sz w:val="21"/>
                      <w:szCs w:val="21"/>
                    </w:rPr>
                    <w:t>年</w:t>
                  </w:r>
                  <w:r>
                    <w:rPr>
                      <w:rFonts w:ascii="宋体" w:hAnsi="宋体" w:eastAsia="宋体" w:cs="宋体"/>
                      <w:spacing w:val="-41"/>
                      <w:sz w:val="21"/>
                      <w:szCs w:val="21"/>
                    </w:rPr>
                    <w:t xml:space="preserve"> </w:t>
                  </w:r>
                  <w:r>
                    <w:rPr>
                      <w:rFonts w:ascii="Times New Roman" w:hAnsi="Times New Roman" w:eastAsia="Times New Roman" w:cs="Times New Roman"/>
                      <w:sz w:val="21"/>
                      <w:szCs w:val="21"/>
                    </w:rPr>
                    <w:t>11</w:t>
                  </w:r>
                  <w:r>
                    <w:rPr>
                      <w:rFonts w:ascii="宋体" w:hAnsi="宋体" w:eastAsia="宋体" w:cs="宋体"/>
                      <w:sz w:val="21"/>
                      <w:szCs w:val="21"/>
                    </w:rPr>
                    <w:t>月</w:t>
                  </w:r>
                  <w:r>
                    <w:rPr>
                      <w:rFonts w:ascii="宋体" w:hAnsi="宋体" w:eastAsia="宋体" w:cs="宋体"/>
                      <w:spacing w:val="-41"/>
                      <w:sz w:val="21"/>
                      <w:szCs w:val="21"/>
                    </w:rPr>
                    <w:t xml:space="preserve"> </w:t>
                  </w:r>
                  <w:r>
                    <w:rPr>
                      <w:rFonts w:ascii="Times New Roman" w:hAnsi="Times New Roman" w:eastAsia="Times New Roman" w:cs="Times New Roman"/>
                      <w:sz w:val="21"/>
                      <w:szCs w:val="21"/>
                    </w:rPr>
                    <w:t>25~26</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日，防城港市生</w:t>
                  </w:r>
                  <w:r>
                    <w:rPr>
                      <w:rFonts w:ascii="宋体" w:hAnsi="宋体" w:eastAsia="宋体" w:cs="宋体"/>
                      <w:sz w:val="21"/>
                      <w:szCs w:val="21"/>
                    </w:rPr>
                    <w:t>态环境局委托广电计量检测（南宁）</w:t>
                  </w:r>
                  <w:r>
                    <w:rPr>
                      <w:rFonts w:ascii="宋体" w:hAnsi="宋体" w:eastAsia="宋体" w:cs="宋体"/>
                      <w:spacing w:val="-85"/>
                      <w:sz w:val="21"/>
                      <w:szCs w:val="21"/>
                    </w:rPr>
                    <w:t xml:space="preserve"> </w:t>
                  </w:r>
                  <w:r>
                    <w:rPr>
                      <w:rFonts w:ascii="宋体" w:hAnsi="宋体" w:eastAsia="宋体" w:cs="宋体"/>
                      <w:spacing w:val="9"/>
                      <w:sz w:val="21"/>
                      <w:szCs w:val="21"/>
                    </w:rPr>
                    <w:t>有限公司对盛隆公司焦化厂</w:t>
                  </w:r>
                  <w:r>
                    <w:rPr>
                      <w:rFonts w:ascii="Times New Roman" w:hAnsi="Times New Roman" w:eastAsia="Times New Roman" w:cs="Times New Roman"/>
                      <w:spacing w:val="4"/>
                      <w:sz w:val="21"/>
                      <w:szCs w:val="21"/>
                    </w:rPr>
                    <w:t>2#</w:t>
                  </w:r>
                  <w:r>
                    <w:rPr>
                      <w:rFonts w:ascii="宋体" w:hAnsi="宋体" w:eastAsia="宋体" w:cs="宋体"/>
                      <w:spacing w:val="4"/>
                      <w:sz w:val="21"/>
                      <w:szCs w:val="21"/>
                    </w:rPr>
                    <w:t>、</w:t>
                  </w:r>
                  <w:r>
                    <w:rPr>
                      <w:rFonts w:ascii="Times New Roman" w:hAnsi="Times New Roman" w:eastAsia="Times New Roman" w:cs="Times New Roman"/>
                      <w:spacing w:val="4"/>
                      <w:sz w:val="21"/>
                      <w:szCs w:val="21"/>
                    </w:rPr>
                    <w:t>4#</w:t>
                  </w:r>
                  <w:r>
                    <w:rPr>
                      <w:rFonts w:ascii="Times New Roman" w:hAnsi="Times New Roman" w:eastAsia="Times New Roman" w:cs="Times New Roman"/>
                      <w:sz w:val="21"/>
                      <w:szCs w:val="21"/>
                    </w:rPr>
                    <w:t xml:space="preserve"> </w:t>
                  </w:r>
                  <w:r>
                    <w:rPr>
                      <w:rFonts w:ascii="宋体" w:hAnsi="宋体" w:eastAsia="宋体" w:cs="宋体"/>
                      <w:sz w:val="21"/>
                      <w:szCs w:val="21"/>
                    </w:rPr>
                    <w:t>焦炉炉顶开展无组织废气执法监测，</w:t>
                  </w:r>
                  <w:r>
                    <w:rPr>
                      <w:rFonts w:ascii="宋体" w:hAnsi="宋体" w:eastAsia="宋体" w:cs="宋体"/>
                      <w:spacing w:val="-85"/>
                      <w:sz w:val="21"/>
                      <w:szCs w:val="21"/>
                    </w:rPr>
                    <w:t xml:space="preserve"> </w:t>
                  </w:r>
                  <w:r>
                    <w:rPr>
                      <w:rFonts w:ascii="宋体" w:hAnsi="宋体" w:eastAsia="宋体" w:cs="宋体"/>
                      <w:spacing w:val="8"/>
                      <w:sz w:val="21"/>
                      <w:szCs w:val="21"/>
                    </w:rPr>
                    <w:t>检测结果显示</w:t>
                  </w:r>
                  <w:r>
                    <w:rPr>
                      <w:rFonts w:ascii="宋体" w:hAnsi="宋体" w:eastAsia="宋体" w:cs="宋体"/>
                      <w:spacing w:val="-30"/>
                      <w:sz w:val="21"/>
                      <w:szCs w:val="21"/>
                    </w:rPr>
                    <w:t xml:space="preserve"> </w:t>
                  </w:r>
                  <w:r>
                    <w:rPr>
                      <w:rFonts w:ascii="Times New Roman" w:hAnsi="Times New Roman" w:eastAsia="Times New Roman" w:cs="Times New Roman"/>
                      <w:spacing w:val="7"/>
                      <w:sz w:val="21"/>
                      <w:szCs w:val="21"/>
                    </w:rPr>
                    <w:t>2#</w:t>
                  </w:r>
                  <w:r>
                    <w:rPr>
                      <w:rFonts w:ascii="宋体" w:hAnsi="宋体" w:eastAsia="宋体" w:cs="宋体"/>
                      <w:spacing w:val="7"/>
                      <w:sz w:val="21"/>
                      <w:szCs w:val="21"/>
                    </w:rPr>
                    <w:t>焦炉炉顶无组织废</w:t>
                  </w:r>
                  <w:r>
                    <w:rPr>
                      <w:rFonts w:ascii="宋体" w:hAnsi="宋体" w:eastAsia="宋体" w:cs="宋体"/>
                      <w:spacing w:val="-88"/>
                      <w:sz w:val="21"/>
                      <w:szCs w:val="21"/>
                    </w:rPr>
                    <w:t xml:space="preserve"> </w:t>
                  </w:r>
                  <w:r>
                    <w:rPr>
                      <w:rFonts w:ascii="宋体" w:hAnsi="宋体" w:eastAsia="宋体" w:cs="宋体"/>
                      <w:spacing w:val="5"/>
                      <w:sz w:val="21"/>
                      <w:szCs w:val="21"/>
                    </w:rPr>
                    <w:t>气中氨浓度最大值为</w:t>
                  </w:r>
                  <w:r>
                    <w:rPr>
                      <w:rFonts w:ascii="Times New Roman" w:hAnsi="Times New Roman" w:eastAsia="Times New Roman" w:cs="Times New Roman"/>
                      <w:sz w:val="21"/>
                      <w:szCs w:val="21"/>
                    </w:rPr>
                    <w:t>2.91mg/m</w:t>
                  </w:r>
                  <w:r>
                    <w:rPr>
                      <w:rFonts w:hint="eastAsia" w:eastAsia="宋体" w:cs="Times New Roman"/>
                      <w:sz w:val="21"/>
                      <w:szCs w:val="21"/>
                      <w:vertAlign w:val="superscript"/>
                      <w:lang w:val="en-US" w:eastAsia="zh-CN"/>
                    </w:rPr>
                    <w:t>3</w:t>
                  </w:r>
                  <w:r>
                    <w:rPr>
                      <w:rFonts w:ascii="宋体" w:hAnsi="宋体" w:eastAsia="宋体" w:cs="宋体"/>
                      <w:sz w:val="21"/>
                      <w:szCs w:val="21"/>
                    </w:rPr>
                    <w:t>，超</w:t>
                  </w:r>
                  <w:r>
                    <w:rPr>
                      <w:rFonts w:ascii="宋体" w:hAnsi="宋体" w:eastAsia="宋体" w:cs="宋体"/>
                      <w:spacing w:val="-86"/>
                      <w:sz w:val="21"/>
                      <w:szCs w:val="21"/>
                    </w:rPr>
                    <w:t xml:space="preserve"> </w:t>
                  </w:r>
                  <w:r>
                    <w:rPr>
                      <w:rFonts w:ascii="宋体" w:hAnsi="宋体" w:eastAsia="宋体" w:cs="宋体"/>
                      <w:sz w:val="21"/>
                      <w:szCs w:val="21"/>
                    </w:rPr>
                    <w:t>标《炼焦化学工业污染物排放标准》（</w:t>
                  </w:r>
                  <w:r>
                    <w:rPr>
                      <w:rFonts w:ascii="Times New Roman" w:hAnsi="Times New Roman" w:eastAsia="Times New Roman" w:cs="Times New Roman"/>
                      <w:sz w:val="21"/>
                      <w:szCs w:val="21"/>
                    </w:rPr>
                    <w:t>GB16171-2012</w:t>
                  </w:r>
                  <w:r>
                    <w:rPr>
                      <w:rFonts w:ascii="宋体" w:hAnsi="宋体" w:eastAsia="宋体" w:cs="宋体"/>
                      <w:sz w:val="21"/>
                      <w:szCs w:val="21"/>
                    </w:rPr>
                    <w:t>）</w:t>
                  </w:r>
                  <w:r>
                    <w:rPr>
                      <w:rFonts w:ascii="Times New Roman" w:hAnsi="Times New Roman" w:eastAsia="Times New Roman" w:cs="Times New Roman"/>
                      <w:sz w:val="21"/>
                      <w:szCs w:val="21"/>
                    </w:rPr>
                    <w:t>0.455</w:t>
                  </w:r>
                  <w:r>
                    <w:rPr>
                      <w:rFonts w:ascii="Times New Roman" w:hAnsi="Times New Roman" w:eastAsia="Times New Roman" w:cs="Times New Roman"/>
                      <w:spacing w:val="26"/>
                      <w:sz w:val="21"/>
                      <w:szCs w:val="21"/>
                    </w:rPr>
                    <w:t xml:space="preserve"> </w:t>
                  </w:r>
                  <w:r>
                    <w:rPr>
                      <w:rFonts w:ascii="宋体" w:hAnsi="宋体" w:eastAsia="宋体" w:cs="宋体"/>
                      <w:spacing w:val="4"/>
                      <w:sz w:val="21"/>
                      <w:szCs w:val="21"/>
                    </w:rPr>
                    <w:t>倍</w:t>
                  </w:r>
                  <w:r>
                    <w:rPr>
                      <w:rFonts w:ascii="Times New Roman" w:hAnsi="Times New Roman" w:eastAsia="Times New Roman" w:cs="Times New Roman"/>
                      <w:spacing w:val="4"/>
                      <w:sz w:val="21"/>
                      <w:szCs w:val="21"/>
                    </w:rPr>
                    <w:t>——</w:t>
                  </w:r>
                  <w:r>
                    <w:rPr>
                      <w:rFonts w:ascii="宋体" w:hAnsi="宋体" w:eastAsia="宋体" w:cs="宋体"/>
                      <w:spacing w:val="4"/>
                      <w:sz w:val="21"/>
                      <w:szCs w:val="21"/>
                    </w:rPr>
                    <w:t>防环</w:t>
                  </w:r>
                  <w:r>
                    <w:rPr>
                      <w:rFonts w:ascii="宋体" w:hAnsi="宋体" w:eastAsia="宋体" w:cs="宋体"/>
                      <w:sz w:val="21"/>
                      <w:szCs w:val="21"/>
                    </w:rPr>
                    <w:t>改字〔</w:t>
                  </w:r>
                  <w:r>
                    <w:rPr>
                      <w:rFonts w:ascii="Times New Roman" w:hAnsi="Times New Roman" w:eastAsia="Times New Roman" w:cs="Times New Roman"/>
                      <w:sz w:val="21"/>
                      <w:szCs w:val="21"/>
                    </w:rPr>
                    <w:t>2021</w:t>
                  </w:r>
                  <w:r>
                    <w:rPr>
                      <w:rFonts w:ascii="宋体" w:hAnsi="宋体" w:eastAsia="宋体" w:cs="宋体"/>
                      <w:sz w:val="21"/>
                      <w:szCs w:val="21"/>
                    </w:rPr>
                    <w:t>〕</w:t>
                  </w:r>
                  <w:r>
                    <w:rPr>
                      <w:rFonts w:ascii="Times New Roman" w:hAnsi="Times New Roman" w:eastAsia="Times New Roman" w:cs="Times New Roman"/>
                      <w:sz w:val="21"/>
                      <w:szCs w:val="21"/>
                    </w:rPr>
                    <w:t>288</w:t>
                  </w:r>
                  <w:r>
                    <w:rPr>
                      <w:rFonts w:ascii="Times New Roman" w:hAnsi="Times New Roman" w:eastAsia="Times New Roman" w:cs="Times New Roman"/>
                      <w:spacing w:val="-4"/>
                      <w:sz w:val="21"/>
                      <w:szCs w:val="21"/>
                    </w:rPr>
                    <w:t xml:space="preserve"> </w:t>
                  </w:r>
                  <w:r>
                    <w:rPr>
                      <w:rFonts w:ascii="宋体" w:hAnsi="宋体" w:eastAsia="宋体" w:cs="宋体"/>
                      <w:sz w:val="21"/>
                      <w:szCs w:val="21"/>
                    </w:rPr>
                    <w:t>号</w:t>
                  </w:r>
                </w:p>
              </w:tc>
              <w:tc>
                <w:tcPr>
                  <w:tcW w:w="3785" w:type="dxa"/>
                  <w:tcBorders>
                    <w:tl2br w:val="nil"/>
                    <w:tr2bl w:val="nil"/>
                  </w:tcBorders>
                  <w:shd w:val="clear" w:color="auto" w:fill="auto"/>
                  <w:vAlign w:val="center"/>
                </w:tcPr>
                <w:p w14:paraId="217301B9">
                  <w:pPr>
                    <w:pStyle w:val="67"/>
                    <w:spacing w:before="121" w:line="240" w:lineRule="exact"/>
                    <w:ind w:left="0" w:leftChars="0" w:right="0" w:rightChars="0" w:firstLine="0" w:firstLineChars="0"/>
                    <w:jc w:val="center"/>
                    <w:rPr>
                      <w:rFonts w:hint="default" w:ascii="宋体" w:hAnsi="宋体" w:eastAsia="宋体" w:cs="宋体"/>
                      <w:kern w:val="2"/>
                      <w:sz w:val="21"/>
                      <w:szCs w:val="21"/>
                      <w:lang w:val="en-US" w:eastAsia="zh-CN" w:bidi="ar-SA"/>
                    </w:rPr>
                  </w:pPr>
                  <w:r>
                    <w:rPr>
                      <w:rFonts w:ascii="宋体" w:hAnsi="宋体" w:eastAsia="宋体" w:cs="宋体"/>
                      <w:spacing w:val="6"/>
                      <w:sz w:val="21"/>
                      <w:szCs w:val="21"/>
                    </w:rPr>
                    <w:t>经排查，</w:t>
                  </w:r>
                  <w:r>
                    <w:rPr>
                      <w:rFonts w:ascii="Times New Roman" w:hAnsi="Times New Roman" w:eastAsia="Times New Roman" w:cs="Times New Roman"/>
                      <w:spacing w:val="6"/>
                      <w:sz w:val="21"/>
                      <w:szCs w:val="21"/>
                    </w:rPr>
                    <w:t>2#</w:t>
                  </w:r>
                  <w:r>
                    <w:rPr>
                      <w:rFonts w:ascii="宋体" w:hAnsi="宋体" w:eastAsia="宋体" w:cs="宋体"/>
                      <w:spacing w:val="6"/>
                      <w:sz w:val="21"/>
                      <w:szCs w:val="21"/>
                    </w:rPr>
                    <w:t>焦炉炉顶无组织废气中氨浓度超标主</w:t>
                  </w:r>
                  <w:r>
                    <w:rPr>
                      <w:rFonts w:ascii="宋体" w:hAnsi="宋体" w:eastAsia="宋体" w:cs="宋体"/>
                      <w:spacing w:val="3"/>
                      <w:sz w:val="21"/>
                      <w:szCs w:val="21"/>
                    </w:rPr>
                    <w:t>要是由焦化厂化产一区</w:t>
                  </w:r>
                  <w:r>
                    <w:rPr>
                      <w:rFonts w:ascii="宋体" w:hAnsi="宋体" w:eastAsia="宋体" w:cs="宋体"/>
                      <w:spacing w:val="-36"/>
                      <w:sz w:val="21"/>
                      <w:szCs w:val="21"/>
                    </w:rPr>
                    <w:t xml:space="preserve"> </w:t>
                  </w:r>
                  <w:r>
                    <w:rPr>
                      <w:rFonts w:ascii="Times New Roman" w:hAnsi="Times New Roman" w:eastAsia="Times New Roman" w:cs="Times New Roman"/>
                      <w:spacing w:val="3"/>
                      <w:sz w:val="21"/>
                      <w:szCs w:val="21"/>
                    </w:rPr>
                    <w:t>1#</w:t>
                  </w:r>
                  <w:r>
                    <w:rPr>
                      <w:rFonts w:ascii="宋体" w:hAnsi="宋体" w:eastAsia="宋体" w:cs="宋体"/>
                      <w:spacing w:val="3"/>
                      <w:sz w:val="21"/>
                      <w:szCs w:val="21"/>
                    </w:rPr>
                    <w:t>剩余氨水槽罐顶腐蚀破</w:t>
                  </w:r>
                  <w:r>
                    <w:rPr>
                      <w:rFonts w:ascii="宋体" w:hAnsi="宋体" w:eastAsia="宋体" w:cs="宋体"/>
                      <w:spacing w:val="-87"/>
                      <w:sz w:val="21"/>
                      <w:szCs w:val="21"/>
                    </w:rPr>
                    <w:t xml:space="preserve"> </w:t>
                  </w:r>
                  <w:r>
                    <w:rPr>
                      <w:rFonts w:ascii="宋体" w:hAnsi="宋体" w:eastAsia="宋体" w:cs="宋体"/>
                      <w:sz w:val="21"/>
                      <w:szCs w:val="21"/>
                    </w:rPr>
                    <w:t>漏</w:t>
                  </w:r>
                  <w:r>
                    <w:rPr>
                      <w:rFonts w:hint="eastAsia" w:ascii="宋体" w:hAnsi="宋体" w:cs="宋体"/>
                      <w:sz w:val="21"/>
                      <w:szCs w:val="21"/>
                      <w:lang w:eastAsia="zh-CN"/>
                    </w:rPr>
                    <w:t>导致氨水持续逸散</w:t>
                  </w:r>
                  <w:r>
                    <w:rPr>
                      <w:rFonts w:ascii="宋体" w:hAnsi="宋体" w:eastAsia="宋体" w:cs="宋体"/>
                      <w:sz w:val="21"/>
                      <w:szCs w:val="21"/>
                    </w:rPr>
                    <w:t>。</w:t>
                  </w:r>
                  <w:r>
                    <w:rPr>
                      <w:rFonts w:ascii="Times New Roman" w:hAnsi="Times New Roman" w:eastAsia="Times New Roman" w:cs="Times New Roman"/>
                      <w:sz w:val="21"/>
                      <w:szCs w:val="21"/>
                    </w:rPr>
                    <w:t>12</w:t>
                  </w:r>
                  <w:r>
                    <w:rPr>
                      <w:rFonts w:ascii="宋体" w:hAnsi="宋体" w:eastAsia="宋体" w:cs="宋体"/>
                      <w:sz w:val="21"/>
                      <w:szCs w:val="21"/>
                    </w:rPr>
                    <w:t>月</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28</w:t>
                  </w:r>
                  <w:r>
                    <w:rPr>
                      <w:rFonts w:ascii="宋体" w:hAnsi="宋体" w:eastAsia="宋体" w:cs="宋体"/>
                      <w:sz w:val="21"/>
                      <w:szCs w:val="21"/>
                    </w:rPr>
                    <w:t>日盛隆公司已对</w:t>
                  </w:r>
                  <w:r>
                    <w:rPr>
                      <w:rFonts w:ascii="宋体" w:hAnsi="宋体" w:eastAsia="宋体" w:cs="宋体"/>
                      <w:spacing w:val="-34"/>
                      <w:sz w:val="21"/>
                      <w:szCs w:val="21"/>
                    </w:rPr>
                    <w:t xml:space="preserve"> </w:t>
                  </w:r>
                  <w:r>
                    <w:rPr>
                      <w:rFonts w:ascii="Times New Roman" w:hAnsi="Times New Roman" w:eastAsia="Times New Roman" w:cs="Times New Roman"/>
                      <w:spacing w:val="3"/>
                      <w:sz w:val="21"/>
                      <w:szCs w:val="21"/>
                    </w:rPr>
                    <w:t>1#</w:t>
                  </w:r>
                  <w:r>
                    <w:rPr>
                      <w:rFonts w:ascii="宋体" w:hAnsi="宋体" w:eastAsia="宋体" w:cs="宋体"/>
                      <w:spacing w:val="3"/>
                      <w:sz w:val="21"/>
                      <w:szCs w:val="21"/>
                    </w:rPr>
                    <w:t>剩余氨水槽罐体破损处进行补漏整改，整改</w:t>
                  </w:r>
                  <w:r>
                    <w:rPr>
                      <w:rFonts w:ascii="宋体" w:hAnsi="宋体" w:eastAsia="宋体" w:cs="宋体"/>
                      <w:spacing w:val="-86"/>
                      <w:sz w:val="21"/>
                      <w:szCs w:val="21"/>
                    </w:rPr>
                    <w:t xml:space="preserve"> </w:t>
                  </w:r>
                  <w:r>
                    <w:rPr>
                      <w:rFonts w:ascii="宋体" w:hAnsi="宋体" w:eastAsia="宋体" w:cs="宋体"/>
                      <w:spacing w:val="14"/>
                      <w:sz w:val="21"/>
                      <w:szCs w:val="21"/>
                    </w:rPr>
                    <w:t>后现场无刺激性异味。</w:t>
                  </w:r>
                  <w:r>
                    <w:rPr>
                      <w:rFonts w:ascii="宋体" w:hAnsi="宋体" w:eastAsia="宋体" w:cs="宋体"/>
                      <w:spacing w:val="-72"/>
                      <w:sz w:val="21"/>
                      <w:szCs w:val="21"/>
                    </w:rPr>
                    <w:t xml:space="preserve"> </w:t>
                  </w:r>
                  <w:r>
                    <w:rPr>
                      <w:rFonts w:ascii="宋体" w:hAnsi="宋体" w:eastAsia="宋体" w:cs="宋体"/>
                      <w:spacing w:val="10"/>
                      <w:sz w:val="21"/>
                      <w:szCs w:val="21"/>
                    </w:rPr>
                    <w:t>另外，</w:t>
                  </w:r>
                  <w:r>
                    <w:rPr>
                      <w:rFonts w:ascii="宋体" w:hAnsi="宋体" w:eastAsia="宋体" w:cs="宋体"/>
                      <w:spacing w:val="-72"/>
                      <w:sz w:val="21"/>
                      <w:szCs w:val="21"/>
                    </w:rPr>
                    <w:t xml:space="preserve"> </w:t>
                  </w:r>
                  <w:r>
                    <w:rPr>
                      <w:rFonts w:ascii="宋体" w:hAnsi="宋体" w:eastAsia="宋体" w:cs="宋体"/>
                      <w:spacing w:val="13"/>
                      <w:sz w:val="21"/>
                      <w:szCs w:val="21"/>
                    </w:rPr>
                    <w:t>盛隆公司计划于</w:t>
                  </w:r>
                  <w:r>
                    <w:rPr>
                      <w:rFonts w:ascii="宋体" w:hAnsi="宋体" w:eastAsia="宋体" w:cs="宋体"/>
                      <w:spacing w:val="-85"/>
                      <w:sz w:val="21"/>
                      <w:szCs w:val="21"/>
                    </w:rPr>
                    <w:t xml:space="preserve"> </w:t>
                  </w:r>
                  <w:r>
                    <w:rPr>
                      <w:rFonts w:ascii="Times New Roman" w:hAnsi="Times New Roman" w:eastAsia="Times New Roman" w:cs="Times New Roman"/>
                      <w:sz w:val="21"/>
                      <w:szCs w:val="21"/>
                    </w:rPr>
                    <w:t>2022</w:t>
                  </w:r>
                  <w:r>
                    <w:rPr>
                      <w:rFonts w:ascii="宋体" w:hAnsi="宋体" w:eastAsia="宋体" w:cs="宋体"/>
                      <w:sz w:val="21"/>
                      <w:szCs w:val="21"/>
                    </w:rPr>
                    <w:t>年</w:t>
                  </w:r>
                  <w:r>
                    <w:rPr>
                      <w:rFonts w:ascii="宋体" w:hAnsi="宋体" w:eastAsia="宋体" w:cs="宋体"/>
                      <w:spacing w:val="-36"/>
                      <w:sz w:val="21"/>
                      <w:szCs w:val="21"/>
                    </w:rPr>
                    <w:t xml:space="preserve"> </w:t>
                  </w:r>
                  <w:r>
                    <w:rPr>
                      <w:rFonts w:ascii="Times New Roman" w:hAnsi="Times New Roman" w:eastAsia="Times New Roman" w:cs="Times New Roman"/>
                      <w:sz w:val="21"/>
                      <w:szCs w:val="21"/>
                    </w:rPr>
                    <w:t>5</w:t>
                  </w:r>
                  <w:r>
                    <w:rPr>
                      <w:rFonts w:ascii="宋体" w:hAnsi="宋体" w:eastAsia="宋体" w:cs="宋体"/>
                      <w:spacing w:val="3"/>
                      <w:sz w:val="21"/>
                      <w:szCs w:val="21"/>
                    </w:rPr>
                    <w:t>月底对化产车间剩余氨水槽罐体进行整</w:t>
                  </w:r>
                  <w:r>
                    <w:rPr>
                      <w:rFonts w:ascii="宋体" w:hAnsi="宋体" w:eastAsia="宋体" w:cs="宋体"/>
                      <w:spacing w:val="-88"/>
                      <w:sz w:val="21"/>
                      <w:szCs w:val="21"/>
                    </w:rPr>
                    <w:t xml:space="preserve"> </w:t>
                  </w:r>
                  <w:r>
                    <w:rPr>
                      <w:rFonts w:ascii="宋体" w:hAnsi="宋体" w:eastAsia="宋体" w:cs="宋体"/>
                      <w:spacing w:val="6"/>
                      <w:sz w:val="21"/>
                      <w:szCs w:val="21"/>
                    </w:rPr>
                    <w:t>体更换，以进一步改善焦化厂无组织排放——桂</w:t>
                  </w:r>
                  <w:r>
                    <w:rPr>
                      <w:rFonts w:ascii="宋体" w:hAnsi="宋体" w:eastAsia="宋体" w:cs="宋体"/>
                      <w:spacing w:val="-82"/>
                      <w:sz w:val="21"/>
                      <w:szCs w:val="21"/>
                    </w:rPr>
                    <w:t xml:space="preserve"> </w:t>
                  </w:r>
                  <w:r>
                    <w:rPr>
                      <w:rFonts w:ascii="宋体" w:hAnsi="宋体" w:eastAsia="宋体" w:cs="宋体"/>
                      <w:sz w:val="21"/>
                      <w:szCs w:val="21"/>
                    </w:rPr>
                    <w:t>盛隆〔</w:t>
                  </w:r>
                  <w:r>
                    <w:rPr>
                      <w:rFonts w:ascii="Times New Roman" w:hAnsi="Times New Roman" w:eastAsia="Times New Roman" w:cs="Times New Roman"/>
                      <w:sz w:val="21"/>
                      <w:szCs w:val="21"/>
                    </w:rPr>
                    <w:t>2022</w:t>
                  </w:r>
                  <w:r>
                    <w:rPr>
                      <w:rFonts w:ascii="宋体" w:hAnsi="宋体" w:eastAsia="宋体" w:cs="宋体"/>
                      <w:sz w:val="21"/>
                      <w:szCs w:val="21"/>
                    </w:rPr>
                    <w:t>〕</w:t>
                  </w:r>
                  <w:r>
                    <w:rPr>
                      <w:rFonts w:ascii="Times New Roman" w:hAnsi="Times New Roman" w:eastAsia="Times New Roman" w:cs="Times New Roman"/>
                      <w:sz w:val="21"/>
                      <w:szCs w:val="21"/>
                    </w:rPr>
                    <w:t>11</w:t>
                  </w:r>
                  <w:r>
                    <w:rPr>
                      <w:rFonts w:ascii="Times New Roman" w:hAnsi="Times New Roman" w:eastAsia="Times New Roman" w:cs="Times New Roman"/>
                      <w:spacing w:val="-2"/>
                      <w:sz w:val="21"/>
                      <w:szCs w:val="21"/>
                    </w:rPr>
                    <w:t xml:space="preserve"> </w:t>
                  </w:r>
                  <w:r>
                    <w:rPr>
                      <w:rFonts w:ascii="宋体" w:hAnsi="宋体" w:eastAsia="宋体" w:cs="宋体"/>
                      <w:sz w:val="21"/>
                      <w:szCs w:val="21"/>
                    </w:rPr>
                    <w:t>号</w:t>
                  </w:r>
                </w:p>
              </w:tc>
              <w:tc>
                <w:tcPr>
                  <w:tcW w:w="908" w:type="dxa"/>
                  <w:tcBorders>
                    <w:tl2br w:val="nil"/>
                    <w:tr2bl w:val="nil"/>
                  </w:tcBorders>
                  <w:shd w:val="clear" w:color="auto" w:fill="auto"/>
                  <w:vAlign w:val="center"/>
                </w:tcPr>
                <w:p w14:paraId="0EAF7707">
                  <w:pPr>
                    <w:pStyle w:val="67"/>
                    <w:spacing w:before="136" w:line="232" w:lineRule="exact"/>
                    <w:ind w:left="0" w:leftChars="0" w:right="0" w:rightChars="0" w:firstLine="0" w:firstLineChars="0"/>
                    <w:jc w:val="center"/>
                    <w:rPr>
                      <w:rFonts w:hint="default" w:ascii="宋体" w:hAnsi="宋体" w:eastAsia="宋体" w:cs="宋体"/>
                      <w:kern w:val="2"/>
                      <w:sz w:val="21"/>
                      <w:szCs w:val="21"/>
                      <w:lang w:val="en-US" w:eastAsia="zh-CN" w:bidi="ar-SA"/>
                    </w:rPr>
                  </w:pPr>
                  <w:r>
                    <w:rPr>
                      <w:rFonts w:ascii="宋体" w:hAnsi="宋体" w:eastAsia="宋体" w:cs="宋体"/>
                      <w:sz w:val="21"/>
                      <w:szCs w:val="21"/>
                    </w:rPr>
                    <w:t>已完成</w:t>
                  </w:r>
                </w:p>
              </w:tc>
            </w:tr>
            <w:tr w14:paraId="00300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dxa"/>
                  <w:tcBorders>
                    <w:tl2br w:val="nil"/>
                    <w:tr2bl w:val="nil"/>
                  </w:tcBorders>
                  <w:vAlign w:val="center"/>
                </w:tcPr>
                <w:p w14:paraId="5E665CE5">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2</w:t>
                  </w:r>
                </w:p>
              </w:tc>
              <w:tc>
                <w:tcPr>
                  <w:tcW w:w="2841" w:type="dxa"/>
                  <w:tcBorders>
                    <w:tl2br w:val="nil"/>
                    <w:tr2bl w:val="nil"/>
                  </w:tcBorders>
                  <w:shd w:val="clear" w:color="auto" w:fill="auto"/>
                  <w:vAlign w:val="center"/>
                </w:tcPr>
                <w:p w14:paraId="45A1471C">
                  <w:pPr>
                    <w:pStyle w:val="67"/>
                    <w:spacing w:before="127"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对照《关于推进实施钢铁行业超低排</w:t>
                  </w:r>
                  <w:r>
                    <w:rPr>
                      <w:rFonts w:hint="default" w:ascii="Times New Roman" w:hAnsi="Times New Roman" w:eastAsia="宋体" w:cs="Times New Roman"/>
                      <w:spacing w:val="-85"/>
                      <w:sz w:val="21"/>
                      <w:szCs w:val="21"/>
                    </w:rPr>
                    <w:t xml:space="preserve"> </w:t>
                  </w:r>
                  <w:r>
                    <w:rPr>
                      <w:rFonts w:hint="default" w:ascii="Times New Roman" w:hAnsi="Times New Roman" w:eastAsia="宋体" w:cs="Times New Roman"/>
                      <w:sz w:val="21"/>
                      <w:szCs w:val="21"/>
                    </w:rPr>
                    <w:t>放</w:t>
                  </w:r>
                  <w:r>
                    <w:rPr>
                      <w:rFonts w:hint="default" w:ascii="Times New Roman" w:hAnsi="Times New Roman" w:eastAsia="宋体" w:cs="Times New Roman"/>
                      <w:spacing w:val="-60"/>
                      <w:sz w:val="21"/>
                      <w:szCs w:val="21"/>
                    </w:rPr>
                    <w:t xml:space="preserve"> </w:t>
                  </w:r>
                  <w:r>
                    <w:rPr>
                      <w:rFonts w:hint="default" w:ascii="Times New Roman" w:hAnsi="Times New Roman" w:eastAsia="宋体" w:cs="Times New Roman"/>
                      <w:sz w:val="21"/>
                      <w:szCs w:val="21"/>
                    </w:rPr>
                    <w:t>的</w:t>
                  </w:r>
                  <w:r>
                    <w:rPr>
                      <w:rFonts w:hint="default" w:ascii="Times New Roman" w:hAnsi="Times New Roman" w:eastAsia="宋体" w:cs="Times New Roman"/>
                      <w:spacing w:val="-60"/>
                      <w:sz w:val="21"/>
                      <w:szCs w:val="21"/>
                    </w:rPr>
                    <w:t xml:space="preserve"> </w:t>
                  </w:r>
                  <w:r>
                    <w:rPr>
                      <w:rFonts w:hint="default" w:ascii="Times New Roman" w:hAnsi="Times New Roman" w:eastAsia="宋体" w:cs="Times New Roman"/>
                      <w:sz w:val="21"/>
                      <w:szCs w:val="21"/>
                    </w:rPr>
                    <w:t>意</w:t>
                  </w:r>
                  <w:r>
                    <w:rPr>
                      <w:rFonts w:hint="default" w:ascii="Times New Roman" w:hAnsi="Times New Roman" w:eastAsia="宋体" w:cs="Times New Roman"/>
                      <w:spacing w:val="-63"/>
                      <w:sz w:val="21"/>
                      <w:szCs w:val="21"/>
                    </w:rPr>
                    <w:t xml:space="preserve"> </w:t>
                  </w:r>
                  <w:r>
                    <w:rPr>
                      <w:rFonts w:hint="default" w:ascii="Times New Roman" w:hAnsi="Times New Roman" w:eastAsia="宋体" w:cs="Times New Roman"/>
                      <w:sz w:val="21"/>
                      <w:szCs w:val="21"/>
                    </w:rPr>
                    <w:t>见</w:t>
                  </w:r>
                  <w:r>
                    <w:rPr>
                      <w:rFonts w:hint="default" w:ascii="Times New Roman" w:hAnsi="Times New Roman" w:eastAsia="宋体" w:cs="Times New Roman"/>
                      <w:spacing w:val="-60"/>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pacing w:val="-60"/>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pacing w:val="-60"/>
                      <w:sz w:val="21"/>
                      <w:szCs w:val="21"/>
                    </w:rPr>
                    <w:t xml:space="preserve"> </w:t>
                  </w:r>
                  <w:r>
                    <w:rPr>
                      <w:rFonts w:hint="default" w:ascii="Times New Roman" w:hAnsi="Times New Roman" w:eastAsia="宋体" w:cs="Times New Roman"/>
                      <w:sz w:val="21"/>
                      <w:szCs w:val="21"/>
                    </w:rPr>
                    <w:t>环</w:t>
                  </w:r>
                  <w:r>
                    <w:rPr>
                      <w:rFonts w:hint="default" w:ascii="Times New Roman" w:hAnsi="Times New Roman" w:eastAsia="宋体" w:cs="Times New Roman"/>
                      <w:spacing w:val="-63"/>
                      <w:sz w:val="21"/>
                      <w:szCs w:val="21"/>
                    </w:rPr>
                    <w:t xml:space="preserve"> </w:t>
                  </w:r>
                  <w:r>
                    <w:rPr>
                      <w:rFonts w:hint="default" w:ascii="Times New Roman" w:hAnsi="Times New Roman" w:eastAsia="宋体" w:cs="Times New Roman"/>
                      <w:sz w:val="21"/>
                      <w:szCs w:val="21"/>
                    </w:rPr>
                    <w:t>大</w:t>
                  </w:r>
                  <w:r>
                    <w:rPr>
                      <w:rFonts w:hint="default" w:ascii="Times New Roman" w:hAnsi="Times New Roman" w:eastAsia="宋体" w:cs="Times New Roman"/>
                      <w:spacing w:val="-60"/>
                      <w:sz w:val="21"/>
                      <w:szCs w:val="21"/>
                    </w:rPr>
                    <w:t xml:space="preserve"> </w:t>
                  </w:r>
                  <w:r>
                    <w:rPr>
                      <w:rFonts w:hint="default" w:ascii="Times New Roman" w:hAnsi="Times New Roman" w:eastAsia="宋体" w:cs="Times New Roman"/>
                      <w:sz w:val="21"/>
                      <w:szCs w:val="21"/>
                    </w:rPr>
                    <w:t>气</w:t>
                  </w:r>
                  <w:r>
                    <w:rPr>
                      <w:rFonts w:hint="default" w:ascii="Times New Roman" w:hAnsi="Times New Roman" w:eastAsia="宋体" w:cs="Times New Roman"/>
                      <w:spacing w:val="-60"/>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pacing w:val="-63"/>
                      <w:sz w:val="21"/>
                      <w:szCs w:val="21"/>
                    </w:rPr>
                    <w:t xml:space="preserve"> </w:t>
                  </w:r>
                  <w:r>
                    <w:rPr>
                      <w:rFonts w:hint="default" w:ascii="Times New Roman" w:hAnsi="Times New Roman" w:eastAsia="Times New Roman" w:cs="Times New Roman"/>
                      <w:sz w:val="21"/>
                      <w:szCs w:val="21"/>
                    </w:rPr>
                    <w:t>2019</w:t>
                  </w:r>
                  <w:r>
                    <w:rPr>
                      <w:rFonts w:hint="default" w:ascii="Times New Roman" w:hAnsi="Times New Roman" w:eastAsia="Times New Roman" w:cs="Times New Roman"/>
                      <w:spacing w:val="-16"/>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pacing w:val="-60"/>
                      <w:sz w:val="21"/>
                      <w:szCs w:val="21"/>
                    </w:rPr>
                    <w:t xml:space="preserve"> </w:t>
                  </w:r>
                  <w:r>
                    <w:rPr>
                      <w:rFonts w:hint="default" w:ascii="Times New Roman" w:hAnsi="Times New Roman" w:eastAsia="Times New Roman" w:cs="Times New Roman"/>
                      <w:sz w:val="21"/>
                      <w:szCs w:val="21"/>
                    </w:rPr>
                    <w:t>35</w:t>
                  </w:r>
                  <w:r>
                    <w:rPr>
                      <w:rFonts w:hint="default" w:ascii="Times New Roman" w:hAnsi="Times New Roman" w:eastAsia="宋体" w:cs="Times New Roman"/>
                      <w:sz w:val="21"/>
                      <w:szCs w:val="21"/>
                    </w:rPr>
                    <w:t>号）要求，部分有组织排放源没有安</w:t>
                  </w:r>
                  <w:r>
                    <w:rPr>
                      <w:rFonts w:hint="default" w:ascii="Times New Roman" w:hAnsi="Times New Roman" w:eastAsia="宋体" w:cs="Times New Roman"/>
                      <w:spacing w:val="-85"/>
                      <w:sz w:val="21"/>
                      <w:szCs w:val="21"/>
                    </w:rPr>
                    <w:t xml:space="preserve"> </w:t>
                  </w:r>
                  <w:r>
                    <w:rPr>
                      <w:rFonts w:hint="default" w:ascii="Times New Roman" w:hAnsi="Times New Roman" w:eastAsia="宋体" w:cs="Times New Roman"/>
                      <w:sz w:val="21"/>
                      <w:szCs w:val="21"/>
                    </w:rPr>
                    <w:t>装</w:t>
                  </w:r>
                  <w:r>
                    <w:rPr>
                      <w:rFonts w:hint="default" w:ascii="Times New Roman" w:hAnsi="Times New Roman" w:eastAsia="宋体" w:cs="Times New Roman"/>
                      <w:spacing w:val="-48"/>
                      <w:sz w:val="21"/>
                      <w:szCs w:val="21"/>
                    </w:rPr>
                    <w:t xml:space="preserve"> </w:t>
                  </w:r>
                  <w:r>
                    <w:rPr>
                      <w:rFonts w:hint="default" w:ascii="Times New Roman" w:hAnsi="Times New Roman" w:eastAsia="Times New Roman" w:cs="Times New Roman"/>
                      <w:sz w:val="21"/>
                      <w:szCs w:val="21"/>
                    </w:rPr>
                    <w:t>CEMS</w:t>
                  </w:r>
                  <w:r>
                    <w:rPr>
                      <w:rFonts w:hint="default" w:ascii="Times New Roman" w:hAnsi="Times New Roman" w:eastAsia="宋体" w:cs="Times New Roman"/>
                      <w:sz w:val="21"/>
                      <w:szCs w:val="21"/>
                    </w:rPr>
                    <w:t>和</w:t>
                  </w:r>
                  <w:r>
                    <w:rPr>
                      <w:rFonts w:hint="default" w:ascii="Times New Roman" w:hAnsi="Times New Roman" w:eastAsia="宋体" w:cs="Times New Roman"/>
                      <w:spacing w:val="-46"/>
                      <w:sz w:val="21"/>
                      <w:szCs w:val="21"/>
                    </w:rPr>
                    <w:t xml:space="preserve"> </w:t>
                  </w:r>
                  <w:r>
                    <w:rPr>
                      <w:rFonts w:hint="default" w:ascii="Times New Roman" w:hAnsi="Times New Roman" w:eastAsia="Times New Roman" w:cs="Times New Roman"/>
                      <w:sz w:val="21"/>
                      <w:szCs w:val="21"/>
                    </w:rPr>
                    <w:t>DCS</w:t>
                  </w:r>
                  <w:r>
                    <w:rPr>
                      <w:rFonts w:hint="default" w:ascii="Times New Roman" w:hAnsi="Times New Roman" w:eastAsia="宋体" w:cs="Times New Roman"/>
                      <w:sz w:val="21"/>
                      <w:szCs w:val="21"/>
                    </w:rPr>
                    <w:t>设备</w:t>
                  </w:r>
                </w:p>
              </w:tc>
              <w:tc>
                <w:tcPr>
                  <w:tcW w:w="3785" w:type="dxa"/>
                  <w:tcBorders>
                    <w:tl2br w:val="nil"/>
                    <w:tr2bl w:val="nil"/>
                  </w:tcBorders>
                  <w:shd w:val="clear" w:color="auto" w:fill="auto"/>
                  <w:vAlign w:val="center"/>
                </w:tcPr>
                <w:p w14:paraId="6350303B">
                  <w:pPr>
                    <w:pStyle w:val="67"/>
                    <w:spacing w:before="25" w:line="240" w:lineRule="exact"/>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6"/>
                      <w:sz w:val="21"/>
                      <w:szCs w:val="21"/>
                    </w:rPr>
                    <w:t>按钢铁行业超低排放相关文件要求梳</w:t>
                  </w:r>
                  <w:r>
                    <w:rPr>
                      <w:rFonts w:hint="default" w:ascii="Times New Roman" w:hAnsi="Times New Roman" w:eastAsia="宋体" w:cs="Times New Roman"/>
                      <w:spacing w:val="-83"/>
                      <w:sz w:val="21"/>
                      <w:szCs w:val="21"/>
                    </w:rPr>
                    <w:t xml:space="preserve"> </w:t>
                  </w:r>
                  <w:r>
                    <w:rPr>
                      <w:rFonts w:hint="default" w:ascii="Times New Roman" w:hAnsi="Times New Roman" w:eastAsia="宋体" w:cs="Times New Roman"/>
                      <w:sz w:val="21"/>
                      <w:szCs w:val="21"/>
                    </w:rPr>
                    <w:t>理出应装未装</w:t>
                  </w:r>
                  <w:r>
                    <w:rPr>
                      <w:rFonts w:hint="default" w:ascii="Times New Roman" w:hAnsi="Times New Roman" w:eastAsia="宋体" w:cs="Times New Roman"/>
                      <w:spacing w:val="-40"/>
                      <w:sz w:val="21"/>
                      <w:szCs w:val="21"/>
                    </w:rPr>
                    <w:t xml:space="preserve"> </w:t>
                  </w:r>
                  <w:r>
                    <w:rPr>
                      <w:rFonts w:hint="default" w:ascii="Times New Roman" w:hAnsi="Times New Roman" w:eastAsia="Times New Roman" w:cs="Times New Roman"/>
                      <w:sz w:val="21"/>
                      <w:szCs w:val="21"/>
                    </w:rPr>
                    <w:t>CEMS</w:t>
                  </w:r>
                  <w:r>
                    <w:rPr>
                      <w:rFonts w:hint="default" w:ascii="Times New Roman" w:hAnsi="Times New Roman" w:eastAsia="宋体" w:cs="Times New Roman"/>
                      <w:sz w:val="21"/>
                      <w:szCs w:val="21"/>
                    </w:rPr>
                    <w:t>和</w:t>
                  </w:r>
                  <w:r>
                    <w:rPr>
                      <w:rFonts w:hint="default" w:ascii="Times New Roman" w:hAnsi="Times New Roman" w:eastAsia="宋体" w:cs="Times New Roman"/>
                      <w:spacing w:val="-43"/>
                      <w:sz w:val="21"/>
                      <w:szCs w:val="21"/>
                    </w:rPr>
                    <w:t xml:space="preserve"> </w:t>
                  </w:r>
                  <w:r>
                    <w:rPr>
                      <w:rFonts w:hint="default" w:ascii="Times New Roman" w:hAnsi="Times New Roman" w:eastAsia="Times New Roman" w:cs="Times New Roman"/>
                      <w:sz w:val="21"/>
                      <w:szCs w:val="21"/>
                    </w:rPr>
                    <w:t>DCS</w:t>
                  </w:r>
                  <w:r>
                    <w:rPr>
                      <w:rFonts w:hint="default" w:ascii="Times New Roman" w:hAnsi="Times New Roman" w:eastAsia="宋体" w:cs="Times New Roman"/>
                      <w:sz w:val="21"/>
                      <w:szCs w:val="21"/>
                    </w:rPr>
                    <w:t>设备的有组织排放源</w:t>
                  </w:r>
                  <w:r>
                    <w:rPr>
                      <w:rFonts w:hint="default" w:ascii="Times New Roman" w:hAnsi="Times New Roman" w:eastAsia="宋体" w:cs="Times New Roman"/>
                      <w:spacing w:val="6"/>
                      <w:sz w:val="21"/>
                      <w:szCs w:val="21"/>
                    </w:rPr>
                    <w:t>数量和点位，正在实施的现有工程超低排放改造</w:t>
                  </w:r>
                  <w:r>
                    <w:rPr>
                      <w:rFonts w:hint="default" w:ascii="Times New Roman" w:hAnsi="Times New Roman" w:eastAsia="宋体" w:cs="Times New Roman"/>
                      <w:spacing w:val="-83"/>
                      <w:sz w:val="21"/>
                      <w:szCs w:val="21"/>
                    </w:rPr>
                    <w:t xml:space="preserve"> </w:t>
                  </w:r>
                  <w:r>
                    <w:rPr>
                      <w:rFonts w:hint="default" w:ascii="Times New Roman" w:hAnsi="Times New Roman" w:eastAsia="宋体" w:cs="Times New Roman"/>
                      <w:sz w:val="21"/>
                      <w:szCs w:val="21"/>
                    </w:rPr>
                    <w:t>将严格按照超低排放相关文件、</w:t>
                  </w:r>
                  <w:r>
                    <w:rPr>
                      <w:rFonts w:hint="default" w:ascii="Times New Roman" w:hAnsi="Times New Roman" w:eastAsia="Times New Roman" w:cs="Times New Roman"/>
                      <w:sz w:val="21"/>
                      <w:szCs w:val="21"/>
                    </w:rPr>
                    <w:t>HJ75-2017</w:t>
                  </w:r>
                  <w:r>
                    <w:rPr>
                      <w:rFonts w:hint="default" w:ascii="Times New Roman" w:hAnsi="Times New Roman" w:eastAsia="宋体" w:cs="Times New Roman"/>
                      <w:sz w:val="21"/>
                      <w:szCs w:val="21"/>
                    </w:rPr>
                    <w:t>、环办</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便函〔</w:t>
                  </w:r>
                  <w:r>
                    <w:rPr>
                      <w:rFonts w:hint="default" w:ascii="Times New Roman" w:hAnsi="Times New Roman" w:eastAsia="Times New Roman" w:cs="Times New Roman"/>
                      <w:sz w:val="21"/>
                      <w:szCs w:val="21"/>
                    </w:rPr>
                    <w:t>2021</w:t>
                  </w:r>
                  <w:r>
                    <w:rPr>
                      <w:rFonts w:hint="default" w:ascii="Times New Roman" w:hAnsi="Times New Roman" w:eastAsia="宋体" w:cs="Times New Roman"/>
                      <w:sz w:val="21"/>
                      <w:szCs w:val="21"/>
                    </w:rPr>
                    <w:t>〕</w:t>
                  </w:r>
                  <w:r>
                    <w:rPr>
                      <w:rFonts w:hint="default" w:ascii="Times New Roman" w:hAnsi="Times New Roman" w:eastAsia="Times New Roman" w:cs="Times New Roman"/>
                      <w:sz w:val="21"/>
                      <w:szCs w:val="21"/>
                    </w:rPr>
                    <w:t>349</w:t>
                  </w:r>
                  <w:r>
                    <w:rPr>
                      <w:rFonts w:hint="default" w:ascii="Times New Roman" w:hAnsi="Times New Roman" w:eastAsia="Times New Roman" w:cs="Times New Roman"/>
                      <w:spacing w:val="-4"/>
                      <w:sz w:val="21"/>
                      <w:szCs w:val="21"/>
                    </w:rPr>
                    <w:t xml:space="preserve"> </w:t>
                  </w:r>
                  <w:r>
                    <w:rPr>
                      <w:rFonts w:hint="default" w:ascii="Times New Roman" w:hAnsi="Times New Roman" w:eastAsia="宋体" w:cs="Times New Roman"/>
                      <w:sz w:val="21"/>
                      <w:szCs w:val="21"/>
                    </w:rPr>
                    <w:t>号文等相关要求进行整改</w:t>
                  </w:r>
                </w:p>
              </w:tc>
              <w:tc>
                <w:tcPr>
                  <w:tcW w:w="908" w:type="dxa"/>
                  <w:tcBorders>
                    <w:tl2br w:val="nil"/>
                    <w:tr2bl w:val="nil"/>
                  </w:tcBorders>
                  <w:shd w:val="clear" w:color="auto" w:fill="auto"/>
                  <w:vAlign w:val="center"/>
                </w:tcPr>
                <w:p w14:paraId="39F25452">
                  <w:pPr>
                    <w:pStyle w:val="67"/>
                    <w:spacing w:line="240" w:lineRule="auto"/>
                    <w:ind w:left="0" w:leftChars="0" w:right="0" w:rightChars="0" w:firstLine="0" w:firstLineChars="0"/>
                    <w:jc w:val="center"/>
                    <w:rPr>
                      <w:rFonts w:hint="default" w:ascii="Times New Roman" w:hAnsi="Times New Roman" w:eastAsia="宋体" w:cs="Times New Roman"/>
                      <w:b/>
                      <w:bCs/>
                      <w:sz w:val="21"/>
                      <w:szCs w:val="21"/>
                    </w:rPr>
                  </w:pPr>
                </w:p>
                <w:p w14:paraId="6F13A60E">
                  <w:pPr>
                    <w:pStyle w:val="67"/>
                    <w:spacing w:before="126" w:line="241" w:lineRule="exact"/>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cs="Times New Roman"/>
                      <w:spacing w:val="-11"/>
                      <w:sz w:val="21"/>
                      <w:szCs w:val="21"/>
                      <w:lang w:val="en-US" w:eastAsia="zh-CN"/>
                    </w:rPr>
                    <w:t>已</w:t>
                  </w:r>
                  <w:r>
                    <w:rPr>
                      <w:rFonts w:hint="default" w:ascii="Times New Roman" w:hAnsi="Times New Roman" w:eastAsia="宋体" w:cs="Times New Roman"/>
                      <w:spacing w:val="-15"/>
                      <w:sz w:val="21"/>
                      <w:szCs w:val="21"/>
                    </w:rPr>
                    <w:t>完成</w:t>
                  </w:r>
                </w:p>
              </w:tc>
            </w:tr>
            <w:tr w14:paraId="06EE3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jc w:val="center"/>
              </w:trPr>
              <w:tc>
                <w:tcPr>
                  <w:tcW w:w="411" w:type="dxa"/>
                  <w:vMerge w:val="restart"/>
                  <w:tcBorders>
                    <w:tl2br w:val="nil"/>
                    <w:tr2bl w:val="nil"/>
                  </w:tcBorders>
                  <w:vAlign w:val="center"/>
                </w:tcPr>
                <w:p w14:paraId="691F8EDB">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3</w:t>
                  </w:r>
                </w:p>
              </w:tc>
              <w:tc>
                <w:tcPr>
                  <w:tcW w:w="2841" w:type="dxa"/>
                  <w:vMerge w:val="restart"/>
                  <w:tcBorders>
                    <w:tl2br w:val="nil"/>
                    <w:tr2bl w:val="nil"/>
                  </w:tcBorders>
                  <w:vAlign w:val="center"/>
                </w:tcPr>
                <w:p w14:paraId="4045DA25">
                  <w:pPr>
                    <w:pStyle w:val="67"/>
                    <w:spacing w:before="3" w:line="240" w:lineRule="auto"/>
                    <w:ind w:left="0" w:leftChars="0" w:right="0" w:rightChars="0" w:firstLine="0" w:firstLineChars="0"/>
                    <w:jc w:val="center"/>
                    <w:rPr>
                      <w:rFonts w:hint="default" w:ascii="Times New Roman" w:hAnsi="Times New Roman" w:eastAsia="宋体" w:cs="Times New Roman"/>
                      <w:b/>
                      <w:bCs/>
                      <w:sz w:val="21"/>
                      <w:szCs w:val="21"/>
                    </w:rPr>
                  </w:pPr>
                </w:p>
                <w:p w14:paraId="618EE094">
                  <w:pPr>
                    <w:pStyle w:val="67"/>
                    <w:spacing w:line="240"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w:t>
                  </w:r>
                  <w:r>
                    <w:rPr>
                      <w:rFonts w:hint="default" w:ascii="Times New Roman" w:hAnsi="Times New Roman" w:eastAsia="宋体" w:cs="Times New Roman"/>
                      <w:spacing w:val="-39"/>
                      <w:sz w:val="21"/>
                      <w:szCs w:val="21"/>
                    </w:rPr>
                    <w:t xml:space="preserve"> </w:t>
                  </w:r>
                  <w:r>
                    <w:rPr>
                      <w:rFonts w:hint="default" w:ascii="Times New Roman" w:hAnsi="Times New Roman" w:eastAsia="Times New Roman" w:cs="Times New Roman"/>
                      <w:spacing w:val="8"/>
                      <w:sz w:val="21"/>
                      <w:szCs w:val="21"/>
                    </w:rPr>
                    <w:t>1#</w:t>
                  </w:r>
                  <w:r>
                    <w:rPr>
                      <w:rFonts w:hint="default" w:ascii="Times New Roman" w:hAnsi="Times New Roman" w:eastAsia="宋体" w:cs="Times New Roman"/>
                      <w:spacing w:val="8"/>
                      <w:sz w:val="21"/>
                      <w:szCs w:val="21"/>
                    </w:rPr>
                    <w:t>、</w:t>
                  </w:r>
                  <w:r>
                    <w:rPr>
                      <w:rFonts w:hint="default" w:ascii="Times New Roman" w:hAnsi="Times New Roman" w:eastAsia="Times New Roman" w:cs="Times New Roman"/>
                      <w:spacing w:val="8"/>
                      <w:sz w:val="21"/>
                      <w:szCs w:val="21"/>
                    </w:rPr>
                    <w:t>2#</w:t>
                  </w:r>
                  <w:r>
                    <w:rPr>
                      <w:rFonts w:hint="default" w:ascii="Times New Roman" w:hAnsi="Times New Roman" w:eastAsia="宋体" w:cs="Times New Roman"/>
                      <w:spacing w:val="8"/>
                      <w:sz w:val="21"/>
                      <w:szCs w:val="21"/>
                    </w:rPr>
                    <w:t>烧结机机头烟气颗粒物和</w:t>
                  </w:r>
                  <w:r>
                    <w:rPr>
                      <w:rFonts w:hint="default" w:ascii="Times New Roman" w:hAnsi="Times New Roman" w:eastAsia="Times New Roman" w:cs="Times New Roman"/>
                      <w:sz w:val="21"/>
                      <w:szCs w:val="21"/>
                    </w:rPr>
                    <w:t>NOx</w:t>
                  </w:r>
                  <w:r>
                    <w:rPr>
                      <w:rFonts w:hint="default" w:ascii="Times New Roman" w:hAnsi="Times New Roman" w:eastAsia="宋体" w:cs="Times New Roman"/>
                      <w:spacing w:val="10"/>
                      <w:sz w:val="21"/>
                      <w:szCs w:val="21"/>
                    </w:rPr>
                    <w:t>排放浓度不满足超低排放限值</w:t>
                  </w:r>
                  <w:r>
                    <w:rPr>
                      <w:rFonts w:hint="default" w:ascii="Times New Roman" w:hAnsi="Times New Roman" w:eastAsia="宋体" w:cs="Times New Roman"/>
                      <w:sz w:val="21"/>
                      <w:szCs w:val="21"/>
                    </w:rPr>
                    <w:t>要求，排气筒高度尚未改造完成</w:t>
                  </w:r>
                </w:p>
              </w:tc>
              <w:tc>
                <w:tcPr>
                  <w:tcW w:w="3785" w:type="dxa"/>
                  <w:tcBorders>
                    <w:tl2br w:val="nil"/>
                    <w:tr2bl w:val="nil"/>
                  </w:tcBorders>
                  <w:vAlign w:val="center"/>
                </w:tcPr>
                <w:p w14:paraId="21F06204">
                  <w:pPr>
                    <w:pStyle w:val="67"/>
                    <w:spacing w:before="12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盛隆公司已联合项目设计单位、施工单位和脱硫脱硝环保公司对现状存在的问题进行诊断和对除尘脱硝系统进行提标改造，以确保废气稳定达到 超低排放限值要求；2座烧结机机头共用一根150m高排气筒</w:t>
                  </w:r>
                </w:p>
              </w:tc>
              <w:tc>
                <w:tcPr>
                  <w:tcW w:w="908" w:type="dxa"/>
                  <w:vMerge w:val="restart"/>
                  <w:tcBorders>
                    <w:tl2br w:val="nil"/>
                    <w:tr2bl w:val="nil"/>
                  </w:tcBorders>
                  <w:vAlign w:val="center"/>
                </w:tcPr>
                <w:p w14:paraId="69464A6B">
                  <w:pPr>
                    <w:pStyle w:val="67"/>
                    <w:spacing w:line="240" w:lineRule="auto"/>
                    <w:ind w:left="0" w:leftChars="0" w:right="0" w:rightChars="0" w:firstLine="0" w:firstLineChars="0"/>
                    <w:jc w:val="center"/>
                    <w:rPr>
                      <w:rFonts w:hint="default" w:ascii="Times New Roman" w:hAnsi="Times New Roman" w:eastAsia="宋体" w:cs="Times New Roman"/>
                      <w:b/>
                      <w:bCs/>
                      <w:sz w:val="21"/>
                      <w:szCs w:val="21"/>
                    </w:rPr>
                  </w:pPr>
                </w:p>
                <w:p w14:paraId="586B8B08">
                  <w:pPr>
                    <w:pStyle w:val="67"/>
                    <w:spacing w:before="126" w:line="241" w:lineRule="exact"/>
                    <w:ind w:left="0" w:leftChars="0" w:right="0" w:rightChars="0" w:firstLine="0" w:firstLineChars="0"/>
                    <w:jc w:val="center"/>
                    <w:rPr>
                      <w:rFonts w:hint="default" w:ascii="Times New Roman" w:hAnsi="Times New Roman" w:eastAsia="宋体" w:cs="Times New Roman"/>
                      <w:sz w:val="21"/>
                      <w:szCs w:val="21"/>
                    </w:rPr>
                  </w:pPr>
                  <w:r>
                    <w:rPr>
                      <w:rFonts w:hint="eastAsia" w:ascii="Times New Roman" w:hAnsi="Times New Roman" w:eastAsia="宋体" w:cs="Times New Roman"/>
                      <w:spacing w:val="-15"/>
                      <w:sz w:val="21"/>
                      <w:szCs w:val="21"/>
                      <w:lang w:val="en-US" w:eastAsia="zh-CN"/>
                    </w:rPr>
                    <w:t>已</w:t>
                  </w:r>
                  <w:r>
                    <w:rPr>
                      <w:rFonts w:hint="default" w:ascii="Times New Roman" w:hAnsi="Times New Roman" w:eastAsia="宋体" w:cs="Times New Roman"/>
                      <w:spacing w:val="-15"/>
                      <w:sz w:val="21"/>
                      <w:szCs w:val="21"/>
                    </w:rPr>
                    <w:t>完成</w:t>
                  </w:r>
                </w:p>
              </w:tc>
            </w:tr>
            <w:tr w14:paraId="3A636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 w:hRule="atLeast"/>
                <w:jc w:val="center"/>
              </w:trPr>
              <w:tc>
                <w:tcPr>
                  <w:tcW w:w="411" w:type="dxa"/>
                  <w:vMerge w:val="restart"/>
                  <w:tcBorders>
                    <w:tl2br w:val="nil"/>
                    <w:tr2bl w:val="nil"/>
                  </w:tcBorders>
                  <w:vAlign w:val="center"/>
                </w:tcPr>
                <w:p w14:paraId="16091412">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4</w:t>
                  </w:r>
                </w:p>
              </w:tc>
              <w:tc>
                <w:tcPr>
                  <w:tcW w:w="2841" w:type="dxa"/>
                  <w:tcBorders>
                    <w:tl2br w:val="nil"/>
                    <w:tr2bl w:val="nil"/>
                  </w:tcBorders>
                  <w:vAlign w:val="center"/>
                </w:tcPr>
                <w:p w14:paraId="3CEAC3F8">
                  <w:pPr>
                    <w:pStyle w:val="67"/>
                    <w:spacing w:before="11" w:line="240" w:lineRule="auto"/>
                    <w:ind w:left="0" w:leftChars="0" w:right="0" w:rightChars="0" w:firstLine="0" w:firstLineChars="0"/>
                    <w:jc w:val="center"/>
                    <w:rPr>
                      <w:rFonts w:hint="default" w:ascii="Times New Roman" w:hAnsi="Times New Roman" w:eastAsia="宋体" w:cs="Times New Roman"/>
                      <w:b/>
                      <w:bCs/>
                      <w:sz w:val="21"/>
                      <w:szCs w:val="21"/>
                    </w:rPr>
                  </w:pPr>
                </w:p>
                <w:p w14:paraId="26C66EFD">
                  <w:pPr>
                    <w:pStyle w:val="67"/>
                    <w:spacing w:line="245"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Times New Roman" w:cs="Times New Roman"/>
                      <w:sz w:val="21"/>
                      <w:szCs w:val="21"/>
                    </w:rPr>
                    <w:t>3#</w:t>
                  </w:r>
                  <w:r>
                    <w:rPr>
                      <w:rFonts w:hint="default" w:ascii="Times New Roman" w:hAnsi="Times New Roman" w:eastAsia="Times New Roman" w:cs="Times New Roman"/>
                      <w:spacing w:val="-3"/>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pacing w:val="-45"/>
                      <w:sz w:val="21"/>
                      <w:szCs w:val="21"/>
                    </w:rPr>
                    <w:t xml:space="preserve"> </w:t>
                  </w:r>
                  <w:r>
                    <w:rPr>
                      <w:rFonts w:hint="default" w:ascii="Times New Roman" w:hAnsi="Times New Roman" w:eastAsia="Times New Roman" w:cs="Times New Roman"/>
                      <w:sz w:val="21"/>
                      <w:szCs w:val="21"/>
                    </w:rPr>
                    <w:t>4#</w:t>
                  </w:r>
                  <w:r>
                    <w:rPr>
                      <w:rFonts w:hint="default" w:ascii="Times New Roman" w:hAnsi="Times New Roman" w:eastAsia="Times New Roman" w:cs="Times New Roman"/>
                      <w:spacing w:val="1"/>
                      <w:sz w:val="21"/>
                      <w:szCs w:val="21"/>
                    </w:rPr>
                    <w:t xml:space="preserve"> </w:t>
                  </w:r>
                  <w:r>
                    <w:rPr>
                      <w:rFonts w:hint="default" w:ascii="Times New Roman" w:hAnsi="Times New Roman" w:eastAsia="宋体" w:cs="Times New Roman"/>
                      <w:sz w:val="21"/>
                      <w:szCs w:val="21"/>
                    </w:rPr>
                    <w:t>烧</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结</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机</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一</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混</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除</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尘</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排</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气</w:t>
                  </w:r>
                  <w:r>
                    <w:rPr>
                      <w:rFonts w:hint="default" w:ascii="Times New Roman" w:hAnsi="Times New Roman" w:eastAsia="宋体" w:cs="Times New Roman"/>
                      <w:spacing w:val="-45"/>
                      <w:sz w:val="21"/>
                      <w:szCs w:val="21"/>
                    </w:rPr>
                    <w:t xml:space="preserve"> </w:t>
                  </w:r>
                  <w:r>
                    <w:rPr>
                      <w:rFonts w:hint="default" w:ascii="Times New Roman" w:hAnsi="Times New Roman" w:eastAsia="宋体" w:cs="Times New Roman"/>
                      <w:sz w:val="21"/>
                      <w:szCs w:val="21"/>
                    </w:rPr>
                    <w:t>筒</w:t>
                  </w:r>
                  <w:r>
                    <w:rPr>
                      <w:rFonts w:hint="default" w:ascii="Times New Roman" w:hAnsi="Times New Roman" w:eastAsia="宋体" w:cs="Times New Roman"/>
                      <w:spacing w:val="3"/>
                      <w:sz w:val="21"/>
                      <w:szCs w:val="21"/>
                    </w:rPr>
                    <w:t>（</w:t>
                  </w:r>
                  <w:r>
                    <w:rPr>
                      <w:rFonts w:hint="default" w:ascii="Times New Roman" w:hAnsi="Times New Roman" w:eastAsia="Times New Roman" w:cs="Times New Roman"/>
                      <w:spacing w:val="3"/>
                      <w:sz w:val="21"/>
                      <w:szCs w:val="21"/>
                    </w:rPr>
                    <w:t>DA063</w:t>
                  </w:r>
                  <w:r>
                    <w:rPr>
                      <w:rFonts w:hint="default" w:ascii="Times New Roman" w:hAnsi="Times New Roman" w:eastAsia="宋体" w:cs="Times New Roman"/>
                      <w:spacing w:val="3"/>
                      <w:sz w:val="21"/>
                      <w:szCs w:val="21"/>
                    </w:rPr>
                    <w:t>）高度仅</w:t>
                  </w:r>
                  <w:r>
                    <w:rPr>
                      <w:rFonts w:hint="default" w:ascii="Times New Roman" w:hAnsi="Times New Roman" w:eastAsia="宋体" w:cs="Times New Roman"/>
                      <w:spacing w:val="-31"/>
                      <w:sz w:val="21"/>
                      <w:szCs w:val="21"/>
                    </w:rPr>
                    <w:t xml:space="preserve"> </w:t>
                  </w:r>
                  <w:r>
                    <w:rPr>
                      <w:rFonts w:hint="default" w:ascii="Times New Roman" w:hAnsi="Times New Roman" w:eastAsia="Times New Roman" w:cs="Times New Roman"/>
                      <w:spacing w:val="6"/>
                      <w:sz w:val="21"/>
                      <w:szCs w:val="21"/>
                    </w:rPr>
                    <w:t>6m</w:t>
                  </w:r>
                  <w:r>
                    <w:rPr>
                      <w:rFonts w:hint="default" w:ascii="Times New Roman" w:hAnsi="Times New Roman" w:eastAsia="宋体" w:cs="Times New Roman"/>
                      <w:spacing w:val="6"/>
                      <w:sz w:val="21"/>
                      <w:szCs w:val="21"/>
                    </w:rPr>
                    <w:t>，属于无组织</w:t>
                  </w:r>
                  <w:r>
                    <w:rPr>
                      <w:rFonts w:hint="default" w:ascii="Times New Roman" w:hAnsi="Times New Roman" w:eastAsia="宋体" w:cs="Times New Roman"/>
                      <w:spacing w:val="-88"/>
                      <w:sz w:val="21"/>
                      <w:szCs w:val="21"/>
                    </w:rPr>
                    <w:t xml:space="preserve"> </w:t>
                  </w:r>
                  <w:r>
                    <w:rPr>
                      <w:rFonts w:hint="default" w:ascii="Times New Roman" w:hAnsi="Times New Roman" w:eastAsia="宋体" w:cs="Times New Roman"/>
                      <w:sz w:val="21"/>
                      <w:szCs w:val="21"/>
                    </w:rPr>
                    <w:t>排放</w:t>
                  </w:r>
                </w:p>
              </w:tc>
              <w:tc>
                <w:tcPr>
                  <w:tcW w:w="3785" w:type="dxa"/>
                  <w:tcBorders>
                    <w:tl2br w:val="nil"/>
                    <w:tr2bl w:val="nil"/>
                  </w:tcBorders>
                  <w:vAlign w:val="center"/>
                </w:tcPr>
                <w:p w14:paraId="0AB93ECF">
                  <w:pPr>
                    <w:pStyle w:val="67"/>
                    <w:spacing w:before="6"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Times New Roman" w:cs="Times New Roman"/>
                      <w:spacing w:val="5"/>
                      <w:sz w:val="21"/>
                      <w:szCs w:val="21"/>
                    </w:rPr>
                    <w:t>3#4#</w:t>
                  </w:r>
                  <w:r>
                    <w:rPr>
                      <w:rFonts w:hint="default" w:ascii="Times New Roman" w:hAnsi="Times New Roman" w:eastAsia="宋体" w:cs="Times New Roman"/>
                      <w:spacing w:val="5"/>
                      <w:sz w:val="21"/>
                      <w:szCs w:val="21"/>
                    </w:rPr>
                    <w:t>烧结机一混现状采用水雾除尘，除尘后废气</w:t>
                  </w:r>
                  <w:r>
                    <w:rPr>
                      <w:rFonts w:hint="default" w:ascii="Times New Roman" w:hAnsi="Times New Roman" w:eastAsia="宋体" w:cs="Times New Roman"/>
                      <w:sz w:val="21"/>
                      <w:szCs w:val="21"/>
                    </w:rPr>
                    <w:t>经除尘器出口直接排放，排口高度约</w:t>
                  </w:r>
                  <w:r>
                    <w:rPr>
                      <w:rFonts w:hint="default" w:ascii="Times New Roman" w:hAnsi="Times New Roman" w:eastAsia="Times New Roman" w:cs="Times New Roman"/>
                      <w:sz w:val="21"/>
                      <w:szCs w:val="21"/>
                    </w:rPr>
                    <w:t>6m</w:t>
                  </w:r>
                  <w:r>
                    <w:rPr>
                      <w:rFonts w:hint="default" w:ascii="Times New Roman" w:hAnsi="Times New Roman" w:eastAsia="宋体" w:cs="Times New Roman"/>
                      <w:sz w:val="21"/>
                      <w:szCs w:val="21"/>
                    </w:rPr>
                    <w:t>，目前除</w:t>
                  </w:r>
                  <w:r>
                    <w:rPr>
                      <w:rFonts w:hint="default" w:ascii="Times New Roman" w:hAnsi="Times New Roman" w:eastAsia="宋体" w:cs="Times New Roman"/>
                      <w:spacing w:val="6"/>
                      <w:sz w:val="21"/>
                      <w:szCs w:val="21"/>
                    </w:rPr>
                    <w:t>尘效果也达不到超低排放限值要求，盛隆公司正</w:t>
                  </w:r>
                  <w:r>
                    <w:rPr>
                      <w:rFonts w:hint="default" w:ascii="Times New Roman" w:hAnsi="Times New Roman" w:eastAsia="宋体" w:cs="Times New Roman"/>
                      <w:spacing w:val="-83"/>
                      <w:sz w:val="21"/>
                      <w:szCs w:val="21"/>
                    </w:rPr>
                    <w:t xml:space="preserve"> </w:t>
                  </w:r>
                  <w:r>
                    <w:rPr>
                      <w:rFonts w:hint="default" w:ascii="Times New Roman" w:hAnsi="Times New Roman" w:eastAsia="宋体" w:cs="Times New Roman"/>
                      <w:spacing w:val="6"/>
                      <w:sz w:val="21"/>
                      <w:szCs w:val="21"/>
                    </w:rPr>
                    <w:t>在全厂超低排放改造</w:t>
                  </w:r>
                  <w:r>
                    <w:rPr>
                      <w:rFonts w:hint="eastAsia" w:cs="Times New Roman"/>
                      <w:spacing w:val="6"/>
                      <w:sz w:val="21"/>
                      <w:szCs w:val="21"/>
                      <w:lang w:eastAsia="zh-CN"/>
                    </w:rPr>
                    <w:t>过程中将</w:t>
                  </w:r>
                  <w:r>
                    <w:rPr>
                      <w:rFonts w:hint="default" w:ascii="Times New Roman" w:hAnsi="Times New Roman" w:eastAsia="宋体" w:cs="Times New Roman"/>
                      <w:spacing w:val="6"/>
                      <w:sz w:val="21"/>
                      <w:szCs w:val="21"/>
                    </w:rPr>
                    <w:t>水雾除尘器改为旋</w:t>
                  </w:r>
                  <w:r>
                    <w:rPr>
                      <w:rFonts w:hint="default" w:ascii="Times New Roman" w:hAnsi="Times New Roman" w:eastAsia="宋体" w:cs="Times New Roman"/>
                      <w:sz w:val="21"/>
                      <w:szCs w:val="21"/>
                    </w:rPr>
                    <w:t>涡式湿法除尘器，设置</w:t>
                  </w:r>
                  <w:r>
                    <w:rPr>
                      <w:rFonts w:hint="default" w:ascii="Times New Roman" w:hAnsi="Times New Roman" w:eastAsia="宋体" w:cs="Times New Roman"/>
                      <w:spacing w:val="-46"/>
                      <w:sz w:val="21"/>
                      <w:szCs w:val="21"/>
                    </w:rPr>
                    <w:t xml:space="preserve"> </w:t>
                  </w:r>
                  <w:r>
                    <w:rPr>
                      <w:rFonts w:hint="default" w:ascii="Times New Roman" w:hAnsi="Times New Roman" w:eastAsia="Times New Roman" w:cs="Times New Roman"/>
                      <w:sz w:val="21"/>
                      <w:szCs w:val="21"/>
                    </w:rPr>
                    <w:t>1</w:t>
                  </w:r>
                  <w:r>
                    <w:rPr>
                      <w:rFonts w:hint="default" w:ascii="Times New Roman" w:hAnsi="Times New Roman" w:eastAsia="宋体" w:cs="Times New Roman"/>
                      <w:sz w:val="21"/>
                      <w:szCs w:val="21"/>
                    </w:rPr>
                    <w:t>根</w:t>
                  </w:r>
                  <w:r>
                    <w:rPr>
                      <w:rFonts w:hint="default" w:ascii="Times New Roman" w:hAnsi="Times New Roman" w:eastAsia="宋体" w:cs="Times New Roman"/>
                      <w:spacing w:val="-46"/>
                      <w:sz w:val="21"/>
                      <w:szCs w:val="21"/>
                    </w:rPr>
                    <w:t xml:space="preserve"> </w:t>
                  </w:r>
                  <w:r>
                    <w:rPr>
                      <w:rFonts w:hint="default" w:ascii="Times New Roman" w:hAnsi="Times New Roman" w:eastAsia="Times New Roman" w:cs="Times New Roman"/>
                      <w:sz w:val="21"/>
                      <w:szCs w:val="21"/>
                    </w:rPr>
                    <w:t>35m</w:t>
                  </w:r>
                  <w:r>
                    <w:rPr>
                      <w:rFonts w:hint="default" w:ascii="Times New Roman" w:hAnsi="Times New Roman" w:eastAsia="宋体" w:cs="Times New Roman"/>
                      <w:sz w:val="21"/>
                      <w:szCs w:val="21"/>
                    </w:rPr>
                    <w:t>高排气筒</w:t>
                  </w:r>
                </w:p>
              </w:tc>
              <w:tc>
                <w:tcPr>
                  <w:tcW w:w="908" w:type="dxa"/>
                  <w:tcBorders>
                    <w:tl2br w:val="nil"/>
                    <w:tr2bl w:val="nil"/>
                  </w:tcBorders>
                  <w:vAlign w:val="center"/>
                </w:tcPr>
                <w:p w14:paraId="3075B92A">
                  <w:pPr>
                    <w:pStyle w:val="67"/>
                    <w:spacing w:line="240" w:lineRule="auto"/>
                    <w:ind w:left="0" w:leftChars="0" w:right="0" w:rightChars="0" w:firstLine="0" w:firstLineChars="0"/>
                    <w:jc w:val="center"/>
                    <w:rPr>
                      <w:rFonts w:hint="default" w:ascii="Times New Roman" w:hAnsi="Times New Roman" w:eastAsia="宋体" w:cs="Times New Roman"/>
                      <w:b/>
                      <w:bCs/>
                      <w:sz w:val="21"/>
                      <w:szCs w:val="21"/>
                    </w:rPr>
                  </w:pPr>
                </w:p>
                <w:p w14:paraId="5F3605C0">
                  <w:pPr>
                    <w:pStyle w:val="67"/>
                    <w:spacing w:before="150" w:line="232"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已完成</w:t>
                  </w:r>
                </w:p>
              </w:tc>
            </w:tr>
            <w:tr w14:paraId="4A480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jc w:val="center"/>
              </w:trPr>
              <w:tc>
                <w:tcPr>
                  <w:tcW w:w="411" w:type="dxa"/>
                  <w:tcBorders>
                    <w:tl2br w:val="nil"/>
                    <w:tr2bl w:val="nil"/>
                  </w:tcBorders>
                  <w:vAlign w:val="center"/>
                </w:tcPr>
                <w:p w14:paraId="5BF1DE4D">
                  <w:pPr>
                    <w:pStyle w:val="67"/>
                    <w:spacing w:before="160"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5</w:t>
                  </w:r>
                </w:p>
              </w:tc>
              <w:tc>
                <w:tcPr>
                  <w:tcW w:w="2841" w:type="dxa"/>
                  <w:tcBorders>
                    <w:tl2br w:val="nil"/>
                    <w:tr2bl w:val="nil"/>
                  </w:tcBorders>
                  <w:vAlign w:val="center"/>
                </w:tcPr>
                <w:p w14:paraId="52FA7F2C">
                  <w:pPr>
                    <w:pStyle w:val="67"/>
                    <w:spacing w:before="8"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Times New Roman" w:cs="Times New Roman"/>
                      <w:sz w:val="21"/>
                      <w:szCs w:val="21"/>
                    </w:rPr>
                    <w:t>26</w:t>
                  </w:r>
                  <w:r>
                    <w:rPr>
                      <w:rFonts w:hint="default" w:ascii="Times New Roman" w:hAnsi="Times New Roman" w:eastAsia="宋体" w:cs="Times New Roman"/>
                      <w:spacing w:val="9"/>
                      <w:sz w:val="21"/>
                      <w:szCs w:val="21"/>
                    </w:rPr>
                    <w:t>根排气筒尚未纳入排污许可证管</w:t>
                  </w:r>
                  <w:r>
                    <w:rPr>
                      <w:rFonts w:hint="default" w:ascii="Times New Roman" w:hAnsi="Times New Roman" w:eastAsia="宋体" w:cs="Times New Roman"/>
                      <w:sz w:val="21"/>
                      <w:szCs w:val="21"/>
                    </w:rPr>
                    <w:t>理中</w:t>
                  </w:r>
                </w:p>
              </w:tc>
              <w:tc>
                <w:tcPr>
                  <w:tcW w:w="3785" w:type="dxa"/>
                  <w:tcBorders>
                    <w:tl2br w:val="nil"/>
                    <w:tr2bl w:val="nil"/>
                  </w:tcBorders>
                  <w:vAlign w:val="center"/>
                </w:tcPr>
                <w:p w14:paraId="1F9412AD">
                  <w:pPr>
                    <w:pStyle w:val="67"/>
                    <w:spacing w:before="8"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修改填报排污许可证，将尽快向审</w:t>
                  </w:r>
                  <w:r>
                    <w:rPr>
                      <w:rFonts w:hint="default" w:ascii="Times New Roman" w:hAnsi="Times New Roman" w:eastAsia="宋体" w:cs="Times New Roman"/>
                      <w:sz w:val="21"/>
                      <w:szCs w:val="21"/>
                    </w:rPr>
                    <w:t>批部门申请排污许可证的变更</w:t>
                  </w:r>
                </w:p>
              </w:tc>
              <w:tc>
                <w:tcPr>
                  <w:tcW w:w="908" w:type="dxa"/>
                  <w:tcBorders>
                    <w:tl2br w:val="nil"/>
                    <w:tr2bl w:val="nil"/>
                  </w:tcBorders>
                  <w:vAlign w:val="center"/>
                </w:tcPr>
                <w:p w14:paraId="776B3587">
                  <w:pPr>
                    <w:pStyle w:val="67"/>
                    <w:spacing w:before="1"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已完成</w:t>
                  </w:r>
                </w:p>
              </w:tc>
            </w:tr>
            <w:tr w14:paraId="52337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dxa"/>
                  <w:tcBorders>
                    <w:tl2br w:val="nil"/>
                    <w:tr2bl w:val="nil"/>
                  </w:tcBorders>
                  <w:vAlign w:val="center"/>
                </w:tcPr>
                <w:p w14:paraId="6B767C12">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6</w:t>
                  </w:r>
                </w:p>
              </w:tc>
              <w:tc>
                <w:tcPr>
                  <w:tcW w:w="2841" w:type="dxa"/>
                  <w:tcBorders>
                    <w:tl2br w:val="nil"/>
                    <w:tr2bl w:val="nil"/>
                  </w:tcBorders>
                  <w:vAlign w:val="center"/>
                </w:tcPr>
                <w:p w14:paraId="260CC4F0">
                  <w:pPr>
                    <w:pStyle w:val="67"/>
                    <w:spacing w:before="8"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少数排气筒未按HJ846-2017和HJ878-2017的相关要求开展自行监测</w:t>
                  </w:r>
                </w:p>
              </w:tc>
              <w:tc>
                <w:tcPr>
                  <w:tcW w:w="3785" w:type="dxa"/>
                  <w:tcBorders>
                    <w:tl2br w:val="nil"/>
                    <w:tr2bl w:val="nil"/>
                  </w:tcBorders>
                  <w:vAlign w:val="center"/>
                </w:tcPr>
                <w:p w14:paraId="0E40691D">
                  <w:pPr>
                    <w:pStyle w:val="67"/>
                    <w:spacing w:before="8"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将按环大气〔2019〕35号文和环办大气函〔2019〕922号文的相关要求对全部排气筒进行监测</w:t>
                  </w:r>
                </w:p>
              </w:tc>
              <w:tc>
                <w:tcPr>
                  <w:tcW w:w="908" w:type="dxa"/>
                  <w:tcBorders>
                    <w:tl2br w:val="nil"/>
                    <w:tr2bl w:val="nil"/>
                  </w:tcBorders>
                  <w:vAlign w:val="center"/>
                </w:tcPr>
                <w:p w14:paraId="0610CCF7">
                  <w:pPr>
                    <w:pStyle w:val="67"/>
                    <w:spacing w:before="8" w:line="240" w:lineRule="auto"/>
                    <w:ind w:left="0" w:leftChars="0" w:right="0" w:rightChars="0" w:firstLine="0" w:firstLineChars="0"/>
                    <w:jc w:val="center"/>
                    <w:rPr>
                      <w:rFonts w:hint="default" w:ascii="Times New Roman" w:hAnsi="Times New Roman" w:eastAsia="Times New Roman" w:cs="Times New Roman"/>
                      <w:sz w:val="21"/>
                      <w:szCs w:val="21"/>
                    </w:rPr>
                  </w:pPr>
                </w:p>
                <w:p w14:paraId="0079C9AD">
                  <w:pPr>
                    <w:pStyle w:val="67"/>
                    <w:spacing w:before="8"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已完成</w:t>
                  </w:r>
                </w:p>
              </w:tc>
            </w:tr>
            <w:tr w14:paraId="17AA6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5" w:hRule="atLeast"/>
                <w:jc w:val="center"/>
              </w:trPr>
              <w:tc>
                <w:tcPr>
                  <w:tcW w:w="411" w:type="dxa"/>
                  <w:vMerge w:val="restart"/>
                  <w:tcBorders>
                    <w:tl2br w:val="nil"/>
                    <w:tr2bl w:val="nil"/>
                  </w:tcBorders>
                  <w:vAlign w:val="center"/>
                </w:tcPr>
                <w:p w14:paraId="35F584EE">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7</w:t>
                  </w:r>
                </w:p>
              </w:tc>
              <w:tc>
                <w:tcPr>
                  <w:tcW w:w="2841" w:type="dxa"/>
                  <w:vMerge w:val="restart"/>
                  <w:tcBorders>
                    <w:tl2br w:val="nil"/>
                    <w:tr2bl w:val="nil"/>
                  </w:tcBorders>
                  <w:vAlign w:val="center"/>
                </w:tcPr>
                <w:p w14:paraId="7206E312">
                  <w:pPr>
                    <w:pStyle w:val="67"/>
                    <w:spacing w:before="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部分排气筒上无采样口和</w:t>
                  </w:r>
                  <w:r>
                    <w:rPr>
                      <w:rFonts w:hint="eastAsia" w:cs="Times New Roman"/>
                      <w:sz w:val="21"/>
                      <w:szCs w:val="21"/>
                      <w:lang w:eastAsia="zh-CN"/>
                    </w:rPr>
                    <w:t>采样</w:t>
                  </w:r>
                  <w:r>
                    <w:rPr>
                      <w:rFonts w:hint="default" w:ascii="Times New Roman" w:hAnsi="Times New Roman" w:eastAsia="宋体" w:cs="Times New Roman"/>
                      <w:sz w:val="21"/>
                      <w:szCs w:val="21"/>
                    </w:rPr>
                    <w:t>平台，或采样口位置不满足“前四后二”要求，或无通往采样平台的折梯、旋梯或升降梯</w:t>
                  </w:r>
                </w:p>
              </w:tc>
              <w:tc>
                <w:tcPr>
                  <w:tcW w:w="3785" w:type="dxa"/>
                  <w:tcBorders>
                    <w:tl2br w:val="nil"/>
                    <w:tr2bl w:val="nil"/>
                  </w:tcBorders>
                  <w:vAlign w:val="center"/>
                </w:tcPr>
                <w:p w14:paraId="3BF0041B">
                  <w:pPr>
                    <w:pStyle w:val="67"/>
                    <w:spacing w:before="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对所有排气筒采样口和采样平台规范</w:t>
                  </w:r>
                  <w:r>
                    <w:rPr>
                      <w:rFonts w:hint="default" w:ascii="Times New Roman" w:hAnsi="Times New Roman" w:eastAsia="宋体" w:cs="Times New Roman"/>
                      <w:sz w:val="21"/>
                      <w:szCs w:val="21"/>
                    </w:rPr>
                    <w:t>化设置情况开展排查和梳理工作，在正在实施的超低排放改造过程中严格按照 HJ75-2017 等相关规范要求进行整改</w:t>
                  </w:r>
                </w:p>
              </w:tc>
              <w:tc>
                <w:tcPr>
                  <w:tcW w:w="908" w:type="dxa"/>
                  <w:vMerge w:val="restart"/>
                  <w:tcBorders>
                    <w:tl2br w:val="nil"/>
                    <w:tr2bl w:val="nil"/>
                  </w:tcBorders>
                  <w:vAlign w:val="center"/>
                </w:tcPr>
                <w:p w14:paraId="56CCEA78">
                  <w:pPr>
                    <w:pStyle w:val="67"/>
                    <w:spacing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已完成</w:t>
                  </w:r>
                </w:p>
              </w:tc>
            </w:tr>
            <w:tr w14:paraId="0B2F1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7" w:hRule="atLeast"/>
                <w:jc w:val="center"/>
              </w:trPr>
              <w:tc>
                <w:tcPr>
                  <w:tcW w:w="411" w:type="dxa"/>
                  <w:vMerge w:val="restart"/>
                  <w:tcBorders>
                    <w:tl2br w:val="nil"/>
                    <w:tr2bl w:val="nil"/>
                  </w:tcBorders>
                  <w:vAlign w:val="center"/>
                </w:tcPr>
                <w:p w14:paraId="06904801">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8</w:t>
                  </w:r>
                </w:p>
              </w:tc>
              <w:tc>
                <w:tcPr>
                  <w:tcW w:w="2841" w:type="dxa"/>
                  <w:vMerge w:val="restart"/>
                  <w:tcBorders>
                    <w:tl2br w:val="nil"/>
                    <w:tr2bl w:val="nil"/>
                  </w:tcBorders>
                  <w:vAlign w:val="center"/>
                </w:tcPr>
                <w:p w14:paraId="4937BC74">
                  <w:pPr>
                    <w:pStyle w:val="67"/>
                    <w:spacing w:before="7" w:line="240" w:lineRule="auto"/>
                    <w:ind w:left="0" w:leftChars="0" w:right="0" w:rightChars="0" w:firstLine="0" w:firstLineChars="0"/>
                    <w:jc w:val="center"/>
                    <w:rPr>
                      <w:rFonts w:hint="default" w:ascii="Times New Roman" w:hAnsi="Times New Roman" w:eastAsia="宋体" w:cs="Times New Roman"/>
                      <w:sz w:val="21"/>
                      <w:szCs w:val="21"/>
                    </w:rPr>
                  </w:pPr>
                </w:p>
                <w:p w14:paraId="64561DB7">
                  <w:pPr>
                    <w:pStyle w:val="67"/>
                    <w:spacing w:before="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部分原料大棚未全封闭</w:t>
                  </w:r>
                </w:p>
              </w:tc>
              <w:tc>
                <w:tcPr>
                  <w:tcW w:w="3785" w:type="dxa"/>
                  <w:tcBorders>
                    <w:tl2br w:val="nil"/>
                    <w:tr2bl w:val="nil"/>
                  </w:tcBorders>
                  <w:vAlign w:val="center"/>
                </w:tcPr>
                <w:p w14:paraId="41E80000">
                  <w:pPr>
                    <w:pStyle w:val="67"/>
                    <w:spacing w:before="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盛隆公司正在开展超低排放改造，目前已完成南区料棚封闭， 北区供料大棚已完成框架搭建工作。全封闭原料大棚内配备干雾或超细雾炮抑尘措施，料场出口配备洗车平台</w:t>
                  </w:r>
                </w:p>
              </w:tc>
              <w:tc>
                <w:tcPr>
                  <w:tcW w:w="908" w:type="dxa"/>
                  <w:vMerge w:val="restart"/>
                  <w:tcBorders>
                    <w:tl2br w:val="nil"/>
                    <w:tr2bl w:val="nil"/>
                  </w:tcBorders>
                  <w:vAlign w:val="center"/>
                </w:tcPr>
                <w:p w14:paraId="64576B07">
                  <w:pPr>
                    <w:pStyle w:val="67"/>
                    <w:spacing w:before="7" w:line="240" w:lineRule="auto"/>
                    <w:ind w:left="0" w:leftChars="0" w:right="0" w:rightChars="0" w:firstLine="0" w:firstLineChars="0"/>
                    <w:jc w:val="center"/>
                    <w:rPr>
                      <w:rFonts w:hint="default" w:ascii="Times New Roman" w:hAnsi="Times New Roman" w:eastAsia="宋体" w:cs="Times New Roman"/>
                      <w:b/>
                      <w:bCs/>
                      <w:sz w:val="21"/>
                      <w:szCs w:val="21"/>
                    </w:rPr>
                  </w:pPr>
                </w:p>
                <w:p w14:paraId="2531EB36">
                  <w:pPr>
                    <w:pStyle w:val="67"/>
                    <w:spacing w:line="240" w:lineRule="auto"/>
                    <w:ind w:left="0" w:leftChars="0" w:right="0" w:rightChars="0" w:firstLine="0" w:firstLineChars="0"/>
                    <w:jc w:val="center"/>
                    <w:rPr>
                      <w:rFonts w:hint="default" w:ascii="Times New Roman" w:hAnsi="Times New Roman" w:eastAsia="宋体" w:cs="Times New Roman"/>
                      <w:sz w:val="21"/>
                      <w:szCs w:val="21"/>
                    </w:rPr>
                  </w:pPr>
                  <w:r>
                    <w:rPr>
                      <w:rFonts w:hint="eastAsia" w:ascii="Times New Roman" w:hAnsi="Times New Roman" w:eastAsia="宋体" w:cs="Times New Roman"/>
                      <w:spacing w:val="-11"/>
                      <w:sz w:val="21"/>
                      <w:szCs w:val="21"/>
                      <w:lang w:val="en-US" w:eastAsia="zh-CN"/>
                    </w:rPr>
                    <w:t>已</w:t>
                  </w:r>
                  <w:r>
                    <w:rPr>
                      <w:rFonts w:hint="default" w:ascii="Times New Roman" w:hAnsi="Times New Roman" w:eastAsia="宋体" w:cs="Times New Roman"/>
                      <w:spacing w:val="-15"/>
                      <w:sz w:val="21"/>
                      <w:szCs w:val="21"/>
                    </w:rPr>
                    <w:t>完成</w:t>
                  </w:r>
                </w:p>
              </w:tc>
            </w:tr>
            <w:tr w14:paraId="506DB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6" w:hRule="atLeast"/>
                <w:jc w:val="center"/>
              </w:trPr>
              <w:tc>
                <w:tcPr>
                  <w:tcW w:w="411" w:type="dxa"/>
                  <w:vMerge w:val="restart"/>
                  <w:tcBorders>
                    <w:tl2br w:val="nil"/>
                    <w:tr2bl w:val="nil"/>
                  </w:tcBorders>
                  <w:vAlign w:val="center"/>
                </w:tcPr>
                <w:p w14:paraId="064A53EE">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9</w:t>
                  </w:r>
                </w:p>
              </w:tc>
              <w:tc>
                <w:tcPr>
                  <w:tcW w:w="2841" w:type="dxa"/>
                  <w:vMerge w:val="restart"/>
                  <w:tcBorders>
                    <w:tl2br w:val="nil"/>
                    <w:tr2bl w:val="nil"/>
                  </w:tcBorders>
                  <w:vAlign w:val="center"/>
                </w:tcPr>
                <w:p w14:paraId="5635128C">
                  <w:pPr>
                    <w:pStyle w:val="67"/>
                    <w:spacing w:before="7" w:line="240" w:lineRule="auto"/>
                    <w:ind w:left="0" w:leftChars="0" w:right="0" w:rightChars="0" w:firstLine="0" w:firstLineChars="0"/>
                    <w:jc w:val="center"/>
                    <w:rPr>
                      <w:rFonts w:hint="default" w:ascii="Times New Roman" w:hAnsi="Times New Roman" w:eastAsia="宋体" w:cs="Times New Roman"/>
                      <w:sz w:val="21"/>
                      <w:szCs w:val="21"/>
                    </w:rPr>
                  </w:pPr>
                </w:p>
                <w:p w14:paraId="60091786">
                  <w:pPr>
                    <w:pStyle w:val="67"/>
                    <w:spacing w:before="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部分受料坑、皮带输送落料点未配备 废气收集处理设施或抑尘措施</w:t>
                  </w:r>
                </w:p>
              </w:tc>
              <w:tc>
                <w:tcPr>
                  <w:tcW w:w="3785" w:type="dxa"/>
                  <w:tcBorders>
                    <w:tl2br w:val="nil"/>
                    <w:tr2bl w:val="nil"/>
                  </w:tcBorders>
                  <w:vAlign w:val="center"/>
                </w:tcPr>
                <w:p w14:paraId="740F9C6A">
                  <w:pPr>
                    <w:pStyle w:val="67"/>
                    <w:spacing w:before="7"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在现有工程超低排放改造和第二阶段技改工程建设过程中，盛隆公司加强对物料输送环节无组织排放进行精细化管控，对皮带通廊和转运站进行 全封闭，对皮带机头和机尾配备集气罩和除尘设施，受料坑配备干雾抑尘或负压收尘设施</w:t>
                  </w:r>
                </w:p>
              </w:tc>
              <w:tc>
                <w:tcPr>
                  <w:tcW w:w="908" w:type="dxa"/>
                  <w:vMerge w:val="restart"/>
                  <w:tcBorders>
                    <w:tl2br w:val="nil"/>
                    <w:tr2bl w:val="nil"/>
                  </w:tcBorders>
                  <w:vAlign w:val="center"/>
                </w:tcPr>
                <w:p w14:paraId="10A0A1D5">
                  <w:pPr>
                    <w:pStyle w:val="67"/>
                    <w:spacing w:line="240" w:lineRule="auto"/>
                    <w:ind w:left="0" w:leftChars="0" w:right="0" w:rightChars="0" w:firstLine="0" w:firstLineChars="0"/>
                    <w:jc w:val="center"/>
                    <w:rPr>
                      <w:rFonts w:hint="default" w:ascii="Times New Roman" w:hAnsi="Times New Roman" w:eastAsia="宋体" w:cs="Times New Roman"/>
                      <w:b/>
                      <w:bCs/>
                      <w:sz w:val="21"/>
                      <w:szCs w:val="21"/>
                    </w:rPr>
                  </w:pPr>
                </w:p>
                <w:p w14:paraId="44DA7CC4">
                  <w:pPr>
                    <w:pStyle w:val="67"/>
                    <w:spacing w:before="151" w:line="232"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已完成</w:t>
                  </w:r>
                </w:p>
              </w:tc>
            </w:tr>
            <w:tr w14:paraId="01FE1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0" w:hRule="atLeast"/>
                <w:jc w:val="center"/>
              </w:trPr>
              <w:tc>
                <w:tcPr>
                  <w:tcW w:w="411" w:type="dxa"/>
                  <w:tcBorders>
                    <w:tl2br w:val="nil"/>
                    <w:tr2bl w:val="nil"/>
                  </w:tcBorders>
                  <w:vAlign w:val="center"/>
                </w:tcPr>
                <w:p w14:paraId="4D9E67BF">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10</w:t>
                  </w:r>
                </w:p>
              </w:tc>
              <w:tc>
                <w:tcPr>
                  <w:tcW w:w="2841" w:type="dxa"/>
                  <w:tcBorders>
                    <w:tl2br w:val="nil"/>
                    <w:tr2bl w:val="nil"/>
                  </w:tcBorders>
                  <w:vAlign w:val="center"/>
                </w:tcPr>
                <w:p w14:paraId="7783382C">
                  <w:pPr>
                    <w:pStyle w:val="67"/>
                    <w:spacing w:before="130" w:line="244"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北厂区部分道路有一定程度的破损，</w:t>
                  </w:r>
                  <w:r>
                    <w:rPr>
                      <w:rFonts w:hint="default" w:ascii="Times New Roman" w:hAnsi="Times New Roman" w:eastAsia="宋体" w:cs="Times New Roman"/>
                      <w:spacing w:val="-85"/>
                      <w:sz w:val="21"/>
                      <w:szCs w:val="21"/>
                    </w:rPr>
                    <w:t xml:space="preserve"> </w:t>
                  </w:r>
                  <w:r>
                    <w:rPr>
                      <w:rFonts w:hint="default" w:ascii="Times New Roman" w:hAnsi="Times New Roman" w:eastAsia="宋体" w:cs="Times New Roman"/>
                      <w:sz w:val="21"/>
                      <w:szCs w:val="21"/>
                    </w:rPr>
                    <w:t>车辆通过有扬尘产生</w:t>
                  </w:r>
                </w:p>
              </w:tc>
              <w:tc>
                <w:tcPr>
                  <w:tcW w:w="3785" w:type="dxa"/>
                  <w:tcBorders>
                    <w:tl2br w:val="nil"/>
                    <w:tr2bl w:val="nil"/>
                  </w:tcBorders>
                  <w:vAlign w:val="center"/>
                </w:tcPr>
                <w:p w14:paraId="01F1631C">
                  <w:pPr>
                    <w:pStyle w:val="67"/>
                    <w:spacing w:line="210"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北厂区正在进行第二阶段技改工程建设，施工期间大型运输车辆通行频繁，对道路有损坏。工程建设完成后，将对厂区道路铺设沥青路面，增加</w:t>
                  </w:r>
                  <w:r>
                    <w:rPr>
                      <w:rFonts w:hint="default" w:ascii="Times New Roman" w:hAnsi="Times New Roman" w:eastAsia="宋体" w:cs="Times New Roman"/>
                      <w:spacing w:val="-83"/>
                      <w:sz w:val="21"/>
                      <w:szCs w:val="21"/>
                    </w:rPr>
                    <w:t xml:space="preserve"> </w:t>
                  </w:r>
                  <w:r>
                    <w:rPr>
                      <w:rFonts w:hint="default" w:ascii="Times New Roman" w:hAnsi="Times New Roman" w:eastAsia="宋体" w:cs="Times New Roman"/>
                      <w:spacing w:val="6"/>
                      <w:sz w:val="21"/>
                      <w:szCs w:val="21"/>
                    </w:rPr>
                    <w:t>洒水车和扫地车，并重新设计和规划北厂区绿化</w:t>
                  </w:r>
                  <w:r>
                    <w:rPr>
                      <w:rFonts w:hint="default" w:ascii="Times New Roman" w:hAnsi="Times New Roman" w:eastAsia="宋体" w:cs="Times New Roman"/>
                      <w:sz w:val="21"/>
                      <w:szCs w:val="21"/>
                    </w:rPr>
                    <w:t>景观建设</w:t>
                  </w:r>
                </w:p>
              </w:tc>
              <w:tc>
                <w:tcPr>
                  <w:tcW w:w="908" w:type="dxa"/>
                  <w:tcBorders>
                    <w:tl2br w:val="nil"/>
                    <w:tr2bl w:val="nil"/>
                  </w:tcBorders>
                  <w:vAlign w:val="center"/>
                </w:tcPr>
                <w:p w14:paraId="01E04FCD">
                  <w:pPr>
                    <w:pStyle w:val="67"/>
                    <w:spacing w:line="240" w:lineRule="auto"/>
                    <w:ind w:left="0" w:leftChars="0" w:right="0" w:rightChars="0" w:firstLine="0" w:firstLineChars="0"/>
                    <w:jc w:val="center"/>
                    <w:rPr>
                      <w:rFonts w:hint="default" w:ascii="Times New Roman" w:hAnsi="Times New Roman" w:eastAsia="宋体" w:cs="Times New Roman"/>
                      <w:b/>
                      <w:bCs/>
                      <w:sz w:val="21"/>
                      <w:szCs w:val="21"/>
                    </w:rPr>
                  </w:pPr>
                </w:p>
                <w:p w14:paraId="68614777">
                  <w:pPr>
                    <w:pStyle w:val="67"/>
                    <w:spacing w:before="150" w:line="232"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已完成</w:t>
                  </w:r>
                </w:p>
              </w:tc>
            </w:tr>
            <w:tr w14:paraId="17E77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dxa"/>
                  <w:tcBorders>
                    <w:tl2br w:val="nil"/>
                    <w:tr2bl w:val="nil"/>
                  </w:tcBorders>
                  <w:vAlign w:val="center"/>
                </w:tcPr>
                <w:p w14:paraId="076953E9">
                  <w:pPr>
                    <w:pStyle w:val="67"/>
                    <w:spacing w:line="240" w:lineRule="auto"/>
                    <w:ind w:left="0" w:leftChars="0" w:right="0" w:rightChars="0" w:firstLine="0" w:firstLineChars="0"/>
                    <w:jc w:val="center"/>
                    <w:rPr>
                      <w:rFonts w:hint="default" w:ascii="Times New Roman" w:hAnsi="Times New Roman" w:eastAsia="Times New Roman" w:cs="Times New Roman"/>
                      <w:sz w:val="21"/>
                      <w:szCs w:val="21"/>
                    </w:rPr>
                  </w:pPr>
                  <w:r>
                    <w:rPr>
                      <w:rFonts w:hint="default" w:ascii="Times New Roman" w:hAnsi="Times New Roman" w:cs="Times New Roman"/>
                      <w:sz w:val="21"/>
                      <w:szCs w:val="21"/>
                    </w:rPr>
                    <w:t>11</w:t>
                  </w:r>
                </w:p>
              </w:tc>
              <w:tc>
                <w:tcPr>
                  <w:tcW w:w="2841" w:type="dxa"/>
                  <w:tcBorders>
                    <w:tl2br w:val="nil"/>
                    <w:tr2bl w:val="nil"/>
                  </w:tcBorders>
                  <w:vAlign w:val="center"/>
                </w:tcPr>
                <w:p w14:paraId="0D0B3DD5">
                  <w:pPr>
                    <w:pStyle w:val="67"/>
                    <w:spacing w:before="26" w:line="240"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一、二区焦化煤气净化区域各类贮槽</w:t>
                  </w:r>
                  <w:r>
                    <w:rPr>
                      <w:rFonts w:hint="default" w:ascii="Times New Roman" w:hAnsi="Times New Roman" w:eastAsia="宋体" w:cs="Times New Roman"/>
                      <w:spacing w:val="-85"/>
                      <w:sz w:val="21"/>
                      <w:szCs w:val="21"/>
                    </w:rPr>
                    <w:t xml:space="preserve"> </w:t>
                  </w:r>
                  <w:r>
                    <w:rPr>
                      <w:rFonts w:hint="default" w:ascii="Times New Roman" w:hAnsi="Times New Roman" w:eastAsia="宋体" w:cs="Times New Roman"/>
                      <w:sz w:val="21"/>
                      <w:szCs w:val="21"/>
                    </w:rPr>
                    <w:t>和油库罐区含</w:t>
                  </w:r>
                  <w:r>
                    <w:rPr>
                      <w:rFonts w:hint="default" w:ascii="Times New Roman" w:hAnsi="Times New Roman" w:eastAsia="宋体" w:cs="Times New Roman"/>
                      <w:spacing w:val="-44"/>
                      <w:sz w:val="21"/>
                      <w:szCs w:val="21"/>
                    </w:rPr>
                    <w:t xml:space="preserve"> </w:t>
                  </w:r>
                  <w:r>
                    <w:rPr>
                      <w:rFonts w:hint="default" w:ascii="Times New Roman" w:hAnsi="Times New Roman" w:eastAsia="Times New Roman" w:cs="Times New Roman"/>
                      <w:sz w:val="21"/>
                      <w:szCs w:val="21"/>
                    </w:rPr>
                    <w:t>VOCs</w:t>
                  </w:r>
                  <w:r>
                    <w:rPr>
                      <w:rFonts w:hint="default" w:ascii="Times New Roman" w:hAnsi="Times New Roman" w:eastAsia="Times New Roman" w:cs="Times New Roman"/>
                      <w:spacing w:val="1"/>
                      <w:sz w:val="21"/>
                      <w:szCs w:val="21"/>
                    </w:rPr>
                    <w:t xml:space="preserve"> </w:t>
                  </w:r>
                  <w:r>
                    <w:rPr>
                      <w:rFonts w:hint="default" w:ascii="Times New Roman" w:hAnsi="Times New Roman" w:eastAsia="宋体" w:cs="Times New Roman"/>
                      <w:sz w:val="21"/>
                      <w:szCs w:val="21"/>
                    </w:rPr>
                    <w:t>废气无组织排放 收集处理系统效果不佳</w:t>
                  </w:r>
                </w:p>
              </w:tc>
              <w:tc>
                <w:tcPr>
                  <w:tcW w:w="3785" w:type="dxa"/>
                  <w:tcBorders>
                    <w:tl2br w:val="nil"/>
                    <w:tr2bl w:val="nil"/>
                  </w:tcBorders>
                  <w:vAlign w:val="center"/>
                </w:tcPr>
                <w:p w14:paraId="7025097D">
                  <w:pPr>
                    <w:pStyle w:val="67"/>
                    <w:spacing w:before="26" w:line="240"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将高氧</w:t>
                  </w:r>
                  <w:r>
                    <w:rPr>
                      <w:rFonts w:hint="default" w:ascii="Times New Roman" w:hAnsi="Times New Roman" w:eastAsia="宋体" w:cs="Times New Roman"/>
                      <w:spacing w:val="-31"/>
                      <w:sz w:val="21"/>
                      <w:szCs w:val="21"/>
                    </w:rPr>
                    <w:t xml:space="preserve"> </w:t>
                  </w:r>
                  <w:r>
                    <w:rPr>
                      <w:rFonts w:hint="default" w:ascii="Times New Roman" w:hAnsi="Times New Roman" w:eastAsia="Times New Roman" w:cs="Times New Roman"/>
                      <w:sz w:val="21"/>
                      <w:szCs w:val="21"/>
                    </w:rPr>
                    <w:t>VOCs</w:t>
                  </w:r>
                  <w:r>
                    <w:rPr>
                      <w:rFonts w:hint="default" w:ascii="Times New Roman" w:hAnsi="Times New Roman" w:eastAsia="Times New Roman" w:cs="Times New Roman"/>
                      <w:spacing w:val="14"/>
                      <w:sz w:val="21"/>
                      <w:szCs w:val="21"/>
                    </w:rPr>
                    <w:t xml:space="preserve"> </w:t>
                  </w:r>
                  <w:r>
                    <w:rPr>
                      <w:rFonts w:hint="default" w:ascii="Times New Roman" w:hAnsi="Times New Roman" w:eastAsia="宋体" w:cs="Times New Roman"/>
                      <w:spacing w:val="6"/>
                      <w:sz w:val="21"/>
                      <w:szCs w:val="21"/>
                    </w:rPr>
                    <w:t>废气收集、经洗涤预处理后引入焦</w:t>
                  </w:r>
                  <w:r>
                    <w:rPr>
                      <w:rFonts w:hint="default" w:ascii="Times New Roman" w:hAnsi="Times New Roman" w:eastAsia="宋体" w:cs="Times New Roman"/>
                      <w:spacing w:val="-88"/>
                      <w:sz w:val="21"/>
                      <w:szCs w:val="21"/>
                    </w:rPr>
                    <w:t xml:space="preserve"> </w:t>
                  </w:r>
                  <w:r>
                    <w:rPr>
                      <w:rFonts w:hint="default" w:ascii="Times New Roman" w:hAnsi="Times New Roman" w:eastAsia="宋体" w:cs="Times New Roman"/>
                      <w:spacing w:val="6"/>
                      <w:sz w:val="21"/>
                      <w:szCs w:val="21"/>
                    </w:rPr>
                    <w:t>炉燃烧系统进行焚烧处理，将低氧</w:t>
                  </w:r>
                  <w:r>
                    <w:rPr>
                      <w:rFonts w:hint="default" w:ascii="Times New Roman" w:hAnsi="Times New Roman" w:eastAsia="宋体" w:cs="Times New Roman"/>
                      <w:spacing w:val="-31"/>
                      <w:sz w:val="21"/>
                      <w:szCs w:val="21"/>
                    </w:rPr>
                    <w:t xml:space="preserve"> </w:t>
                  </w:r>
                  <w:r>
                    <w:rPr>
                      <w:rFonts w:hint="default" w:ascii="Times New Roman" w:hAnsi="Times New Roman" w:eastAsia="Times New Roman" w:cs="Times New Roman"/>
                      <w:sz w:val="21"/>
                      <w:szCs w:val="21"/>
                    </w:rPr>
                    <w:t>VOCs</w:t>
                  </w:r>
                  <w:r>
                    <w:rPr>
                      <w:rFonts w:hint="default" w:ascii="Times New Roman" w:hAnsi="Times New Roman" w:eastAsia="Times New Roman" w:cs="Times New Roman"/>
                      <w:spacing w:val="14"/>
                      <w:sz w:val="21"/>
                      <w:szCs w:val="21"/>
                    </w:rPr>
                    <w:t xml:space="preserve"> </w:t>
                  </w:r>
                  <w:r>
                    <w:rPr>
                      <w:rFonts w:hint="default" w:ascii="Times New Roman" w:hAnsi="Times New Roman" w:eastAsia="宋体" w:cs="Times New Roman"/>
                      <w:spacing w:val="4"/>
                      <w:sz w:val="21"/>
                      <w:szCs w:val="21"/>
                    </w:rPr>
                    <w:t>废气采</w:t>
                  </w:r>
                  <w:r>
                    <w:rPr>
                      <w:rFonts w:hint="default" w:ascii="Times New Roman" w:hAnsi="Times New Roman" w:eastAsia="宋体" w:cs="Times New Roman"/>
                      <w:spacing w:val="-88"/>
                      <w:sz w:val="21"/>
                      <w:szCs w:val="21"/>
                    </w:rPr>
                    <w:t xml:space="preserve"> </w:t>
                  </w:r>
                  <w:r>
                    <w:rPr>
                      <w:rFonts w:hint="default" w:ascii="Times New Roman" w:hAnsi="Times New Roman" w:eastAsia="宋体" w:cs="Times New Roman"/>
                      <w:sz w:val="21"/>
                      <w:szCs w:val="21"/>
                    </w:rPr>
                    <w:t>用压力平衡技术直接送入煤气负压系统，不外排</w:t>
                  </w:r>
                </w:p>
              </w:tc>
              <w:tc>
                <w:tcPr>
                  <w:tcW w:w="908" w:type="dxa"/>
                  <w:tcBorders>
                    <w:tl2br w:val="nil"/>
                    <w:tr2bl w:val="nil"/>
                  </w:tcBorders>
                  <w:vAlign w:val="center"/>
                </w:tcPr>
                <w:p w14:paraId="31CFB6A1">
                  <w:pPr>
                    <w:pStyle w:val="67"/>
                    <w:spacing w:before="142" w:line="236"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已完成</w:t>
                  </w:r>
                </w:p>
              </w:tc>
            </w:tr>
            <w:tr w14:paraId="79446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dxa"/>
                  <w:tcBorders>
                    <w:tl2br w:val="nil"/>
                    <w:tr2bl w:val="nil"/>
                  </w:tcBorders>
                  <w:vAlign w:val="center"/>
                </w:tcPr>
                <w:p w14:paraId="42B53323">
                  <w:pPr>
                    <w:pStyle w:val="67"/>
                    <w:spacing w:line="240" w:lineRule="auto"/>
                    <w:ind w:left="0" w:leftChars="0" w:right="0" w:rightChars="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c>
              <w:tc>
                <w:tcPr>
                  <w:tcW w:w="2841" w:type="dxa"/>
                  <w:tcBorders>
                    <w:tl2br w:val="nil"/>
                    <w:tr2bl w:val="nil"/>
                  </w:tcBorders>
                  <w:vAlign w:val="center"/>
                </w:tcPr>
                <w:p w14:paraId="6C270F96">
                  <w:pPr>
                    <w:pStyle w:val="67"/>
                    <w:spacing w:before="26" w:line="240" w:lineRule="exact"/>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2023年8月23日、9月1日，广西盛隆冶金有限公司在超低排放改造相关工作中，委托的第三方环保服务机构对超低排放涉及的烟气自动监测设备进行调试过程中操作不规范，未按照规定对调试检测过程保存原始记录，导致该公司涉及超低排放改造的自动监测设备调试报告中的监测数据无法溯源，属于监测数据造假行为</w:t>
                  </w:r>
                </w:p>
              </w:tc>
              <w:tc>
                <w:tcPr>
                  <w:tcW w:w="3785" w:type="dxa"/>
                  <w:tcBorders>
                    <w:tl2br w:val="nil"/>
                    <w:tr2bl w:val="nil"/>
                  </w:tcBorders>
                  <w:vAlign w:val="center"/>
                </w:tcPr>
                <w:p w14:paraId="44C0743A">
                  <w:pPr>
                    <w:pStyle w:val="67"/>
                    <w:spacing w:before="26" w:line="240" w:lineRule="exact"/>
                    <w:ind w:left="0" w:leftChars="0" w:right="0" w:rightChars="0" w:firstLine="0" w:firstLineChars="0"/>
                    <w:jc w:val="center"/>
                    <w:rPr>
                      <w:rFonts w:hint="default" w:ascii="Times New Roman" w:hAnsi="Times New Roman" w:eastAsia="宋体" w:cs="Times New Roman"/>
                      <w:spacing w:val="4"/>
                      <w:sz w:val="21"/>
                      <w:szCs w:val="21"/>
                    </w:rPr>
                  </w:pPr>
                  <w:r>
                    <w:rPr>
                      <w:rFonts w:hint="eastAsia" w:cs="Times New Roman"/>
                      <w:spacing w:val="4"/>
                      <w:sz w:val="21"/>
                      <w:szCs w:val="21"/>
                      <w:lang w:val="en-US" w:eastAsia="zh-CN"/>
                    </w:rPr>
                    <w:t>20</w:t>
                  </w:r>
                  <w:r>
                    <w:rPr>
                      <w:rFonts w:hint="default" w:ascii="Times New Roman" w:hAnsi="Times New Roman" w:eastAsia="宋体" w:cs="Times New Roman"/>
                      <w:spacing w:val="4"/>
                      <w:sz w:val="21"/>
                      <w:szCs w:val="21"/>
                    </w:rPr>
                    <w:t>24年11月底重新组织调试验收</w:t>
                  </w:r>
                </w:p>
              </w:tc>
              <w:tc>
                <w:tcPr>
                  <w:tcW w:w="908" w:type="dxa"/>
                  <w:tcBorders>
                    <w:tl2br w:val="nil"/>
                    <w:tr2bl w:val="nil"/>
                  </w:tcBorders>
                  <w:vAlign w:val="center"/>
                </w:tcPr>
                <w:p w14:paraId="216B007E">
                  <w:pPr>
                    <w:pStyle w:val="67"/>
                    <w:spacing w:before="142" w:line="236" w:lineRule="exact"/>
                    <w:ind w:left="0" w:leftChars="0" w:right="0" w:rightChars="0"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已完成</w:t>
                  </w:r>
                </w:p>
              </w:tc>
            </w:tr>
          </w:tbl>
          <w:p w14:paraId="7BB4B525">
            <w:pPr>
              <w:spacing w:line="500" w:lineRule="atLeast"/>
              <w:ind w:firstLine="480" w:firstLineChars="200"/>
              <w:rPr>
                <w:rFonts w:hint="eastAsia"/>
                <w:bCs/>
                <w:sz w:val="24"/>
              </w:rPr>
            </w:pPr>
          </w:p>
          <w:p w14:paraId="5ED7B881">
            <w:pPr>
              <w:spacing w:line="500" w:lineRule="atLeast"/>
              <w:rPr>
                <w:bCs/>
                <w:sz w:val="24"/>
              </w:rPr>
            </w:pPr>
          </w:p>
          <w:p w14:paraId="13038310">
            <w:pPr>
              <w:spacing w:line="500" w:lineRule="atLeast"/>
              <w:rPr>
                <w:bCs/>
                <w:sz w:val="24"/>
              </w:rPr>
            </w:pPr>
          </w:p>
          <w:p w14:paraId="3A528E40">
            <w:pPr>
              <w:spacing w:line="500" w:lineRule="atLeast"/>
              <w:rPr>
                <w:bCs/>
                <w:sz w:val="24"/>
              </w:rPr>
            </w:pPr>
          </w:p>
          <w:p w14:paraId="6331A439">
            <w:pPr>
              <w:spacing w:line="500" w:lineRule="atLeast"/>
              <w:rPr>
                <w:bCs/>
                <w:sz w:val="24"/>
              </w:rPr>
            </w:pPr>
          </w:p>
          <w:p w14:paraId="68FAC7C9">
            <w:pPr>
              <w:spacing w:line="500" w:lineRule="atLeast"/>
              <w:rPr>
                <w:bCs/>
                <w:sz w:val="24"/>
              </w:rPr>
            </w:pPr>
          </w:p>
        </w:tc>
      </w:tr>
    </w:tbl>
    <w:p w14:paraId="03EBA534">
      <w:pPr>
        <w:tabs>
          <w:tab w:val="left" w:pos="3225"/>
        </w:tabs>
        <w:spacing w:line="500" w:lineRule="exact"/>
        <w:rPr>
          <w:rFonts w:ascii="Calibri" w:hAnsi="Calibri" w:cs="Arial"/>
          <w:b/>
          <w:kern w:val="44"/>
          <w:sz w:val="28"/>
          <w:szCs w:val="28"/>
        </w:rPr>
      </w:pPr>
      <w:bookmarkStart w:id="5" w:name="_Toc66883321"/>
    </w:p>
    <w:p w14:paraId="12F4B5D6">
      <w:pPr>
        <w:widowControl/>
        <w:jc w:val="left"/>
        <w:rPr>
          <w:rFonts w:ascii="Calibri" w:hAnsi="Calibri" w:cs="Arial"/>
          <w:b/>
          <w:kern w:val="44"/>
          <w:sz w:val="28"/>
          <w:szCs w:val="28"/>
        </w:rPr>
      </w:pPr>
      <w:r>
        <w:rPr>
          <w:rFonts w:ascii="Calibri" w:hAnsi="Calibri" w:cs="Arial"/>
          <w:b/>
          <w:kern w:val="44"/>
          <w:sz w:val="28"/>
          <w:szCs w:val="28"/>
        </w:rPr>
        <w:br w:type="page"/>
      </w:r>
    </w:p>
    <w:p w14:paraId="6B0679C4">
      <w:pPr>
        <w:tabs>
          <w:tab w:val="left" w:pos="3225"/>
        </w:tabs>
        <w:spacing w:line="500" w:lineRule="exact"/>
        <w:outlineLvl w:val="0"/>
        <w:rPr>
          <w:rFonts w:ascii="Calibri" w:hAnsi="Calibri" w:cs="Arial"/>
          <w:b/>
          <w:kern w:val="44"/>
          <w:sz w:val="28"/>
          <w:szCs w:val="28"/>
        </w:rPr>
      </w:pPr>
      <w:r>
        <w:rPr>
          <w:rFonts w:hint="eastAsia" w:ascii="Calibri" w:hAnsi="Calibri" w:cs="Arial"/>
          <w:b/>
          <w:kern w:val="44"/>
          <w:sz w:val="28"/>
          <w:szCs w:val="28"/>
        </w:rPr>
        <w:t>三、区域环境质量现状、环境保护目标及评价标准</w:t>
      </w:r>
      <w:bookmarkEnd w:id="5"/>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56FAC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800" w:type="dxa"/>
            <w:vAlign w:val="center"/>
          </w:tcPr>
          <w:p w14:paraId="2ADC101E">
            <w:pPr>
              <w:adjustRightInd w:val="0"/>
              <w:snapToGrid w:val="0"/>
              <w:jc w:val="center"/>
              <w:rPr>
                <w:rFonts w:ascii="宋体" w:hAnsi="宋体" w:cs="宋体"/>
                <w:kern w:val="0"/>
                <w:szCs w:val="21"/>
              </w:rPr>
            </w:pPr>
            <w:r>
              <w:rPr>
                <w:rFonts w:hint="eastAsia" w:ascii="宋体" w:hAnsi="宋体" w:cs="宋体"/>
                <w:kern w:val="0"/>
                <w:szCs w:val="21"/>
              </w:rPr>
              <w:t>区域</w:t>
            </w:r>
          </w:p>
          <w:p w14:paraId="54842D4E">
            <w:pPr>
              <w:adjustRightInd w:val="0"/>
              <w:snapToGrid w:val="0"/>
              <w:jc w:val="center"/>
              <w:rPr>
                <w:rFonts w:ascii="宋体" w:hAnsi="宋体" w:cs="宋体"/>
                <w:kern w:val="0"/>
                <w:szCs w:val="21"/>
              </w:rPr>
            </w:pPr>
            <w:r>
              <w:rPr>
                <w:rFonts w:hint="eastAsia" w:ascii="宋体" w:hAnsi="宋体" w:cs="宋体"/>
                <w:kern w:val="0"/>
                <w:szCs w:val="21"/>
              </w:rPr>
              <w:t>环境</w:t>
            </w:r>
          </w:p>
          <w:p w14:paraId="103CA332">
            <w:pPr>
              <w:adjustRightInd w:val="0"/>
              <w:snapToGrid w:val="0"/>
              <w:jc w:val="center"/>
              <w:rPr>
                <w:rFonts w:ascii="宋体" w:hAnsi="宋体" w:cs="宋体"/>
                <w:kern w:val="0"/>
                <w:szCs w:val="21"/>
              </w:rPr>
            </w:pPr>
            <w:r>
              <w:rPr>
                <w:rFonts w:hint="eastAsia" w:ascii="宋体" w:hAnsi="宋体" w:cs="宋体"/>
                <w:kern w:val="0"/>
                <w:szCs w:val="21"/>
              </w:rPr>
              <w:t>质量</w:t>
            </w:r>
          </w:p>
          <w:p w14:paraId="77AA0C70">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190" w:type="dxa"/>
            <w:vAlign w:val="center"/>
          </w:tcPr>
          <w:p w14:paraId="77D71BFA">
            <w:pPr>
              <w:spacing w:line="360" w:lineRule="auto"/>
              <w:ind w:firstLine="482" w:firstLineChars="200"/>
              <w:rPr>
                <w:b/>
                <w:kern w:val="0"/>
                <w:sz w:val="24"/>
              </w:rPr>
            </w:pPr>
            <w:r>
              <w:rPr>
                <w:rFonts w:hint="eastAsia" w:cs="Arial"/>
                <w:b/>
                <w:bCs/>
                <w:sz w:val="24"/>
              </w:rPr>
              <w:t>一、</w:t>
            </w:r>
            <w:r>
              <w:rPr>
                <w:rFonts w:cs="Arial"/>
                <w:b/>
                <w:bCs/>
                <w:sz w:val="24"/>
              </w:rPr>
              <w:t>环境</w:t>
            </w:r>
            <w:r>
              <w:rPr>
                <w:rFonts w:hint="eastAsia" w:cs="Arial"/>
                <w:b/>
                <w:bCs/>
                <w:sz w:val="24"/>
              </w:rPr>
              <w:t>空气</w:t>
            </w:r>
            <w:r>
              <w:rPr>
                <w:rFonts w:cs="Arial"/>
                <w:b/>
                <w:bCs/>
                <w:sz w:val="24"/>
              </w:rPr>
              <w:t>质量状况</w:t>
            </w:r>
          </w:p>
          <w:p w14:paraId="4422D53A">
            <w:pPr>
              <w:spacing w:line="360" w:lineRule="auto"/>
              <w:ind w:firstLine="482" w:firstLineChars="200"/>
              <w:rPr>
                <w:rFonts w:cs="Arial"/>
                <w:b/>
                <w:bCs/>
                <w:sz w:val="24"/>
              </w:rPr>
            </w:pPr>
            <w:r>
              <w:rPr>
                <w:rFonts w:hint="eastAsia" w:cs="Arial"/>
                <w:b/>
                <w:bCs/>
                <w:sz w:val="24"/>
              </w:rPr>
              <w:t>1、大气环境功能区划</w:t>
            </w:r>
          </w:p>
          <w:p w14:paraId="10A5E9A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cs="Arial"/>
                <w:bCs/>
                <w:sz w:val="24"/>
              </w:rPr>
            </w:pPr>
            <w:r>
              <w:rPr>
                <w:rFonts w:hint="eastAsia" w:cs="Arial"/>
                <w:bCs/>
                <w:sz w:val="24"/>
              </w:rPr>
              <w:t>项目位于防城港市港口区公车镇广西盛隆冶金有限公司厂区内</w:t>
            </w:r>
            <w:r>
              <w:rPr>
                <w:rFonts w:hint="eastAsia" w:cs="Arial"/>
                <w:bCs/>
                <w:sz w:val="24"/>
                <w:lang w:eastAsia="zh-CN"/>
              </w:rPr>
              <w:t>，</w:t>
            </w:r>
            <w:r>
              <w:rPr>
                <w:rFonts w:hint="eastAsia" w:cs="Arial"/>
                <w:bCs/>
                <w:sz w:val="24"/>
              </w:rPr>
              <w:t>环境空气质量执行《环境空气质量标准》（GB3095-2012）中二级标准。</w:t>
            </w:r>
          </w:p>
          <w:p w14:paraId="112F2AD7">
            <w:pPr>
              <w:spacing w:line="360" w:lineRule="auto"/>
              <w:ind w:firstLine="482" w:firstLineChars="200"/>
              <w:rPr>
                <w:rFonts w:cs="Arial"/>
                <w:b/>
                <w:bCs/>
                <w:sz w:val="24"/>
              </w:rPr>
            </w:pPr>
            <w:r>
              <w:rPr>
                <w:rFonts w:hint="eastAsia" w:cs="Arial"/>
                <w:b/>
                <w:bCs/>
                <w:sz w:val="24"/>
              </w:rPr>
              <w:t>2、区域达标情况</w:t>
            </w:r>
          </w:p>
          <w:p w14:paraId="52F6D66F">
            <w:pPr>
              <w:spacing w:line="360" w:lineRule="auto"/>
              <w:ind w:firstLine="480" w:firstLineChars="200"/>
              <w:rPr>
                <w:rFonts w:cs="Arial"/>
                <w:bCs/>
                <w:sz w:val="24"/>
              </w:rPr>
            </w:pPr>
            <w:r>
              <w:rPr>
                <w:rFonts w:hint="eastAsia" w:cs="Arial"/>
                <w:bCs/>
                <w:sz w:val="24"/>
              </w:rPr>
              <w:t>根据</w:t>
            </w:r>
            <w:r>
              <w:rPr>
                <w:rFonts w:hint="eastAsia" w:ascii="Times New Roman" w:hAnsi="宋体" w:eastAsia="宋体" w:cs="Times New Roman"/>
                <w:bCs/>
                <w:color w:val="auto"/>
                <w:spacing w:val="0"/>
                <w:sz w:val="24"/>
                <w:szCs w:val="24"/>
              </w:rPr>
              <w:t>《自治区生态环境厅关于通报202</w:t>
            </w:r>
            <w:r>
              <w:rPr>
                <w:rFonts w:hint="eastAsia" w:ascii="Times New Roman" w:hAnsi="宋体" w:eastAsia="宋体" w:cs="Times New Roman"/>
                <w:bCs/>
                <w:color w:val="auto"/>
                <w:spacing w:val="0"/>
                <w:sz w:val="24"/>
                <w:szCs w:val="24"/>
                <w:lang w:val="en-US" w:eastAsia="zh-CN"/>
              </w:rPr>
              <w:t>4</w:t>
            </w:r>
            <w:r>
              <w:rPr>
                <w:rFonts w:hint="eastAsia" w:ascii="Times New Roman" w:hAnsi="宋体" w:eastAsia="宋体" w:cs="Times New Roman"/>
                <w:bCs/>
                <w:color w:val="auto"/>
                <w:spacing w:val="0"/>
                <w:sz w:val="24"/>
                <w:szCs w:val="24"/>
              </w:rPr>
              <w:t>年设区城市及各县（市、区）环境空气质量的函》</w:t>
            </w:r>
            <w:r>
              <w:rPr>
                <w:rFonts w:hint="eastAsia" w:ascii="Times New Roman" w:hAnsi="宋体" w:eastAsia="宋体" w:cs="Times New Roman"/>
                <w:bCs/>
                <w:color w:val="auto"/>
                <w:spacing w:val="0"/>
                <w:sz w:val="24"/>
                <w:szCs w:val="24"/>
                <w:lang w:eastAsia="zh-CN"/>
              </w:rPr>
              <w:t>（</w:t>
            </w:r>
            <w:r>
              <w:rPr>
                <w:rFonts w:hint="eastAsia" w:ascii="Times New Roman" w:hAnsi="宋体" w:eastAsia="宋体" w:cs="Times New Roman"/>
                <w:bCs/>
                <w:color w:val="auto"/>
                <w:spacing w:val="0"/>
                <w:sz w:val="24"/>
                <w:szCs w:val="24"/>
                <w:lang w:val="en-US" w:eastAsia="zh-CN"/>
              </w:rPr>
              <w:t>桂环函</w:t>
            </w:r>
            <w:r>
              <w:rPr>
                <w:rFonts w:hint="eastAsia" w:ascii="宋体" w:hAnsi="宋体" w:eastAsia="宋体" w:cs="宋体"/>
                <w:bCs/>
                <w:color w:val="auto"/>
                <w:spacing w:val="0"/>
                <w:sz w:val="24"/>
                <w:szCs w:val="24"/>
                <w:lang w:val="en-US" w:eastAsia="zh-CN"/>
              </w:rPr>
              <w:t>〔</w:t>
            </w:r>
            <w:r>
              <w:rPr>
                <w:rFonts w:hint="default" w:ascii="Times New Roman" w:hAnsi="Times New Roman" w:eastAsia="宋体" w:cs="Times New Roman"/>
                <w:bCs/>
                <w:color w:val="auto"/>
                <w:spacing w:val="0"/>
                <w:sz w:val="24"/>
                <w:szCs w:val="24"/>
                <w:lang w:val="en-US" w:eastAsia="zh-CN"/>
              </w:rPr>
              <w:t>2025</w:t>
            </w:r>
            <w:r>
              <w:rPr>
                <w:rFonts w:hint="eastAsia" w:ascii="宋体" w:hAnsi="宋体" w:eastAsia="宋体" w:cs="宋体"/>
                <w:bCs/>
                <w:color w:val="auto"/>
                <w:spacing w:val="0"/>
                <w:sz w:val="24"/>
                <w:szCs w:val="24"/>
                <w:lang w:val="en-US" w:eastAsia="zh-CN"/>
              </w:rPr>
              <w:t>〕</w:t>
            </w:r>
            <w:r>
              <w:rPr>
                <w:rFonts w:hint="default" w:ascii="Times New Roman" w:hAnsi="Times New Roman" w:eastAsia="宋体" w:cs="Times New Roman"/>
                <w:bCs/>
                <w:color w:val="auto"/>
                <w:spacing w:val="0"/>
                <w:sz w:val="24"/>
                <w:szCs w:val="24"/>
                <w:lang w:val="en-US" w:eastAsia="zh-CN"/>
              </w:rPr>
              <w:t>66</w:t>
            </w:r>
            <w:r>
              <w:rPr>
                <w:rFonts w:hint="eastAsia" w:ascii="宋体" w:hAnsi="宋体" w:eastAsia="宋体" w:cs="宋体"/>
                <w:bCs/>
                <w:color w:val="auto"/>
                <w:spacing w:val="0"/>
                <w:sz w:val="24"/>
                <w:szCs w:val="24"/>
                <w:lang w:val="en-US" w:eastAsia="zh-CN"/>
              </w:rPr>
              <w:t>号</w:t>
            </w:r>
            <w:r>
              <w:rPr>
                <w:rFonts w:hint="eastAsia" w:ascii="Times New Roman" w:hAnsi="宋体" w:eastAsia="宋体" w:cs="Times New Roman"/>
                <w:bCs/>
                <w:color w:val="auto"/>
                <w:spacing w:val="0"/>
                <w:sz w:val="24"/>
                <w:szCs w:val="24"/>
                <w:lang w:eastAsia="zh-CN"/>
              </w:rPr>
              <w:t>）</w:t>
            </w:r>
            <w:r>
              <w:rPr>
                <w:rFonts w:hint="eastAsia" w:cs="Arial"/>
                <w:bCs/>
                <w:sz w:val="24"/>
              </w:rPr>
              <w:t>，按照《环境空气质量标准》（GB3095-2012）及修改单评价，14个设区城市二氧化硫、二氧化氮、PM</w:t>
            </w:r>
            <w:r>
              <w:rPr>
                <w:rFonts w:hint="eastAsia" w:cs="Arial"/>
                <w:bCs/>
                <w:sz w:val="24"/>
                <w:vertAlign w:val="subscript"/>
              </w:rPr>
              <w:t>2.5</w:t>
            </w:r>
            <w:r>
              <w:rPr>
                <w:rFonts w:hint="eastAsia" w:cs="Arial"/>
                <w:bCs/>
                <w:sz w:val="24"/>
              </w:rPr>
              <w:t>、PM</w:t>
            </w:r>
            <w:r>
              <w:rPr>
                <w:rFonts w:hint="eastAsia" w:cs="Arial"/>
                <w:bCs/>
                <w:sz w:val="24"/>
                <w:vertAlign w:val="subscript"/>
              </w:rPr>
              <w:t>10</w:t>
            </w:r>
            <w:r>
              <w:rPr>
                <w:rFonts w:hint="eastAsia" w:cs="Arial"/>
                <w:bCs/>
                <w:sz w:val="24"/>
              </w:rPr>
              <w:t>、一氧化碳、臭氧浓度达标；项目位于防城港市，属于14个设区城市，因此本项目所在区域属于达标区。</w:t>
            </w:r>
          </w:p>
          <w:p w14:paraId="01D18E6B">
            <w:pPr>
              <w:spacing w:line="360" w:lineRule="auto"/>
              <w:ind w:firstLine="482" w:firstLineChars="200"/>
              <w:rPr>
                <w:rFonts w:cs="Arial"/>
                <w:b/>
                <w:bCs/>
                <w:sz w:val="24"/>
              </w:rPr>
            </w:pPr>
            <w:r>
              <w:rPr>
                <w:rFonts w:hint="eastAsia" w:cs="Arial"/>
                <w:b/>
                <w:bCs/>
                <w:sz w:val="24"/>
              </w:rPr>
              <w:t>3、空气环境现状</w:t>
            </w:r>
          </w:p>
          <w:p w14:paraId="48B85E08">
            <w:pPr>
              <w:spacing w:line="360" w:lineRule="auto"/>
              <w:ind w:firstLine="480" w:firstLineChars="200"/>
              <w:rPr>
                <w:rFonts w:cs="Arial"/>
                <w:bCs/>
                <w:sz w:val="24"/>
              </w:rPr>
            </w:pPr>
            <w:r>
              <w:rPr>
                <w:rFonts w:hint="eastAsia" w:cs="Arial"/>
                <w:bCs/>
                <w:sz w:val="24"/>
              </w:rPr>
              <w:t>根据</w:t>
            </w:r>
            <w:r>
              <w:rPr>
                <w:rFonts w:hint="eastAsia" w:ascii="Times New Roman" w:hAnsi="宋体" w:eastAsia="宋体" w:cs="Times New Roman"/>
                <w:bCs/>
                <w:color w:val="auto"/>
                <w:spacing w:val="0"/>
                <w:sz w:val="24"/>
                <w:szCs w:val="24"/>
              </w:rPr>
              <w:t>《自治区生态环境厅关于通报202</w:t>
            </w:r>
            <w:r>
              <w:rPr>
                <w:rFonts w:hint="eastAsia" w:ascii="Times New Roman" w:hAnsi="宋体" w:eastAsia="宋体" w:cs="Times New Roman"/>
                <w:bCs/>
                <w:color w:val="auto"/>
                <w:spacing w:val="0"/>
                <w:sz w:val="24"/>
                <w:szCs w:val="24"/>
                <w:lang w:val="en-US" w:eastAsia="zh-CN"/>
              </w:rPr>
              <w:t>4</w:t>
            </w:r>
            <w:r>
              <w:rPr>
                <w:rFonts w:hint="eastAsia" w:ascii="Times New Roman" w:hAnsi="宋体" w:eastAsia="宋体" w:cs="Times New Roman"/>
                <w:bCs/>
                <w:color w:val="auto"/>
                <w:spacing w:val="0"/>
                <w:sz w:val="24"/>
                <w:szCs w:val="24"/>
              </w:rPr>
              <w:t>年设区城市及各县（市、区）环境空气质量的函》</w:t>
            </w:r>
            <w:r>
              <w:rPr>
                <w:rFonts w:hint="eastAsia" w:ascii="Times New Roman" w:hAnsi="宋体" w:eastAsia="宋体" w:cs="Times New Roman"/>
                <w:bCs/>
                <w:color w:val="auto"/>
                <w:spacing w:val="0"/>
                <w:sz w:val="24"/>
                <w:szCs w:val="24"/>
                <w:lang w:eastAsia="zh-CN"/>
              </w:rPr>
              <w:t>（</w:t>
            </w:r>
            <w:r>
              <w:rPr>
                <w:rFonts w:hint="eastAsia" w:ascii="Times New Roman" w:hAnsi="宋体" w:eastAsia="宋体" w:cs="Times New Roman"/>
                <w:bCs/>
                <w:color w:val="auto"/>
                <w:spacing w:val="0"/>
                <w:sz w:val="24"/>
                <w:szCs w:val="24"/>
                <w:lang w:val="en-US" w:eastAsia="zh-CN"/>
              </w:rPr>
              <w:t>桂环函</w:t>
            </w:r>
            <w:r>
              <w:rPr>
                <w:rFonts w:hint="eastAsia" w:ascii="宋体" w:hAnsi="宋体" w:eastAsia="宋体" w:cs="宋体"/>
                <w:bCs/>
                <w:color w:val="auto"/>
                <w:spacing w:val="0"/>
                <w:sz w:val="24"/>
                <w:szCs w:val="24"/>
                <w:lang w:val="en-US" w:eastAsia="zh-CN"/>
              </w:rPr>
              <w:t>〔</w:t>
            </w:r>
            <w:r>
              <w:rPr>
                <w:rFonts w:hint="default" w:ascii="Times New Roman" w:hAnsi="Times New Roman" w:eastAsia="宋体" w:cs="Times New Roman"/>
                <w:bCs/>
                <w:color w:val="auto"/>
                <w:spacing w:val="0"/>
                <w:sz w:val="24"/>
                <w:szCs w:val="24"/>
                <w:lang w:val="en-US" w:eastAsia="zh-CN"/>
              </w:rPr>
              <w:t>2025</w:t>
            </w:r>
            <w:r>
              <w:rPr>
                <w:rFonts w:hint="eastAsia" w:ascii="宋体" w:hAnsi="宋体" w:eastAsia="宋体" w:cs="宋体"/>
                <w:bCs/>
                <w:color w:val="auto"/>
                <w:spacing w:val="0"/>
                <w:sz w:val="24"/>
                <w:szCs w:val="24"/>
                <w:lang w:val="en-US" w:eastAsia="zh-CN"/>
              </w:rPr>
              <w:t>〕</w:t>
            </w:r>
            <w:r>
              <w:rPr>
                <w:rFonts w:hint="default" w:ascii="Times New Roman" w:hAnsi="Times New Roman" w:eastAsia="宋体" w:cs="Times New Roman"/>
                <w:bCs/>
                <w:color w:val="auto"/>
                <w:spacing w:val="0"/>
                <w:sz w:val="24"/>
                <w:szCs w:val="24"/>
                <w:lang w:val="en-US" w:eastAsia="zh-CN"/>
              </w:rPr>
              <w:t>66</w:t>
            </w:r>
            <w:r>
              <w:rPr>
                <w:rFonts w:hint="eastAsia" w:ascii="宋体" w:hAnsi="宋体" w:eastAsia="宋体" w:cs="宋体"/>
                <w:bCs/>
                <w:color w:val="auto"/>
                <w:spacing w:val="0"/>
                <w:sz w:val="24"/>
                <w:szCs w:val="24"/>
                <w:lang w:val="en-US" w:eastAsia="zh-CN"/>
              </w:rPr>
              <w:t>号</w:t>
            </w:r>
            <w:r>
              <w:rPr>
                <w:rFonts w:hint="eastAsia" w:ascii="Times New Roman" w:hAnsi="宋体" w:eastAsia="宋体" w:cs="Times New Roman"/>
                <w:bCs/>
                <w:color w:val="auto"/>
                <w:spacing w:val="0"/>
                <w:sz w:val="24"/>
                <w:szCs w:val="24"/>
                <w:lang w:eastAsia="zh-CN"/>
              </w:rPr>
              <w:t>）</w:t>
            </w:r>
            <w:r>
              <w:rPr>
                <w:rFonts w:hint="eastAsia" w:cs="Arial"/>
                <w:bCs/>
                <w:sz w:val="24"/>
              </w:rPr>
              <w:t>，防城港市基本污染物环境空气质量情况见表3-1。</w:t>
            </w:r>
          </w:p>
          <w:p w14:paraId="76752E05">
            <w:pPr>
              <w:pStyle w:val="48"/>
              <w:numPr>
                <w:ilvl w:val="2"/>
                <w:numId w:val="3"/>
              </w:numPr>
              <w:spacing w:line="500" w:lineRule="atLeast"/>
              <w:ind w:firstLineChars="0"/>
              <w:jc w:val="center"/>
              <w:rPr>
                <w:b/>
                <w:sz w:val="24"/>
              </w:rPr>
            </w:pPr>
            <w:r>
              <w:rPr>
                <w:rFonts w:hint="eastAsia"/>
                <w:b/>
                <w:sz w:val="24"/>
              </w:rPr>
              <w:t>区域空气质量现状评价表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1243"/>
              <w:gridCol w:w="1243"/>
              <w:gridCol w:w="969"/>
              <w:gridCol w:w="1161"/>
            </w:tblGrid>
            <w:tr w14:paraId="51DD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9" w:type="dxa"/>
                  <w:tcBorders>
                    <w:top w:val="single" w:color="auto" w:sz="4" w:space="0"/>
                    <w:left w:val="single" w:color="auto" w:sz="4" w:space="0"/>
                    <w:bottom w:val="single" w:color="auto" w:sz="4" w:space="0"/>
                    <w:right w:val="single" w:color="auto" w:sz="4" w:space="0"/>
                  </w:tcBorders>
                  <w:vAlign w:val="center"/>
                </w:tcPr>
                <w:p w14:paraId="24A00ECC">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污染物</w:t>
                  </w:r>
                </w:p>
              </w:tc>
              <w:tc>
                <w:tcPr>
                  <w:tcW w:w="2929" w:type="dxa"/>
                  <w:tcBorders>
                    <w:top w:val="single" w:color="auto" w:sz="4" w:space="0"/>
                    <w:left w:val="single" w:color="auto" w:sz="4" w:space="0"/>
                    <w:bottom w:val="single" w:color="auto" w:sz="4" w:space="0"/>
                    <w:right w:val="single" w:color="auto" w:sz="4" w:space="0"/>
                  </w:tcBorders>
                  <w:vAlign w:val="center"/>
                </w:tcPr>
                <w:p w14:paraId="5E2424D6">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年评价指标</w:t>
                  </w:r>
                </w:p>
              </w:tc>
              <w:tc>
                <w:tcPr>
                  <w:tcW w:w="1401" w:type="dxa"/>
                  <w:tcBorders>
                    <w:top w:val="single" w:color="auto" w:sz="4" w:space="0"/>
                    <w:left w:val="single" w:color="auto" w:sz="4" w:space="0"/>
                    <w:bottom w:val="single" w:color="auto" w:sz="4" w:space="0"/>
                    <w:right w:val="single" w:color="auto" w:sz="4" w:space="0"/>
                  </w:tcBorders>
                  <w:vAlign w:val="center"/>
                </w:tcPr>
                <w:p w14:paraId="3FA4FCC9">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现状浓度</w:t>
                  </w:r>
                </w:p>
                <w:p w14:paraId="53804A8F">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（μg/m</w:t>
                  </w:r>
                  <w:r>
                    <w:rPr>
                      <w:rFonts w:ascii="Times New Roman" w:hAnsi="Times New Roman" w:eastAsia="宋体" w:cs="Times New Roman"/>
                      <w:color w:val="auto"/>
                      <w:spacing w:val="0"/>
                      <w:sz w:val="21"/>
                      <w:szCs w:val="21"/>
                      <w:vertAlign w:val="superscript"/>
                    </w:rPr>
                    <w:t>3</w:t>
                  </w:r>
                  <w:r>
                    <w:rPr>
                      <w:rFonts w:ascii="Times New Roman" w:hAnsi="Times New Roman" w:eastAsia="宋体" w:cs="Times New Roman"/>
                      <w:color w:val="auto"/>
                      <w:spacing w:val="0"/>
                      <w:sz w:val="21"/>
                      <w:szCs w:val="21"/>
                    </w:rPr>
                    <w:t>）</w:t>
                  </w:r>
                </w:p>
              </w:tc>
              <w:tc>
                <w:tcPr>
                  <w:tcW w:w="1401" w:type="dxa"/>
                  <w:tcBorders>
                    <w:top w:val="single" w:color="auto" w:sz="4" w:space="0"/>
                    <w:left w:val="single" w:color="auto" w:sz="4" w:space="0"/>
                    <w:bottom w:val="single" w:color="auto" w:sz="4" w:space="0"/>
                    <w:right w:val="single" w:color="auto" w:sz="4" w:space="0"/>
                  </w:tcBorders>
                  <w:vAlign w:val="center"/>
                </w:tcPr>
                <w:p w14:paraId="6F9C9517">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标准值（μg/m</w:t>
                  </w:r>
                  <w:r>
                    <w:rPr>
                      <w:rFonts w:ascii="Times New Roman" w:hAnsi="Times New Roman" w:eastAsia="宋体" w:cs="Times New Roman"/>
                      <w:color w:val="auto"/>
                      <w:spacing w:val="0"/>
                      <w:sz w:val="21"/>
                      <w:szCs w:val="21"/>
                      <w:vertAlign w:val="superscript"/>
                    </w:rPr>
                    <w:t>3</w:t>
                  </w:r>
                  <w:r>
                    <w:rPr>
                      <w:rFonts w:ascii="Times New Roman" w:hAnsi="Times New Roman" w:eastAsia="宋体" w:cs="Times New Roman"/>
                      <w:color w:val="auto"/>
                      <w:spacing w:val="0"/>
                      <w:sz w:val="21"/>
                      <w:szCs w:val="21"/>
                    </w:rPr>
                    <w:t>）</w:t>
                  </w:r>
                </w:p>
              </w:tc>
              <w:tc>
                <w:tcPr>
                  <w:tcW w:w="1085" w:type="dxa"/>
                  <w:tcBorders>
                    <w:top w:val="single" w:color="auto" w:sz="4" w:space="0"/>
                    <w:left w:val="single" w:color="auto" w:sz="4" w:space="0"/>
                    <w:bottom w:val="single" w:color="auto" w:sz="4" w:space="0"/>
                    <w:right w:val="single" w:color="auto" w:sz="4" w:space="0"/>
                  </w:tcBorders>
                  <w:vAlign w:val="center"/>
                </w:tcPr>
                <w:p w14:paraId="3C5E8439">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占标率（%）</w:t>
                  </w:r>
                </w:p>
              </w:tc>
              <w:tc>
                <w:tcPr>
                  <w:tcW w:w="1307" w:type="dxa"/>
                  <w:tcBorders>
                    <w:top w:val="single" w:color="auto" w:sz="4" w:space="0"/>
                    <w:left w:val="single" w:color="auto" w:sz="4" w:space="0"/>
                    <w:bottom w:val="single" w:color="auto" w:sz="4" w:space="0"/>
                    <w:right w:val="single" w:color="auto" w:sz="4" w:space="0"/>
                  </w:tcBorders>
                  <w:vAlign w:val="center"/>
                </w:tcPr>
                <w:p w14:paraId="1F99ABB5">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达标情况</w:t>
                  </w:r>
                </w:p>
              </w:tc>
            </w:tr>
            <w:tr w14:paraId="6286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9" w:type="dxa"/>
                  <w:tcBorders>
                    <w:top w:val="single" w:color="auto" w:sz="4" w:space="0"/>
                    <w:left w:val="single" w:color="auto" w:sz="4" w:space="0"/>
                    <w:bottom w:val="single" w:color="auto" w:sz="4" w:space="0"/>
                    <w:right w:val="single" w:color="auto" w:sz="4" w:space="0"/>
                  </w:tcBorders>
                  <w:vAlign w:val="center"/>
                </w:tcPr>
                <w:p w14:paraId="1F18D265">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SO</w:t>
                  </w:r>
                  <w:r>
                    <w:rPr>
                      <w:rFonts w:ascii="Times New Roman" w:hAnsi="Times New Roman" w:eastAsia="宋体" w:cs="Times New Roman"/>
                      <w:color w:val="auto"/>
                      <w:spacing w:val="0"/>
                      <w:sz w:val="21"/>
                      <w:szCs w:val="21"/>
                      <w:vertAlign w:val="subscript"/>
                    </w:rPr>
                    <w:t>2</w:t>
                  </w:r>
                </w:p>
              </w:tc>
              <w:tc>
                <w:tcPr>
                  <w:tcW w:w="2929" w:type="dxa"/>
                  <w:tcBorders>
                    <w:top w:val="single" w:color="auto" w:sz="4" w:space="0"/>
                    <w:left w:val="single" w:color="auto" w:sz="4" w:space="0"/>
                    <w:bottom w:val="single" w:color="auto" w:sz="4" w:space="0"/>
                    <w:right w:val="single" w:color="auto" w:sz="4" w:space="0"/>
                  </w:tcBorders>
                  <w:vAlign w:val="center"/>
                </w:tcPr>
                <w:p w14:paraId="0A56A5E6">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年平均质量浓度</w:t>
                  </w:r>
                </w:p>
              </w:tc>
              <w:tc>
                <w:tcPr>
                  <w:tcW w:w="1401" w:type="dxa"/>
                  <w:tcBorders>
                    <w:top w:val="single" w:color="auto" w:sz="4" w:space="0"/>
                    <w:left w:val="single" w:color="auto" w:sz="4" w:space="0"/>
                    <w:bottom w:val="single" w:color="auto" w:sz="4" w:space="0"/>
                    <w:right w:val="single" w:color="auto" w:sz="4" w:space="0"/>
                  </w:tcBorders>
                  <w:vAlign w:val="center"/>
                </w:tcPr>
                <w:p w14:paraId="36A43DD0">
                  <w:pPr>
                    <w:spacing w:line="320" w:lineRule="exact"/>
                    <w:jc w:val="center"/>
                    <w:rPr>
                      <w:rFonts w:ascii="Times New Roman" w:hAnsi="Times New Roman" w:eastAsia="宋体" w:cs="Times New Roman"/>
                      <w:color w:val="auto"/>
                      <w:spacing w:val="0"/>
                      <w:sz w:val="21"/>
                      <w:szCs w:val="21"/>
                    </w:rPr>
                  </w:pPr>
                  <w:r>
                    <w:rPr>
                      <w:rFonts w:hint="eastAsia" w:ascii="Times New Roman" w:hAnsi="Times New Roman" w:eastAsia="宋体" w:cs="Times New Roman"/>
                      <w:color w:val="auto"/>
                      <w:spacing w:val="0"/>
                      <w:sz w:val="21"/>
                      <w:szCs w:val="21"/>
                    </w:rPr>
                    <w:t>7</w:t>
                  </w:r>
                </w:p>
              </w:tc>
              <w:tc>
                <w:tcPr>
                  <w:tcW w:w="1401" w:type="dxa"/>
                  <w:tcBorders>
                    <w:top w:val="single" w:color="auto" w:sz="4" w:space="0"/>
                    <w:left w:val="single" w:color="auto" w:sz="4" w:space="0"/>
                    <w:bottom w:val="single" w:color="auto" w:sz="4" w:space="0"/>
                    <w:right w:val="single" w:color="auto" w:sz="4" w:space="0"/>
                  </w:tcBorders>
                  <w:vAlign w:val="center"/>
                </w:tcPr>
                <w:p w14:paraId="39635E14">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60</w:t>
                  </w:r>
                </w:p>
              </w:tc>
              <w:tc>
                <w:tcPr>
                  <w:tcW w:w="1085" w:type="dxa"/>
                  <w:tcBorders>
                    <w:top w:val="single" w:color="auto" w:sz="4" w:space="0"/>
                    <w:left w:val="single" w:color="auto" w:sz="4" w:space="0"/>
                    <w:bottom w:val="single" w:color="auto" w:sz="4" w:space="0"/>
                    <w:right w:val="single" w:color="auto" w:sz="4" w:space="0"/>
                  </w:tcBorders>
                  <w:vAlign w:val="center"/>
                </w:tcPr>
                <w:p w14:paraId="3E58BFF9">
                  <w:pPr>
                    <w:spacing w:line="320" w:lineRule="exact"/>
                    <w:jc w:val="center"/>
                    <w:rPr>
                      <w:rFonts w:ascii="Times New Roman" w:hAnsi="Times New Roman" w:eastAsia="宋体" w:cs="Times New Roman"/>
                      <w:color w:val="auto"/>
                      <w:spacing w:val="0"/>
                      <w:sz w:val="21"/>
                      <w:szCs w:val="21"/>
                    </w:rPr>
                  </w:pPr>
                  <w:r>
                    <w:rPr>
                      <w:rFonts w:hint="eastAsia" w:ascii="Times New Roman" w:hAnsi="Times New Roman" w:eastAsia="宋体" w:cs="Times New Roman"/>
                      <w:color w:val="auto"/>
                      <w:spacing w:val="0"/>
                      <w:sz w:val="21"/>
                      <w:szCs w:val="21"/>
                    </w:rPr>
                    <w:t>11.7</w:t>
                  </w:r>
                </w:p>
              </w:tc>
              <w:tc>
                <w:tcPr>
                  <w:tcW w:w="1307" w:type="dxa"/>
                  <w:tcBorders>
                    <w:top w:val="single" w:color="auto" w:sz="4" w:space="0"/>
                    <w:left w:val="single" w:color="auto" w:sz="4" w:space="0"/>
                    <w:bottom w:val="single" w:color="auto" w:sz="4" w:space="0"/>
                    <w:right w:val="single" w:color="auto" w:sz="4" w:space="0"/>
                  </w:tcBorders>
                  <w:vAlign w:val="center"/>
                </w:tcPr>
                <w:p w14:paraId="6CA9FCF3">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达标</w:t>
                  </w:r>
                </w:p>
              </w:tc>
            </w:tr>
            <w:tr w14:paraId="715B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9" w:type="dxa"/>
                  <w:tcBorders>
                    <w:top w:val="single" w:color="auto" w:sz="4" w:space="0"/>
                    <w:left w:val="single" w:color="auto" w:sz="4" w:space="0"/>
                    <w:bottom w:val="single" w:color="auto" w:sz="4" w:space="0"/>
                    <w:right w:val="single" w:color="auto" w:sz="4" w:space="0"/>
                  </w:tcBorders>
                  <w:vAlign w:val="center"/>
                </w:tcPr>
                <w:p w14:paraId="4077B922">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NO</w:t>
                  </w:r>
                  <w:r>
                    <w:rPr>
                      <w:rFonts w:ascii="Times New Roman" w:hAnsi="Times New Roman" w:eastAsia="宋体" w:cs="Times New Roman"/>
                      <w:color w:val="auto"/>
                      <w:spacing w:val="0"/>
                      <w:sz w:val="21"/>
                      <w:szCs w:val="21"/>
                      <w:vertAlign w:val="subscript"/>
                    </w:rPr>
                    <w:t>2</w:t>
                  </w:r>
                </w:p>
              </w:tc>
              <w:tc>
                <w:tcPr>
                  <w:tcW w:w="2929" w:type="dxa"/>
                  <w:tcBorders>
                    <w:top w:val="single" w:color="auto" w:sz="4" w:space="0"/>
                    <w:left w:val="single" w:color="auto" w:sz="4" w:space="0"/>
                    <w:bottom w:val="single" w:color="auto" w:sz="4" w:space="0"/>
                    <w:right w:val="single" w:color="auto" w:sz="4" w:space="0"/>
                  </w:tcBorders>
                  <w:vAlign w:val="center"/>
                </w:tcPr>
                <w:p w14:paraId="451BEFE1">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年平均质量浓度</w:t>
                  </w:r>
                </w:p>
              </w:tc>
              <w:tc>
                <w:tcPr>
                  <w:tcW w:w="1401" w:type="dxa"/>
                  <w:tcBorders>
                    <w:top w:val="single" w:color="auto" w:sz="4" w:space="0"/>
                    <w:left w:val="single" w:color="auto" w:sz="4" w:space="0"/>
                    <w:bottom w:val="single" w:color="auto" w:sz="4" w:space="0"/>
                    <w:right w:val="single" w:color="auto" w:sz="4" w:space="0"/>
                  </w:tcBorders>
                  <w:vAlign w:val="center"/>
                </w:tcPr>
                <w:p w14:paraId="08387DBE">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w:t>
                  </w:r>
                  <w:r>
                    <w:rPr>
                      <w:rFonts w:hint="eastAsia" w:ascii="Times New Roman" w:hAnsi="Times New Roman" w:eastAsia="宋体" w:cs="Times New Roman"/>
                      <w:color w:val="auto"/>
                      <w:spacing w:val="0"/>
                      <w:sz w:val="21"/>
                      <w:szCs w:val="21"/>
                    </w:rPr>
                    <w:t>7</w:t>
                  </w:r>
                </w:p>
              </w:tc>
              <w:tc>
                <w:tcPr>
                  <w:tcW w:w="1401" w:type="dxa"/>
                  <w:tcBorders>
                    <w:top w:val="single" w:color="auto" w:sz="4" w:space="0"/>
                    <w:left w:val="single" w:color="auto" w:sz="4" w:space="0"/>
                    <w:bottom w:val="single" w:color="auto" w:sz="4" w:space="0"/>
                    <w:right w:val="single" w:color="auto" w:sz="4" w:space="0"/>
                  </w:tcBorders>
                  <w:vAlign w:val="center"/>
                </w:tcPr>
                <w:p w14:paraId="7E72E71E">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40</w:t>
                  </w:r>
                </w:p>
              </w:tc>
              <w:tc>
                <w:tcPr>
                  <w:tcW w:w="1085" w:type="dxa"/>
                  <w:tcBorders>
                    <w:top w:val="single" w:color="auto" w:sz="4" w:space="0"/>
                    <w:left w:val="single" w:color="auto" w:sz="4" w:space="0"/>
                    <w:bottom w:val="single" w:color="auto" w:sz="4" w:space="0"/>
                    <w:right w:val="single" w:color="auto" w:sz="4" w:space="0"/>
                  </w:tcBorders>
                  <w:vAlign w:val="center"/>
                </w:tcPr>
                <w:p w14:paraId="7DDBCAD0">
                  <w:pPr>
                    <w:spacing w:line="320" w:lineRule="exact"/>
                    <w:jc w:val="center"/>
                    <w:rPr>
                      <w:rFonts w:ascii="Times New Roman" w:hAnsi="Times New Roman" w:eastAsia="宋体" w:cs="Times New Roman"/>
                      <w:color w:val="auto"/>
                      <w:spacing w:val="0"/>
                      <w:sz w:val="21"/>
                      <w:szCs w:val="21"/>
                    </w:rPr>
                  </w:pPr>
                  <w:r>
                    <w:rPr>
                      <w:rFonts w:hint="eastAsia" w:ascii="Times New Roman" w:hAnsi="Times New Roman" w:eastAsia="宋体" w:cs="Times New Roman"/>
                      <w:color w:val="auto"/>
                      <w:spacing w:val="0"/>
                      <w:sz w:val="21"/>
                      <w:szCs w:val="21"/>
                    </w:rPr>
                    <w:t>42.5</w:t>
                  </w:r>
                </w:p>
              </w:tc>
              <w:tc>
                <w:tcPr>
                  <w:tcW w:w="1307" w:type="dxa"/>
                  <w:tcBorders>
                    <w:top w:val="single" w:color="auto" w:sz="4" w:space="0"/>
                    <w:left w:val="single" w:color="auto" w:sz="4" w:space="0"/>
                    <w:bottom w:val="single" w:color="auto" w:sz="4" w:space="0"/>
                    <w:right w:val="single" w:color="auto" w:sz="4" w:space="0"/>
                  </w:tcBorders>
                  <w:vAlign w:val="center"/>
                </w:tcPr>
                <w:p w14:paraId="15E158A7">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达标</w:t>
                  </w:r>
                </w:p>
              </w:tc>
            </w:tr>
            <w:tr w14:paraId="26A0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9" w:type="dxa"/>
                  <w:tcBorders>
                    <w:top w:val="single" w:color="auto" w:sz="4" w:space="0"/>
                    <w:left w:val="single" w:color="auto" w:sz="4" w:space="0"/>
                    <w:bottom w:val="single" w:color="auto" w:sz="4" w:space="0"/>
                    <w:right w:val="single" w:color="auto" w:sz="4" w:space="0"/>
                  </w:tcBorders>
                  <w:vAlign w:val="center"/>
                </w:tcPr>
                <w:p w14:paraId="427759C5">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CO</w:t>
                  </w:r>
                </w:p>
              </w:tc>
              <w:tc>
                <w:tcPr>
                  <w:tcW w:w="2929" w:type="dxa"/>
                  <w:tcBorders>
                    <w:top w:val="single" w:color="auto" w:sz="4" w:space="0"/>
                    <w:left w:val="single" w:color="auto" w:sz="4" w:space="0"/>
                    <w:bottom w:val="single" w:color="auto" w:sz="4" w:space="0"/>
                    <w:right w:val="single" w:color="auto" w:sz="4" w:space="0"/>
                  </w:tcBorders>
                  <w:vAlign w:val="center"/>
                </w:tcPr>
                <w:p w14:paraId="641C8A77">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24小时平均第95位百分位数</w:t>
                  </w:r>
                </w:p>
              </w:tc>
              <w:tc>
                <w:tcPr>
                  <w:tcW w:w="1401" w:type="dxa"/>
                  <w:tcBorders>
                    <w:top w:val="single" w:color="auto" w:sz="4" w:space="0"/>
                    <w:left w:val="single" w:color="auto" w:sz="4" w:space="0"/>
                    <w:bottom w:val="single" w:color="auto" w:sz="4" w:space="0"/>
                    <w:right w:val="single" w:color="auto" w:sz="4" w:space="0"/>
                  </w:tcBorders>
                  <w:vAlign w:val="center"/>
                </w:tcPr>
                <w:p w14:paraId="16D1CC8E">
                  <w:pPr>
                    <w:spacing w:line="320" w:lineRule="exact"/>
                    <w:jc w:val="center"/>
                    <w:rPr>
                      <w:rFonts w:ascii="Times New Roman" w:hAnsi="Times New Roman" w:eastAsia="宋体" w:cs="Times New Roman"/>
                      <w:color w:val="auto"/>
                      <w:spacing w:val="0"/>
                      <w:sz w:val="21"/>
                      <w:szCs w:val="21"/>
                    </w:rPr>
                  </w:pPr>
                  <w:r>
                    <w:rPr>
                      <w:rFonts w:hint="eastAsia" w:ascii="Times New Roman" w:hAnsi="Times New Roman" w:eastAsia="宋体" w:cs="Times New Roman"/>
                      <w:color w:val="auto"/>
                      <w:spacing w:val="0"/>
                      <w:sz w:val="21"/>
                      <w:szCs w:val="21"/>
                      <w:lang w:val="en-US" w:eastAsia="zh-CN"/>
                    </w:rPr>
                    <w:t>1.0</w:t>
                  </w:r>
                  <w:r>
                    <w:rPr>
                      <w:rFonts w:ascii="Times New Roman" w:hAnsi="Times New Roman" w:eastAsia="宋体" w:cs="Times New Roman"/>
                      <w:color w:val="auto"/>
                      <w:spacing w:val="0"/>
                      <w:sz w:val="21"/>
                      <w:szCs w:val="21"/>
                    </w:rPr>
                    <w:t>mg/m</w:t>
                  </w:r>
                  <w:r>
                    <w:rPr>
                      <w:rFonts w:ascii="Times New Roman" w:hAnsi="Times New Roman" w:eastAsia="宋体" w:cs="Times New Roman"/>
                      <w:color w:val="auto"/>
                      <w:spacing w:val="0"/>
                      <w:sz w:val="21"/>
                      <w:szCs w:val="21"/>
                      <w:vertAlign w:val="superscript"/>
                    </w:rPr>
                    <w:t>3</w:t>
                  </w:r>
                </w:p>
              </w:tc>
              <w:tc>
                <w:tcPr>
                  <w:tcW w:w="1401" w:type="dxa"/>
                  <w:tcBorders>
                    <w:top w:val="single" w:color="auto" w:sz="4" w:space="0"/>
                    <w:left w:val="single" w:color="auto" w:sz="4" w:space="0"/>
                    <w:bottom w:val="single" w:color="auto" w:sz="4" w:space="0"/>
                    <w:right w:val="single" w:color="auto" w:sz="4" w:space="0"/>
                  </w:tcBorders>
                  <w:vAlign w:val="center"/>
                </w:tcPr>
                <w:p w14:paraId="0400FCB5">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 mg/m</w:t>
                  </w:r>
                  <w:r>
                    <w:rPr>
                      <w:rFonts w:ascii="Times New Roman" w:hAnsi="Times New Roman" w:eastAsia="宋体" w:cs="Times New Roman"/>
                      <w:color w:val="auto"/>
                      <w:spacing w:val="0"/>
                      <w:sz w:val="21"/>
                      <w:szCs w:val="21"/>
                      <w:vertAlign w:val="superscript"/>
                    </w:rPr>
                    <w:t>3</w:t>
                  </w:r>
                </w:p>
              </w:tc>
              <w:tc>
                <w:tcPr>
                  <w:tcW w:w="1085" w:type="dxa"/>
                  <w:tcBorders>
                    <w:top w:val="single" w:color="auto" w:sz="4" w:space="0"/>
                    <w:left w:val="single" w:color="auto" w:sz="4" w:space="0"/>
                    <w:bottom w:val="single" w:color="auto" w:sz="4" w:space="0"/>
                    <w:right w:val="single" w:color="auto" w:sz="4" w:space="0"/>
                  </w:tcBorders>
                  <w:vAlign w:val="center"/>
                </w:tcPr>
                <w:p w14:paraId="533E7F04">
                  <w:pPr>
                    <w:spacing w:line="32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25.0</w:t>
                  </w:r>
                </w:p>
              </w:tc>
              <w:tc>
                <w:tcPr>
                  <w:tcW w:w="1307" w:type="dxa"/>
                  <w:tcBorders>
                    <w:top w:val="single" w:color="auto" w:sz="4" w:space="0"/>
                    <w:left w:val="single" w:color="auto" w:sz="4" w:space="0"/>
                    <w:bottom w:val="single" w:color="auto" w:sz="4" w:space="0"/>
                    <w:right w:val="single" w:color="auto" w:sz="4" w:space="0"/>
                  </w:tcBorders>
                  <w:vAlign w:val="center"/>
                </w:tcPr>
                <w:p w14:paraId="05816703">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达标</w:t>
                  </w:r>
                </w:p>
              </w:tc>
            </w:tr>
            <w:tr w14:paraId="0824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9" w:type="dxa"/>
                  <w:tcBorders>
                    <w:top w:val="single" w:color="auto" w:sz="4" w:space="0"/>
                    <w:left w:val="single" w:color="auto" w:sz="4" w:space="0"/>
                    <w:bottom w:val="single" w:color="auto" w:sz="4" w:space="0"/>
                    <w:right w:val="single" w:color="auto" w:sz="4" w:space="0"/>
                  </w:tcBorders>
                  <w:vAlign w:val="center"/>
                </w:tcPr>
                <w:p w14:paraId="315D94D7">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O</w:t>
                  </w:r>
                  <w:r>
                    <w:rPr>
                      <w:rFonts w:ascii="Times New Roman" w:hAnsi="Times New Roman" w:eastAsia="宋体" w:cs="Times New Roman"/>
                      <w:color w:val="auto"/>
                      <w:spacing w:val="0"/>
                      <w:sz w:val="21"/>
                      <w:szCs w:val="21"/>
                      <w:vertAlign w:val="subscript"/>
                    </w:rPr>
                    <w:t>3</w:t>
                  </w:r>
                </w:p>
              </w:tc>
              <w:tc>
                <w:tcPr>
                  <w:tcW w:w="2929" w:type="dxa"/>
                  <w:tcBorders>
                    <w:top w:val="single" w:color="auto" w:sz="4" w:space="0"/>
                    <w:left w:val="single" w:color="auto" w:sz="4" w:space="0"/>
                    <w:bottom w:val="single" w:color="auto" w:sz="4" w:space="0"/>
                    <w:right w:val="single" w:color="auto" w:sz="4" w:space="0"/>
                  </w:tcBorders>
                  <w:vAlign w:val="center"/>
                </w:tcPr>
                <w:p w14:paraId="7E7240FF">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日最大8小时滑动平均值的第90百分位数</w:t>
                  </w:r>
                </w:p>
              </w:tc>
              <w:tc>
                <w:tcPr>
                  <w:tcW w:w="1401" w:type="dxa"/>
                  <w:tcBorders>
                    <w:top w:val="single" w:color="auto" w:sz="4" w:space="0"/>
                    <w:left w:val="single" w:color="auto" w:sz="4" w:space="0"/>
                    <w:bottom w:val="single" w:color="auto" w:sz="4" w:space="0"/>
                    <w:right w:val="single" w:color="auto" w:sz="4" w:space="0"/>
                  </w:tcBorders>
                  <w:vAlign w:val="center"/>
                </w:tcPr>
                <w:p w14:paraId="17C7A03B">
                  <w:pPr>
                    <w:spacing w:line="32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126</w:t>
                  </w:r>
                </w:p>
              </w:tc>
              <w:tc>
                <w:tcPr>
                  <w:tcW w:w="1401" w:type="dxa"/>
                  <w:tcBorders>
                    <w:top w:val="single" w:color="auto" w:sz="4" w:space="0"/>
                    <w:left w:val="single" w:color="auto" w:sz="4" w:space="0"/>
                    <w:bottom w:val="single" w:color="auto" w:sz="4" w:space="0"/>
                    <w:right w:val="single" w:color="auto" w:sz="4" w:space="0"/>
                  </w:tcBorders>
                  <w:vAlign w:val="center"/>
                </w:tcPr>
                <w:p w14:paraId="369F6212">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160</w:t>
                  </w:r>
                </w:p>
              </w:tc>
              <w:tc>
                <w:tcPr>
                  <w:tcW w:w="1085" w:type="dxa"/>
                  <w:tcBorders>
                    <w:top w:val="single" w:color="auto" w:sz="4" w:space="0"/>
                    <w:left w:val="single" w:color="auto" w:sz="4" w:space="0"/>
                    <w:bottom w:val="single" w:color="auto" w:sz="4" w:space="0"/>
                    <w:right w:val="single" w:color="auto" w:sz="4" w:space="0"/>
                  </w:tcBorders>
                  <w:vAlign w:val="center"/>
                </w:tcPr>
                <w:p w14:paraId="64AF6495">
                  <w:pPr>
                    <w:spacing w:line="32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78.8</w:t>
                  </w:r>
                </w:p>
              </w:tc>
              <w:tc>
                <w:tcPr>
                  <w:tcW w:w="1307" w:type="dxa"/>
                  <w:tcBorders>
                    <w:top w:val="single" w:color="auto" w:sz="4" w:space="0"/>
                    <w:left w:val="single" w:color="auto" w:sz="4" w:space="0"/>
                    <w:bottom w:val="single" w:color="auto" w:sz="4" w:space="0"/>
                    <w:right w:val="single" w:color="auto" w:sz="4" w:space="0"/>
                  </w:tcBorders>
                  <w:vAlign w:val="center"/>
                </w:tcPr>
                <w:p w14:paraId="26597C10">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达标</w:t>
                  </w:r>
                </w:p>
              </w:tc>
            </w:tr>
            <w:tr w14:paraId="5596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9" w:type="dxa"/>
                  <w:tcBorders>
                    <w:top w:val="single" w:color="auto" w:sz="4" w:space="0"/>
                    <w:left w:val="single" w:color="auto" w:sz="4" w:space="0"/>
                    <w:bottom w:val="single" w:color="auto" w:sz="4" w:space="0"/>
                    <w:right w:val="single" w:color="auto" w:sz="4" w:space="0"/>
                  </w:tcBorders>
                  <w:vAlign w:val="center"/>
                </w:tcPr>
                <w:p w14:paraId="0C328BD1">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PM</w:t>
                  </w:r>
                  <w:r>
                    <w:rPr>
                      <w:rFonts w:ascii="Times New Roman" w:hAnsi="Times New Roman" w:eastAsia="宋体" w:cs="Times New Roman"/>
                      <w:color w:val="auto"/>
                      <w:spacing w:val="0"/>
                      <w:sz w:val="21"/>
                      <w:szCs w:val="21"/>
                      <w:vertAlign w:val="subscript"/>
                    </w:rPr>
                    <w:t>10</w:t>
                  </w:r>
                </w:p>
              </w:tc>
              <w:tc>
                <w:tcPr>
                  <w:tcW w:w="2929" w:type="dxa"/>
                  <w:tcBorders>
                    <w:top w:val="single" w:color="auto" w:sz="4" w:space="0"/>
                    <w:left w:val="single" w:color="auto" w:sz="4" w:space="0"/>
                    <w:bottom w:val="single" w:color="auto" w:sz="4" w:space="0"/>
                    <w:right w:val="single" w:color="auto" w:sz="4" w:space="0"/>
                  </w:tcBorders>
                  <w:vAlign w:val="center"/>
                </w:tcPr>
                <w:p w14:paraId="39662B33">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年平均质量浓度</w:t>
                  </w:r>
                </w:p>
              </w:tc>
              <w:tc>
                <w:tcPr>
                  <w:tcW w:w="1401" w:type="dxa"/>
                  <w:tcBorders>
                    <w:top w:val="single" w:color="auto" w:sz="4" w:space="0"/>
                    <w:left w:val="single" w:color="auto" w:sz="4" w:space="0"/>
                    <w:bottom w:val="single" w:color="auto" w:sz="4" w:space="0"/>
                    <w:right w:val="single" w:color="auto" w:sz="4" w:space="0"/>
                  </w:tcBorders>
                  <w:vAlign w:val="center"/>
                </w:tcPr>
                <w:p w14:paraId="4F513E19">
                  <w:pPr>
                    <w:spacing w:line="320" w:lineRule="exact"/>
                    <w:jc w:val="center"/>
                    <w:rPr>
                      <w:rFonts w:hint="eastAsia" w:ascii="Times New Roman" w:hAnsi="Times New Roman" w:eastAsia="宋体" w:cs="Times New Roman"/>
                      <w:color w:val="auto"/>
                      <w:spacing w:val="0"/>
                      <w:sz w:val="21"/>
                      <w:szCs w:val="21"/>
                      <w:lang w:eastAsia="zh-CN"/>
                    </w:rPr>
                  </w:pPr>
                  <w:r>
                    <w:rPr>
                      <w:rFonts w:hint="eastAsia" w:ascii="Times New Roman" w:hAnsi="Times New Roman" w:eastAsia="宋体" w:cs="Times New Roman"/>
                      <w:color w:val="auto"/>
                      <w:spacing w:val="0"/>
                      <w:sz w:val="21"/>
                      <w:szCs w:val="21"/>
                    </w:rPr>
                    <w:t>4</w:t>
                  </w:r>
                  <w:r>
                    <w:rPr>
                      <w:rFonts w:hint="eastAsia" w:ascii="Times New Roman" w:hAnsi="Times New Roman" w:eastAsia="宋体" w:cs="Times New Roman"/>
                      <w:color w:val="auto"/>
                      <w:spacing w:val="0"/>
                      <w:sz w:val="21"/>
                      <w:szCs w:val="21"/>
                      <w:lang w:val="en-US" w:eastAsia="zh-CN"/>
                    </w:rPr>
                    <w:t>0</w:t>
                  </w:r>
                </w:p>
              </w:tc>
              <w:tc>
                <w:tcPr>
                  <w:tcW w:w="1401" w:type="dxa"/>
                  <w:tcBorders>
                    <w:top w:val="single" w:color="auto" w:sz="4" w:space="0"/>
                    <w:left w:val="single" w:color="auto" w:sz="4" w:space="0"/>
                    <w:bottom w:val="single" w:color="auto" w:sz="4" w:space="0"/>
                    <w:right w:val="single" w:color="auto" w:sz="4" w:space="0"/>
                  </w:tcBorders>
                  <w:vAlign w:val="center"/>
                </w:tcPr>
                <w:p w14:paraId="5549EF38">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70</w:t>
                  </w:r>
                </w:p>
              </w:tc>
              <w:tc>
                <w:tcPr>
                  <w:tcW w:w="1085" w:type="dxa"/>
                  <w:tcBorders>
                    <w:top w:val="single" w:color="auto" w:sz="4" w:space="0"/>
                    <w:left w:val="single" w:color="auto" w:sz="4" w:space="0"/>
                    <w:bottom w:val="single" w:color="auto" w:sz="4" w:space="0"/>
                    <w:right w:val="single" w:color="auto" w:sz="4" w:space="0"/>
                  </w:tcBorders>
                  <w:vAlign w:val="center"/>
                </w:tcPr>
                <w:p w14:paraId="2825C653">
                  <w:pPr>
                    <w:spacing w:line="32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57.1</w:t>
                  </w:r>
                </w:p>
              </w:tc>
              <w:tc>
                <w:tcPr>
                  <w:tcW w:w="1307" w:type="dxa"/>
                  <w:tcBorders>
                    <w:top w:val="single" w:color="auto" w:sz="4" w:space="0"/>
                    <w:left w:val="single" w:color="auto" w:sz="4" w:space="0"/>
                    <w:bottom w:val="single" w:color="auto" w:sz="4" w:space="0"/>
                    <w:right w:val="single" w:color="auto" w:sz="4" w:space="0"/>
                  </w:tcBorders>
                  <w:vAlign w:val="center"/>
                </w:tcPr>
                <w:p w14:paraId="1E6F3C07">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达标</w:t>
                  </w:r>
                </w:p>
              </w:tc>
            </w:tr>
            <w:tr w14:paraId="3A14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9" w:type="dxa"/>
                  <w:tcBorders>
                    <w:top w:val="single" w:color="auto" w:sz="4" w:space="0"/>
                    <w:left w:val="single" w:color="auto" w:sz="4" w:space="0"/>
                    <w:bottom w:val="single" w:color="auto" w:sz="4" w:space="0"/>
                    <w:right w:val="single" w:color="auto" w:sz="4" w:space="0"/>
                  </w:tcBorders>
                  <w:vAlign w:val="center"/>
                </w:tcPr>
                <w:p w14:paraId="19370000">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PM</w:t>
                  </w:r>
                  <w:r>
                    <w:rPr>
                      <w:rFonts w:ascii="Times New Roman" w:hAnsi="Times New Roman" w:eastAsia="宋体" w:cs="Times New Roman"/>
                      <w:color w:val="auto"/>
                      <w:spacing w:val="0"/>
                      <w:sz w:val="21"/>
                      <w:szCs w:val="21"/>
                      <w:vertAlign w:val="subscript"/>
                    </w:rPr>
                    <w:t>2.5</w:t>
                  </w:r>
                </w:p>
              </w:tc>
              <w:tc>
                <w:tcPr>
                  <w:tcW w:w="2929" w:type="dxa"/>
                  <w:tcBorders>
                    <w:top w:val="single" w:color="auto" w:sz="4" w:space="0"/>
                    <w:left w:val="single" w:color="auto" w:sz="4" w:space="0"/>
                    <w:bottom w:val="single" w:color="auto" w:sz="4" w:space="0"/>
                    <w:right w:val="single" w:color="auto" w:sz="4" w:space="0"/>
                  </w:tcBorders>
                  <w:vAlign w:val="center"/>
                </w:tcPr>
                <w:p w14:paraId="1D2F2771">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年平均质量浓度</w:t>
                  </w:r>
                </w:p>
              </w:tc>
              <w:tc>
                <w:tcPr>
                  <w:tcW w:w="1401" w:type="dxa"/>
                  <w:tcBorders>
                    <w:top w:val="single" w:color="auto" w:sz="4" w:space="0"/>
                    <w:left w:val="single" w:color="auto" w:sz="4" w:space="0"/>
                    <w:bottom w:val="single" w:color="auto" w:sz="4" w:space="0"/>
                    <w:right w:val="single" w:color="auto" w:sz="4" w:space="0"/>
                  </w:tcBorders>
                  <w:vAlign w:val="center"/>
                </w:tcPr>
                <w:p w14:paraId="49FA5126">
                  <w:pPr>
                    <w:spacing w:line="320" w:lineRule="exact"/>
                    <w:jc w:val="center"/>
                    <w:rPr>
                      <w:rFonts w:hint="eastAsia" w:ascii="Times New Roman" w:hAnsi="Times New Roman" w:eastAsia="宋体" w:cs="Times New Roman"/>
                      <w:color w:val="auto"/>
                      <w:spacing w:val="0"/>
                      <w:sz w:val="21"/>
                      <w:szCs w:val="21"/>
                      <w:lang w:eastAsia="zh-CN"/>
                    </w:rPr>
                  </w:pPr>
                  <w:r>
                    <w:rPr>
                      <w:rFonts w:hint="eastAsia" w:ascii="Times New Roman" w:hAnsi="Times New Roman" w:eastAsia="宋体" w:cs="Times New Roman"/>
                      <w:color w:val="auto"/>
                      <w:spacing w:val="0"/>
                      <w:sz w:val="21"/>
                      <w:szCs w:val="21"/>
                    </w:rPr>
                    <w:t>21.</w:t>
                  </w:r>
                  <w:r>
                    <w:rPr>
                      <w:rFonts w:hint="eastAsia" w:ascii="Times New Roman" w:hAnsi="Times New Roman" w:eastAsia="宋体" w:cs="Times New Roman"/>
                      <w:color w:val="auto"/>
                      <w:spacing w:val="0"/>
                      <w:sz w:val="21"/>
                      <w:szCs w:val="21"/>
                      <w:lang w:val="en-US" w:eastAsia="zh-CN"/>
                    </w:rPr>
                    <w:t>8</w:t>
                  </w:r>
                </w:p>
              </w:tc>
              <w:tc>
                <w:tcPr>
                  <w:tcW w:w="1401" w:type="dxa"/>
                  <w:tcBorders>
                    <w:top w:val="single" w:color="auto" w:sz="4" w:space="0"/>
                    <w:left w:val="single" w:color="auto" w:sz="4" w:space="0"/>
                    <w:bottom w:val="single" w:color="auto" w:sz="4" w:space="0"/>
                    <w:right w:val="single" w:color="auto" w:sz="4" w:space="0"/>
                  </w:tcBorders>
                  <w:vAlign w:val="center"/>
                </w:tcPr>
                <w:p w14:paraId="6C8C1AC3">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35</w:t>
                  </w:r>
                </w:p>
              </w:tc>
              <w:tc>
                <w:tcPr>
                  <w:tcW w:w="1085" w:type="dxa"/>
                  <w:tcBorders>
                    <w:top w:val="single" w:color="auto" w:sz="4" w:space="0"/>
                    <w:left w:val="single" w:color="auto" w:sz="4" w:space="0"/>
                    <w:bottom w:val="single" w:color="auto" w:sz="4" w:space="0"/>
                    <w:right w:val="single" w:color="auto" w:sz="4" w:space="0"/>
                  </w:tcBorders>
                  <w:vAlign w:val="center"/>
                </w:tcPr>
                <w:p w14:paraId="720A41F2">
                  <w:pPr>
                    <w:spacing w:line="32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62.3</w:t>
                  </w:r>
                </w:p>
              </w:tc>
              <w:tc>
                <w:tcPr>
                  <w:tcW w:w="1307" w:type="dxa"/>
                  <w:tcBorders>
                    <w:top w:val="single" w:color="auto" w:sz="4" w:space="0"/>
                    <w:left w:val="single" w:color="auto" w:sz="4" w:space="0"/>
                    <w:bottom w:val="single" w:color="auto" w:sz="4" w:space="0"/>
                    <w:right w:val="single" w:color="auto" w:sz="4" w:space="0"/>
                  </w:tcBorders>
                  <w:vAlign w:val="center"/>
                </w:tcPr>
                <w:p w14:paraId="038E4EEC">
                  <w:pPr>
                    <w:spacing w:line="320" w:lineRule="exact"/>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达标</w:t>
                  </w:r>
                </w:p>
              </w:tc>
            </w:tr>
          </w:tbl>
          <w:p w14:paraId="2D317128">
            <w:pPr>
              <w:spacing w:line="360" w:lineRule="auto"/>
              <w:ind w:firstLine="480" w:firstLineChars="200"/>
              <w:rPr>
                <w:rFonts w:cs="Arial"/>
                <w:bCs/>
                <w:sz w:val="24"/>
              </w:rPr>
            </w:pPr>
            <w:r>
              <w:rPr>
                <w:rFonts w:hint="eastAsia" w:cs="Arial"/>
                <w:bCs/>
                <w:sz w:val="24"/>
              </w:rPr>
              <w:t>根据表3-1可知，项目所在区域SO</w:t>
            </w:r>
            <w:r>
              <w:rPr>
                <w:rFonts w:hint="eastAsia" w:cs="Arial"/>
                <w:bCs/>
                <w:sz w:val="24"/>
                <w:vertAlign w:val="subscript"/>
              </w:rPr>
              <w:t>2</w:t>
            </w:r>
            <w:r>
              <w:rPr>
                <w:rFonts w:hint="eastAsia" w:cs="Arial"/>
                <w:bCs/>
                <w:sz w:val="24"/>
              </w:rPr>
              <w:t>、NO</w:t>
            </w:r>
            <w:r>
              <w:rPr>
                <w:rFonts w:hint="eastAsia" w:cs="Arial"/>
                <w:bCs/>
                <w:sz w:val="24"/>
                <w:vertAlign w:val="subscript"/>
              </w:rPr>
              <w:t>2</w:t>
            </w:r>
            <w:r>
              <w:rPr>
                <w:rFonts w:hint="eastAsia" w:cs="Arial"/>
                <w:bCs/>
                <w:sz w:val="24"/>
              </w:rPr>
              <w:t>、PM</w:t>
            </w:r>
            <w:r>
              <w:rPr>
                <w:rFonts w:hint="eastAsia" w:cs="Arial"/>
                <w:bCs/>
                <w:sz w:val="24"/>
                <w:vertAlign w:val="subscript"/>
              </w:rPr>
              <w:t>10</w:t>
            </w:r>
            <w:r>
              <w:rPr>
                <w:rFonts w:hint="eastAsia" w:cs="Arial"/>
                <w:bCs/>
                <w:sz w:val="24"/>
              </w:rPr>
              <w:t>、PM</w:t>
            </w:r>
            <w:r>
              <w:rPr>
                <w:rFonts w:hint="eastAsia" w:cs="Arial"/>
                <w:bCs/>
                <w:sz w:val="24"/>
                <w:vertAlign w:val="subscript"/>
              </w:rPr>
              <w:t>2.5</w:t>
            </w:r>
            <w:r>
              <w:rPr>
                <w:rFonts w:hint="eastAsia" w:cs="Arial"/>
                <w:bCs/>
                <w:sz w:val="24"/>
              </w:rPr>
              <w:t>、CO（第95 百分位数）、O</w:t>
            </w:r>
            <w:r>
              <w:rPr>
                <w:rFonts w:hint="eastAsia" w:cs="Arial"/>
                <w:bCs/>
                <w:sz w:val="24"/>
                <w:vertAlign w:val="subscript"/>
              </w:rPr>
              <w:t>3</w:t>
            </w:r>
            <w:r>
              <w:rPr>
                <w:rFonts w:hint="eastAsia" w:cs="Arial"/>
                <w:bCs/>
                <w:sz w:val="24"/>
              </w:rPr>
              <w:t>（第90百分位数）六项污染物排放浓度均达到《环境空气质量标准》（GB3095-2012）及其修改单二级标准。</w:t>
            </w:r>
          </w:p>
          <w:p w14:paraId="51CB02CC">
            <w:pPr>
              <w:spacing w:line="360" w:lineRule="auto"/>
              <w:ind w:firstLine="480" w:firstLineChars="200"/>
              <w:rPr>
                <w:rFonts w:cs="Arial"/>
                <w:bCs/>
                <w:sz w:val="24"/>
              </w:rPr>
            </w:pPr>
            <w:r>
              <w:rPr>
                <w:rFonts w:hint="eastAsia" w:cs="Arial"/>
                <w:bCs/>
                <w:sz w:val="24"/>
              </w:rPr>
              <w:t>4、补充监测</w:t>
            </w:r>
          </w:p>
          <w:p w14:paraId="582A1110">
            <w:pPr>
              <w:spacing w:line="360" w:lineRule="auto"/>
              <w:ind w:firstLine="480" w:firstLineChars="200"/>
              <w:rPr>
                <w:rFonts w:hint="eastAsia" w:eastAsia="宋体" w:cs="Arial"/>
                <w:bCs/>
                <w:sz w:val="24"/>
                <w:lang w:eastAsia="zh-CN"/>
              </w:rPr>
            </w:pPr>
            <w:r>
              <w:rPr>
                <w:rFonts w:hint="eastAsia" w:cs="Arial"/>
                <w:bCs/>
                <w:sz w:val="24"/>
              </w:rPr>
              <w:t>根据《建设项目环境影响评价报告表编制技术指南（污染影响型）（试行）》中要求，“排放国家、地方环境空气质量标准中有标准限值要求的特征污染物时，可引用建设项目周边5千米范围内近3年的现有监测数据”。本次评价</w:t>
            </w:r>
            <w:r>
              <w:rPr>
                <w:rFonts w:hint="eastAsia" w:cs="Arial"/>
                <w:bCs/>
                <w:sz w:val="24"/>
                <w:lang w:eastAsia="zh-CN"/>
              </w:rPr>
              <w:t>《宇盛赤泥综合利用项目环境影响报告书》中项目厂址（监测点位位于</w:t>
            </w:r>
            <w:r>
              <w:rPr>
                <w:rFonts w:hint="eastAsia" w:cs="Arial"/>
                <w:bCs/>
                <w:sz w:val="24"/>
                <w:lang w:val="en-US" w:eastAsia="zh-CN"/>
              </w:rPr>
              <w:t>盛隆厂区东北</w:t>
            </w:r>
            <w:r>
              <w:rPr>
                <w:rFonts w:hint="eastAsia" w:cs="Arial"/>
                <w:bCs/>
                <w:sz w:val="24"/>
                <w:lang w:eastAsia="zh-CN"/>
              </w:rPr>
              <w:t>面</w:t>
            </w:r>
            <w:r>
              <w:rPr>
                <w:rFonts w:hint="eastAsia" w:cs="Arial"/>
                <w:bCs/>
                <w:sz w:val="24"/>
                <w:lang w:val="en-US" w:eastAsia="zh-CN"/>
              </w:rPr>
              <w:t>约4.3</w:t>
            </w:r>
            <w:r>
              <w:rPr>
                <w:rFonts w:hint="eastAsia" w:cs="Arial"/>
                <w:bCs/>
                <w:sz w:val="24"/>
                <w:lang w:eastAsia="zh-CN"/>
              </w:rPr>
              <w:t>km处，该数据可代表本项目所在区域环境空气质量现状）的监测数据，广西正大天成检测技术有限公司于2023年8月30日~9月5日、2024年1月26日~2024年2月1日连续7</w:t>
            </w:r>
            <w:r>
              <w:rPr>
                <w:rFonts w:hint="eastAsia" w:cs="Arial"/>
                <w:bCs/>
                <w:sz w:val="24"/>
                <w:lang w:val="en-US" w:eastAsia="zh-CN"/>
              </w:rPr>
              <w:t>天</w:t>
            </w:r>
            <w:r>
              <w:rPr>
                <w:rFonts w:hint="eastAsia" w:cs="Arial"/>
                <w:bCs/>
                <w:sz w:val="24"/>
                <w:lang w:eastAsia="zh-CN"/>
              </w:rPr>
              <w:t>的监测，其监测结果详见表3-2。</w:t>
            </w:r>
          </w:p>
          <w:p w14:paraId="1C5D9049">
            <w:pPr>
              <w:pStyle w:val="48"/>
              <w:numPr>
                <w:ilvl w:val="2"/>
                <w:numId w:val="3"/>
              </w:numPr>
              <w:spacing w:line="500" w:lineRule="atLeast"/>
              <w:ind w:firstLineChars="0"/>
              <w:jc w:val="center"/>
              <w:rPr>
                <w:b/>
                <w:sz w:val="24"/>
              </w:rPr>
            </w:pPr>
            <w:r>
              <w:rPr>
                <w:rFonts w:hint="eastAsia"/>
                <w:b/>
                <w:sz w:val="24"/>
              </w:rPr>
              <w:t>大气环境监测结果一览表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03"/>
              <w:gridCol w:w="1131"/>
              <w:gridCol w:w="1576"/>
              <w:gridCol w:w="1382"/>
              <w:gridCol w:w="750"/>
              <w:gridCol w:w="719"/>
            </w:tblGrid>
            <w:tr w14:paraId="1894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shd w:val="clear" w:color="auto" w:fill="auto"/>
                  <w:vAlign w:val="center"/>
                </w:tcPr>
                <w:p w14:paraId="1BB772FD">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污染物</w:t>
                  </w:r>
                </w:p>
              </w:tc>
              <w:tc>
                <w:tcPr>
                  <w:tcW w:w="1203" w:type="dxa"/>
                  <w:shd w:val="clear" w:color="auto" w:fill="auto"/>
                  <w:vAlign w:val="center"/>
                </w:tcPr>
                <w:p w14:paraId="20EAA397">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平均时间</w:t>
                  </w:r>
                </w:p>
              </w:tc>
              <w:tc>
                <w:tcPr>
                  <w:tcW w:w="1131" w:type="dxa"/>
                  <w:shd w:val="clear" w:color="auto" w:fill="auto"/>
                  <w:vAlign w:val="center"/>
                </w:tcPr>
                <w:p w14:paraId="17F9FD8A">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评价标准</w:t>
                  </w:r>
                </w:p>
              </w:tc>
              <w:tc>
                <w:tcPr>
                  <w:tcW w:w="1576" w:type="dxa"/>
                  <w:shd w:val="clear" w:color="auto" w:fill="auto"/>
                  <w:vAlign w:val="center"/>
                </w:tcPr>
                <w:p w14:paraId="3ABB836E">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监测浓度范围</w:t>
                  </w:r>
                </w:p>
              </w:tc>
              <w:tc>
                <w:tcPr>
                  <w:tcW w:w="1382" w:type="dxa"/>
                  <w:shd w:val="clear" w:color="auto" w:fill="auto"/>
                  <w:vAlign w:val="center"/>
                </w:tcPr>
                <w:p w14:paraId="1A33079C">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最大浓度占标率（%）</w:t>
                  </w:r>
                </w:p>
              </w:tc>
              <w:tc>
                <w:tcPr>
                  <w:tcW w:w="750" w:type="dxa"/>
                  <w:shd w:val="clear" w:color="auto" w:fill="auto"/>
                  <w:vAlign w:val="center"/>
                </w:tcPr>
                <w:p w14:paraId="36AB2674">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超标率%</w:t>
                  </w:r>
                </w:p>
              </w:tc>
              <w:tc>
                <w:tcPr>
                  <w:tcW w:w="719" w:type="dxa"/>
                  <w:shd w:val="clear" w:color="auto" w:fill="auto"/>
                  <w:vAlign w:val="center"/>
                </w:tcPr>
                <w:p w14:paraId="15EE727E">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达标情况</w:t>
                  </w:r>
                </w:p>
              </w:tc>
            </w:tr>
            <w:tr w14:paraId="2999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shd w:val="clear" w:color="auto" w:fill="auto"/>
                  <w:vAlign w:val="center"/>
                </w:tcPr>
                <w:p w14:paraId="7CF7E529">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kern w:val="2"/>
                      <w:lang w:val="en-US" w:eastAsia="zh-CN"/>
                    </w:rPr>
                  </w:pPr>
                  <w:r>
                    <w:rPr>
                      <w:rFonts w:hint="eastAsia" w:ascii="Times New Roman" w:hAnsi="Times New Roman"/>
                      <w:kern w:val="2"/>
                      <w:lang w:val="en-US" w:eastAsia="zh-CN"/>
                    </w:rPr>
                    <w:t>TSP</w:t>
                  </w:r>
                </w:p>
              </w:tc>
              <w:tc>
                <w:tcPr>
                  <w:tcW w:w="1203" w:type="dxa"/>
                  <w:shd w:val="clear" w:color="auto" w:fill="auto"/>
                  <w:vAlign w:val="center"/>
                </w:tcPr>
                <w:p w14:paraId="24E441F5">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kern w:val="2"/>
                      <w:lang w:val="en-US" w:eastAsia="zh-CN"/>
                    </w:rPr>
                  </w:pPr>
                  <w:r>
                    <w:rPr>
                      <w:rFonts w:hint="eastAsia" w:ascii="Times New Roman" w:hAnsi="Times New Roman"/>
                      <w:kern w:val="2"/>
                      <w:lang w:val="en-US" w:eastAsia="zh-CN"/>
                    </w:rPr>
                    <w:t>24小时平均</w:t>
                  </w:r>
                </w:p>
              </w:tc>
              <w:tc>
                <w:tcPr>
                  <w:tcW w:w="1131" w:type="dxa"/>
                  <w:shd w:val="clear" w:color="auto" w:fill="auto"/>
                  <w:vAlign w:val="center"/>
                </w:tcPr>
                <w:p w14:paraId="378E50F8">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hint="eastAsia" w:ascii="Times New Roman" w:hAnsi="Times New Roman"/>
                      <w:kern w:val="2"/>
                      <w:lang w:val="en-US" w:eastAsia="zh-CN"/>
                    </w:rPr>
                    <w:t>0.3mg</w:t>
                  </w:r>
                  <w:r>
                    <w:rPr>
                      <w:rFonts w:ascii="Times New Roman" w:hAnsi="Times New Roman"/>
                      <w:kern w:val="2"/>
                    </w:rPr>
                    <w:t>/m</w:t>
                  </w:r>
                  <w:r>
                    <w:rPr>
                      <w:rFonts w:ascii="Times New Roman" w:hAnsi="Times New Roman"/>
                      <w:kern w:val="2"/>
                      <w:vertAlign w:val="superscript"/>
                    </w:rPr>
                    <w:t>3</w:t>
                  </w:r>
                </w:p>
              </w:tc>
              <w:tc>
                <w:tcPr>
                  <w:tcW w:w="1576" w:type="dxa"/>
                  <w:shd w:val="clear" w:color="auto" w:fill="auto"/>
                  <w:vAlign w:val="center"/>
                </w:tcPr>
                <w:p w14:paraId="1227F4A1">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hint="eastAsia" w:ascii="Times New Roman" w:hAnsi="Times New Roman"/>
                      <w:kern w:val="2"/>
                      <w:lang w:val="en-US" w:eastAsia="zh-CN"/>
                    </w:rPr>
                    <w:t>0.055~0.091m</w:t>
                  </w:r>
                  <w:r>
                    <w:rPr>
                      <w:rFonts w:ascii="Times New Roman" w:hAnsi="Times New Roman"/>
                      <w:kern w:val="2"/>
                    </w:rPr>
                    <w:t>g/m</w:t>
                  </w:r>
                  <w:r>
                    <w:rPr>
                      <w:rFonts w:ascii="Times New Roman" w:hAnsi="Times New Roman"/>
                      <w:kern w:val="2"/>
                      <w:vertAlign w:val="superscript"/>
                    </w:rPr>
                    <w:t>3</w:t>
                  </w:r>
                </w:p>
              </w:tc>
              <w:tc>
                <w:tcPr>
                  <w:tcW w:w="1382" w:type="dxa"/>
                  <w:shd w:val="clear" w:color="auto" w:fill="auto"/>
                  <w:vAlign w:val="center"/>
                </w:tcPr>
                <w:p w14:paraId="636AC8AC">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kern w:val="2"/>
                      <w:lang w:val="en-US" w:eastAsia="zh-CN"/>
                    </w:rPr>
                  </w:pPr>
                  <w:r>
                    <w:rPr>
                      <w:rFonts w:hint="eastAsia" w:ascii="Times New Roman" w:hAnsi="Times New Roman"/>
                      <w:kern w:val="2"/>
                      <w:lang w:val="en-US" w:eastAsia="zh-CN"/>
                    </w:rPr>
                    <w:t>38.0</w:t>
                  </w:r>
                </w:p>
              </w:tc>
              <w:tc>
                <w:tcPr>
                  <w:tcW w:w="750" w:type="dxa"/>
                  <w:shd w:val="clear" w:color="auto" w:fill="auto"/>
                  <w:vAlign w:val="center"/>
                </w:tcPr>
                <w:p w14:paraId="550A71A5">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0</w:t>
                  </w:r>
                </w:p>
              </w:tc>
              <w:tc>
                <w:tcPr>
                  <w:tcW w:w="719" w:type="dxa"/>
                  <w:shd w:val="clear" w:color="auto" w:fill="auto"/>
                  <w:vAlign w:val="center"/>
                </w:tcPr>
                <w:p w14:paraId="76E40E55">
                  <w:pPr>
                    <w:pStyle w:val="64"/>
                    <w:widowControl w:val="0"/>
                    <w:pBdr>
                      <w:left w:val="none" w:color="auto" w:sz="0" w:space="0"/>
                      <w:bottom w:val="none" w:color="auto" w:sz="0" w:space="0"/>
                      <w:right w:val="none" w:color="auto" w:sz="0" w:space="0"/>
                    </w:pBdr>
                    <w:spacing w:before="0" w:beforeAutospacing="0" w:after="0" w:afterAutospacing="0" w:line="240" w:lineRule="exact"/>
                    <w:rPr>
                      <w:rFonts w:ascii="Times New Roman" w:hAnsi="Times New Roman"/>
                      <w:kern w:val="2"/>
                    </w:rPr>
                  </w:pPr>
                  <w:r>
                    <w:rPr>
                      <w:rFonts w:ascii="Times New Roman" w:hAnsi="Times New Roman"/>
                      <w:kern w:val="2"/>
                    </w:rPr>
                    <w:t>达标</w:t>
                  </w:r>
                </w:p>
              </w:tc>
            </w:tr>
            <w:tr w14:paraId="24D0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vMerge w:val="restart"/>
                  <w:shd w:val="clear" w:color="auto" w:fill="auto"/>
                  <w:vAlign w:val="center"/>
                </w:tcPr>
                <w:p w14:paraId="0E25F688">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kern w:val="2"/>
                      <w:lang w:val="en-US" w:eastAsia="zh-CN"/>
                    </w:rPr>
                  </w:pPr>
                  <w:r>
                    <w:rPr>
                      <w:rFonts w:hint="eastAsia" w:ascii="Times New Roman" w:hAnsi="Times New Roman"/>
                      <w:kern w:val="2"/>
                      <w:lang w:val="en-US" w:eastAsia="zh-CN"/>
                    </w:rPr>
                    <w:t>氟化物</w:t>
                  </w:r>
                </w:p>
              </w:tc>
              <w:tc>
                <w:tcPr>
                  <w:tcW w:w="1203" w:type="dxa"/>
                  <w:shd w:val="clear" w:color="auto" w:fill="auto"/>
                  <w:vAlign w:val="center"/>
                </w:tcPr>
                <w:p w14:paraId="05EABC5F">
                  <w:pPr>
                    <w:widowControl/>
                    <w:spacing w:line="240" w:lineRule="exact"/>
                    <w:jc w:val="center"/>
                    <w:rPr>
                      <w:rFonts w:hint="eastAsia" w:ascii="Times New Roman" w:hAnsi="Times New Roman" w:eastAsia="宋体" w:cs="Times New Roman"/>
                      <w:bCs/>
                      <w:color w:val="auto"/>
                      <w:spacing w:val="0"/>
                      <w:kern w:val="0"/>
                      <w:sz w:val="21"/>
                      <w:szCs w:val="21"/>
                      <w:u w:val="none"/>
                      <w:lang w:val="en-US" w:eastAsia="zh-CN" w:bidi="ar-SA"/>
                    </w:rPr>
                  </w:pPr>
                  <w:r>
                    <w:rPr>
                      <w:rFonts w:hint="eastAsia" w:ascii="Times New Roman" w:hAnsi="Times New Roman" w:eastAsia="宋体" w:cs="Times New Roman"/>
                      <w:bCs/>
                      <w:color w:val="auto"/>
                      <w:spacing w:val="0"/>
                      <w:kern w:val="0"/>
                      <w:sz w:val="21"/>
                      <w:szCs w:val="21"/>
                      <w:u w:val="none"/>
                    </w:rPr>
                    <w:t>1小时平均</w:t>
                  </w:r>
                </w:p>
              </w:tc>
              <w:tc>
                <w:tcPr>
                  <w:tcW w:w="1131" w:type="dxa"/>
                  <w:shd w:val="clear" w:color="auto" w:fill="auto"/>
                  <w:vAlign w:val="center"/>
                </w:tcPr>
                <w:p w14:paraId="2DFBC7A0">
                  <w:pPr>
                    <w:widowControl/>
                    <w:spacing w:line="240" w:lineRule="exact"/>
                    <w:jc w:val="center"/>
                    <w:rPr>
                      <w:rFonts w:hint="eastAsia" w:ascii="Times New Roman" w:hAnsi="Times New Roman" w:eastAsia="宋体" w:cs="Times New Roman"/>
                      <w:bCs/>
                      <w:color w:val="auto"/>
                      <w:spacing w:val="0"/>
                      <w:kern w:val="0"/>
                      <w:sz w:val="21"/>
                      <w:szCs w:val="21"/>
                      <w:u w:val="none"/>
                      <w:lang w:val="en-US" w:eastAsia="zh-CN" w:bidi="ar-SA"/>
                    </w:rPr>
                  </w:pPr>
                  <w:r>
                    <w:rPr>
                      <w:rFonts w:hint="eastAsia" w:ascii="Times New Roman" w:hAnsi="Times New Roman" w:eastAsia="宋体" w:cs="Times New Roman"/>
                      <w:bCs/>
                      <w:color w:val="auto"/>
                      <w:spacing w:val="0"/>
                      <w:kern w:val="0"/>
                      <w:sz w:val="21"/>
                      <w:szCs w:val="21"/>
                      <w:u w:val="none"/>
                    </w:rPr>
                    <w:t>0.020</w:t>
                  </w:r>
                  <w:r>
                    <w:rPr>
                      <w:rFonts w:hint="eastAsia" w:ascii="Times New Roman" w:hAnsi="Times New Roman"/>
                      <w:kern w:val="2"/>
                      <w:lang w:val="en-US" w:eastAsia="zh-CN"/>
                    </w:rPr>
                    <w:t>mg</w:t>
                  </w:r>
                  <w:r>
                    <w:rPr>
                      <w:rFonts w:ascii="Times New Roman" w:hAnsi="Times New Roman"/>
                      <w:kern w:val="2"/>
                    </w:rPr>
                    <w:t>/m</w:t>
                  </w:r>
                  <w:r>
                    <w:rPr>
                      <w:rFonts w:ascii="Times New Roman" w:hAnsi="Times New Roman"/>
                      <w:kern w:val="2"/>
                      <w:vertAlign w:val="superscript"/>
                    </w:rPr>
                    <w:t>3</w:t>
                  </w:r>
                </w:p>
              </w:tc>
              <w:tc>
                <w:tcPr>
                  <w:tcW w:w="1576" w:type="dxa"/>
                  <w:shd w:val="clear" w:color="auto" w:fill="auto"/>
                  <w:vAlign w:val="center"/>
                </w:tcPr>
                <w:p w14:paraId="284696F7">
                  <w:pPr>
                    <w:widowControl/>
                    <w:spacing w:line="240" w:lineRule="exact"/>
                    <w:jc w:val="center"/>
                    <w:rPr>
                      <w:rFonts w:hint="eastAsia" w:ascii="Times New Roman" w:hAnsi="Times New Roman" w:eastAsia="宋体" w:cs="Times New Roman"/>
                      <w:bCs/>
                      <w:color w:val="auto"/>
                      <w:spacing w:val="0"/>
                      <w:kern w:val="0"/>
                      <w:sz w:val="21"/>
                      <w:szCs w:val="21"/>
                      <w:u w:val="none"/>
                      <w:lang w:val="en-US" w:eastAsia="zh-CN" w:bidi="ar-SA"/>
                    </w:rPr>
                  </w:pPr>
                  <w:r>
                    <w:rPr>
                      <w:rFonts w:hint="eastAsia" w:ascii="Times New Roman" w:hAnsi="Times New Roman" w:eastAsia="宋体" w:cs="Times New Roman"/>
                      <w:bCs/>
                      <w:color w:val="auto"/>
                      <w:spacing w:val="0"/>
                      <w:kern w:val="0"/>
                      <w:sz w:val="21"/>
                      <w:szCs w:val="21"/>
                      <w:u w:val="none"/>
                    </w:rPr>
                    <w:t>0.0019~0.0022</w:t>
                  </w:r>
                  <w:r>
                    <w:rPr>
                      <w:rFonts w:hint="eastAsia" w:ascii="Times New Roman" w:hAnsi="Times New Roman"/>
                      <w:kern w:val="2"/>
                      <w:lang w:val="en-US" w:eastAsia="zh-CN"/>
                    </w:rPr>
                    <w:t>mg</w:t>
                  </w:r>
                  <w:r>
                    <w:rPr>
                      <w:rFonts w:ascii="Times New Roman" w:hAnsi="Times New Roman"/>
                      <w:kern w:val="2"/>
                    </w:rPr>
                    <w:t>/m</w:t>
                  </w:r>
                  <w:r>
                    <w:rPr>
                      <w:rFonts w:ascii="Times New Roman" w:hAnsi="Times New Roman"/>
                      <w:kern w:val="2"/>
                      <w:vertAlign w:val="superscript"/>
                    </w:rPr>
                    <w:t>3</w:t>
                  </w:r>
                </w:p>
              </w:tc>
              <w:tc>
                <w:tcPr>
                  <w:tcW w:w="1382" w:type="dxa"/>
                  <w:shd w:val="clear" w:color="auto" w:fill="auto"/>
                  <w:vAlign w:val="center"/>
                </w:tcPr>
                <w:p w14:paraId="2BA29837">
                  <w:pPr>
                    <w:spacing w:line="240" w:lineRule="exact"/>
                    <w:jc w:val="center"/>
                    <w:rPr>
                      <w:rFonts w:hint="eastAsia" w:ascii="Times New Roman" w:hAnsi="Times New Roman" w:eastAsia="宋体" w:cs="Times New Roman"/>
                      <w:bCs/>
                      <w:color w:val="auto"/>
                      <w:spacing w:val="0"/>
                      <w:kern w:val="2"/>
                      <w:sz w:val="21"/>
                      <w:szCs w:val="21"/>
                      <w:u w:val="none"/>
                      <w:lang w:val="en-US" w:eastAsia="zh-CN" w:bidi="ar-SA"/>
                    </w:rPr>
                  </w:pPr>
                  <w:r>
                    <w:rPr>
                      <w:rFonts w:hint="eastAsia" w:ascii="Times New Roman" w:hAnsi="Times New Roman" w:eastAsia="宋体" w:cs="Times New Roman"/>
                      <w:bCs/>
                      <w:color w:val="auto"/>
                      <w:spacing w:val="0"/>
                      <w:sz w:val="21"/>
                      <w:szCs w:val="21"/>
                      <w:u w:val="none"/>
                    </w:rPr>
                    <w:t>11</w:t>
                  </w:r>
                </w:p>
              </w:tc>
              <w:tc>
                <w:tcPr>
                  <w:tcW w:w="750" w:type="dxa"/>
                  <w:shd w:val="clear" w:color="auto" w:fill="auto"/>
                  <w:vAlign w:val="center"/>
                </w:tcPr>
                <w:p w14:paraId="60C8B576">
                  <w:pPr>
                    <w:spacing w:line="240" w:lineRule="exact"/>
                    <w:jc w:val="center"/>
                    <w:rPr>
                      <w:rFonts w:ascii="Times New Roman" w:hAnsi="Times New Roman" w:eastAsia="宋体" w:cs="Times New Roman"/>
                      <w:bCs/>
                      <w:color w:val="auto"/>
                      <w:spacing w:val="0"/>
                      <w:kern w:val="2"/>
                      <w:sz w:val="21"/>
                      <w:szCs w:val="21"/>
                      <w:u w:val="none"/>
                      <w:lang w:val="en-US" w:eastAsia="zh-CN" w:bidi="ar-SA"/>
                    </w:rPr>
                  </w:pPr>
                  <w:r>
                    <w:rPr>
                      <w:rFonts w:hint="eastAsia" w:ascii="Times New Roman" w:hAnsi="Times New Roman" w:eastAsia="宋体" w:cs="Times New Roman"/>
                      <w:bCs/>
                      <w:color w:val="auto"/>
                      <w:spacing w:val="0"/>
                      <w:sz w:val="21"/>
                      <w:szCs w:val="21"/>
                      <w:u w:val="none"/>
                    </w:rPr>
                    <w:t>0</w:t>
                  </w:r>
                </w:p>
              </w:tc>
              <w:tc>
                <w:tcPr>
                  <w:tcW w:w="719" w:type="dxa"/>
                  <w:shd w:val="clear" w:color="auto" w:fill="auto"/>
                  <w:vAlign w:val="center"/>
                </w:tcPr>
                <w:p w14:paraId="535EC32F">
                  <w:pPr>
                    <w:spacing w:line="240" w:lineRule="exact"/>
                    <w:jc w:val="center"/>
                    <w:rPr>
                      <w:rFonts w:ascii="Times New Roman" w:hAnsi="Times New Roman" w:eastAsia="宋体" w:cs="Times New Roman"/>
                      <w:bCs/>
                      <w:color w:val="auto"/>
                      <w:spacing w:val="0"/>
                      <w:kern w:val="2"/>
                      <w:sz w:val="21"/>
                      <w:szCs w:val="21"/>
                      <w:u w:val="none"/>
                      <w:lang w:val="en-US" w:eastAsia="zh-CN" w:bidi="ar-SA"/>
                    </w:rPr>
                  </w:pPr>
                  <w:r>
                    <w:rPr>
                      <w:rFonts w:ascii="Times New Roman" w:hAnsi="Times New Roman" w:eastAsia="宋体" w:cs="Times New Roman"/>
                      <w:bCs/>
                      <w:color w:val="auto"/>
                      <w:spacing w:val="0"/>
                      <w:sz w:val="21"/>
                      <w:szCs w:val="21"/>
                      <w:u w:val="none"/>
                    </w:rPr>
                    <w:t>达标</w:t>
                  </w:r>
                </w:p>
              </w:tc>
            </w:tr>
            <w:tr w14:paraId="1510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3" w:type="dxa"/>
                  <w:vMerge w:val="continue"/>
                  <w:shd w:val="clear" w:color="auto" w:fill="auto"/>
                  <w:vAlign w:val="center"/>
                </w:tcPr>
                <w:p w14:paraId="61203122">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eastAsia" w:ascii="Times New Roman" w:hAnsi="Times New Roman"/>
                      <w:kern w:val="2"/>
                      <w:lang w:val="en-US" w:eastAsia="zh-CN"/>
                    </w:rPr>
                  </w:pPr>
                </w:p>
              </w:tc>
              <w:tc>
                <w:tcPr>
                  <w:tcW w:w="1203" w:type="dxa"/>
                  <w:shd w:val="clear" w:color="auto" w:fill="auto"/>
                  <w:vAlign w:val="center"/>
                </w:tcPr>
                <w:p w14:paraId="1DC503EA">
                  <w:pPr>
                    <w:widowControl/>
                    <w:spacing w:line="240" w:lineRule="exact"/>
                    <w:jc w:val="center"/>
                    <w:rPr>
                      <w:rFonts w:hint="eastAsia" w:ascii="Times New Roman" w:hAnsi="Times New Roman" w:eastAsia="宋体" w:cs="Times New Roman"/>
                      <w:bCs/>
                      <w:color w:val="auto"/>
                      <w:spacing w:val="0"/>
                      <w:kern w:val="0"/>
                      <w:sz w:val="21"/>
                      <w:szCs w:val="21"/>
                      <w:u w:val="none"/>
                      <w:lang w:val="en-US" w:eastAsia="zh-CN" w:bidi="ar-SA"/>
                    </w:rPr>
                  </w:pPr>
                  <w:r>
                    <w:rPr>
                      <w:rFonts w:hint="eastAsia" w:ascii="Times New Roman" w:hAnsi="Times New Roman" w:eastAsia="宋体" w:cs="Times New Roman"/>
                      <w:bCs/>
                      <w:color w:val="auto"/>
                      <w:spacing w:val="0"/>
                      <w:kern w:val="0"/>
                      <w:sz w:val="21"/>
                      <w:szCs w:val="21"/>
                      <w:u w:val="none"/>
                    </w:rPr>
                    <w:t>24小时</w:t>
                  </w:r>
                  <w:r>
                    <w:rPr>
                      <w:rFonts w:ascii="Times New Roman" w:hAnsi="Times New Roman" w:eastAsia="宋体" w:cs="Times New Roman"/>
                      <w:bCs/>
                      <w:color w:val="auto"/>
                      <w:spacing w:val="0"/>
                      <w:kern w:val="0"/>
                      <w:sz w:val="21"/>
                      <w:szCs w:val="21"/>
                      <w:u w:val="none"/>
                    </w:rPr>
                    <w:t>平均</w:t>
                  </w:r>
                </w:p>
              </w:tc>
              <w:tc>
                <w:tcPr>
                  <w:tcW w:w="1131" w:type="dxa"/>
                  <w:shd w:val="clear" w:color="auto" w:fill="auto"/>
                  <w:vAlign w:val="center"/>
                </w:tcPr>
                <w:p w14:paraId="791A9D76">
                  <w:pPr>
                    <w:widowControl/>
                    <w:spacing w:line="240" w:lineRule="exact"/>
                    <w:jc w:val="center"/>
                    <w:rPr>
                      <w:rFonts w:hint="eastAsia" w:ascii="Times New Roman" w:hAnsi="Times New Roman" w:eastAsia="宋体" w:cs="Times New Roman"/>
                      <w:bCs/>
                      <w:color w:val="auto"/>
                      <w:spacing w:val="0"/>
                      <w:kern w:val="0"/>
                      <w:sz w:val="21"/>
                      <w:szCs w:val="21"/>
                      <w:u w:val="none"/>
                      <w:lang w:val="en-US" w:eastAsia="zh-CN" w:bidi="ar-SA"/>
                    </w:rPr>
                  </w:pPr>
                  <w:r>
                    <w:rPr>
                      <w:rFonts w:hint="eastAsia" w:ascii="Times New Roman" w:hAnsi="Times New Roman" w:eastAsia="宋体" w:cs="Times New Roman"/>
                      <w:bCs/>
                      <w:color w:val="auto"/>
                      <w:spacing w:val="0"/>
                      <w:kern w:val="0"/>
                      <w:sz w:val="21"/>
                      <w:szCs w:val="21"/>
                      <w:u w:val="none"/>
                    </w:rPr>
                    <w:t>0.0007</w:t>
                  </w:r>
                  <w:r>
                    <w:rPr>
                      <w:rFonts w:hint="eastAsia" w:ascii="Times New Roman" w:hAnsi="Times New Roman"/>
                      <w:kern w:val="2"/>
                      <w:lang w:val="en-US" w:eastAsia="zh-CN"/>
                    </w:rPr>
                    <w:t>mg</w:t>
                  </w:r>
                  <w:r>
                    <w:rPr>
                      <w:rFonts w:ascii="Times New Roman" w:hAnsi="Times New Roman"/>
                      <w:kern w:val="2"/>
                    </w:rPr>
                    <w:t>/m</w:t>
                  </w:r>
                  <w:r>
                    <w:rPr>
                      <w:rFonts w:ascii="Times New Roman" w:hAnsi="Times New Roman"/>
                      <w:kern w:val="2"/>
                      <w:vertAlign w:val="superscript"/>
                    </w:rPr>
                    <w:t>3</w:t>
                  </w:r>
                </w:p>
              </w:tc>
              <w:tc>
                <w:tcPr>
                  <w:tcW w:w="1576" w:type="dxa"/>
                  <w:shd w:val="clear" w:color="auto" w:fill="auto"/>
                  <w:vAlign w:val="center"/>
                </w:tcPr>
                <w:p w14:paraId="4DA0BC72">
                  <w:pPr>
                    <w:widowControl/>
                    <w:spacing w:line="240" w:lineRule="exact"/>
                    <w:jc w:val="center"/>
                    <w:rPr>
                      <w:rFonts w:hint="eastAsia" w:ascii="Times New Roman" w:hAnsi="Times New Roman" w:eastAsia="宋体" w:cs="Times New Roman"/>
                      <w:bCs/>
                      <w:color w:val="auto"/>
                      <w:spacing w:val="0"/>
                      <w:kern w:val="0"/>
                      <w:sz w:val="21"/>
                      <w:szCs w:val="21"/>
                      <w:u w:val="none"/>
                      <w:lang w:val="en-US" w:eastAsia="zh-CN" w:bidi="ar-SA"/>
                    </w:rPr>
                  </w:pPr>
                  <w:r>
                    <w:rPr>
                      <w:rFonts w:hint="eastAsia" w:ascii="Times New Roman" w:hAnsi="Times New Roman" w:eastAsia="宋体" w:cs="Times New Roman"/>
                      <w:bCs/>
                      <w:color w:val="auto"/>
                      <w:spacing w:val="0"/>
                      <w:kern w:val="0"/>
                      <w:sz w:val="21"/>
                      <w:szCs w:val="21"/>
                      <w:u w:val="none"/>
                    </w:rPr>
                    <w:t>0.00015~0.00020</w:t>
                  </w:r>
                  <w:r>
                    <w:rPr>
                      <w:rFonts w:hint="eastAsia" w:ascii="Times New Roman" w:hAnsi="Times New Roman"/>
                      <w:kern w:val="2"/>
                      <w:lang w:val="en-US" w:eastAsia="zh-CN"/>
                    </w:rPr>
                    <w:t>mg</w:t>
                  </w:r>
                  <w:r>
                    <w:rPr>
                      <w:rFonts w:ascii="Times New Roman" w:hAnsi="Times New Roman"/>
                      <w:kern w:val="2"/>
                    </w:rPr>
                    <w:t>/m</w:t>
                  </w:r>
                  <w:r>
                    <w:rPr>
                      <w:rFonts w:ascii="Times New Roman" w:hAnsi="Times New Roman"/>
                      <w:kern w:val="2"/>
                      <w:vertAlign w:val="superscript"/>
                    </w:rPr>
                    <w:t>3</w:t>
                  </w:r>
                </w:p>
              </w:tc>
              <w:tc>
                <w:tcPr>
                  <w:tcW w:w="1382" w:type="dxa"/>
                  <w:shd w:val="clear" w:color="auto" w:fill="auto"/>
                  <w:vAlign w:val="center"/>
                </w:tcPr>
                <w:p w14:paraId="013F7CA4">
                  <w:pPr>
                    <w:spacing w:line="240" w:lineRule="exact"/>
                    <w:jc w:val="center"/>
                    <w:rPr>
                      <w:rFonts w:hint="eastAsia" w:ascii="Times New Roman" w:hAnsi="Times New Roman" w:eastAsia="宋体" w:cs="Times New Roman"/>
                      <w:bCs/>
                      <w:color w:val="auto"/>
                      <w:spacing w:val="0"/>
                      <w:kern w:val="2"/>
                      <w:sz w:val="21"/>
                      <w:szCs w:val="21"/>
                      <w:u w:val="none"/>
                      <w:lang w:val="en-US" w:eastAsia="zh-CN" w:bidi="ar-SA"/>
                    </w:rPr>
                  </w:pPr>
                  <w:r>
                    <w:rPr>
                      <w:rFonts w:hint="eastAsia" w:ascii="Times New Roman" w:hAnsi="Times New Roman" w:eastAsia="宋体" w:cs="Times New Roman"/>
                      <w:bCs/>
                      <w:color w:val="auto"/>
                      <w:spacing w:val="0"/>
                      <w:sz w:val="21"/>
                      <w:szCs w:val="21"/>
                      <w:u w:val="none"/>
                    </w:rPr>
                    <w:t>28.57</w:t>
                  </w:r>
                </w:p>
              </w:tc>
              <w:tc>
                <w:tcPr>
                  <w:tcW w:w="750" w:type="dxa"/>
                  <w:shd w:val="clear" w:color="auto" w:fill="auto"/>
                  <w:vAlign w:val="center"/>
                </w:tcPr>
                <w:p w14:paraId="58321F11">
                  <w:pPr>
                    <w:spacing w:line="240" w:lineRule="exact"/>
                    <w:jc w:val="center"/>
                    <w:rPr>
                      <w:rFonts w:ascii="Times New Roman" w:hAnsi="Times New Roman" w:eastAsia="宋体" w:cs="Times New Roman"/>
                      <w:bCs/>
                      <w:color w:val="auto"/>
                      <w:spacing w:val="0"/>
                      <w:kern w:val="2"/>
                      <w:sz w:val="21"/>
                      <w:szCs w:val="21"/>
                      <w:u w:val="none"/>
                      <w:lang w:val="en-US" w:eastAsia="zh-CN" w:bidi="ar-SA"/>
                    </w:rPr>
                  </w:pPr>
                  <w:r>
                    <w:rPr>
                      <w:rFonts w:hint="eastAsia" w:ascii="Times New Roman" w:hAnsi="Times New Roman" w:eastAsia="宋体" w:cs="Times New Roman"/>
                      <w:bCs/>
                      <w:color w:val="auto"/>
                      <w:spacing w:val="0"/>
                      <w:sz w:val="21"/>
                      <w:szCs w:val="21"/>
                      <w:u w:val="none"/>
                    </w:rPr>
                    <w:t>0</w:t>
                  </w:r>
                </w:p>
              </w:tc>
              <w:tc>
                <w:tcPr>
                  <w:tcW w:w="719" w:type="dxa"/>
                  <w:shd w:val="clear" w:color="auto" w:fill="auto"/>
                  <w:vAlign w:val="center"/>
                </w:tcPr>
                <w:p w14:paraId="3A4C4553">
                  <w:pPr>
                    <w:spacing w:line="240" w:lineRule="exact"/>
                    <w:jc w:val="center"/>
                    <w:rPr>
                      <w:rFonts w:ascii="Times New Roman" w:hAnsi="Times New Roman" w:eastAsia="宋体" w:cs="Times New Roman"/>
                      <w:bCs/>
                      <w:color w:val="auto"/>
                      <w:spacing w:val="0"/>
                      <w:kern w:val="2"/>
                      <w:sz w:val="21"/>
                      <w:szCs w:val="21"/>
                      <w:u w:val="none"/>
                      <w:lang w:val="en-US" w:eastAsia="zh-CN" w:bidi="ar-SA"/>
                    </w:rPr>
                  </w:pPr>
                  <w:r>
                    <w:rPr>
                      <w:rFonts w:hint="eastAsia" w:ascii="Times New Roman" w:hAnsi="Times New Roman" w:eastAsia="宋体" w:cs="Times New Roman"/>
                      <w:bCs/>
                      <w:color w:val="auto"/>
                      <w:spacing w:val="0"/>
                      <w:sz w:val="21"/>
                      <w:szCs w:val="21"/>
                      <w:u w:val="none"/>
                    </w:rPr>
                    <w:t>达标</w:t>
                  </w:r>
                </w:p>
              </w:tc>
            </w:tr>
          </w:tbl>
          <w:p w14:paraId="62B12504">
            <w:pPr>
              <w:spacing w:line="360" w:lineRule="auto"/>
              <w:ind w:firstLine="480" w:firstLineChars="200"/>
              <w:rPr>
                <w:rFonts w:cs="Arial"/>
                <w:bCs/>
                <w:sz w:val="24"/>
                <w:highlight w:val="yellow"/>
              </w:rPr>
            </w:pPr>
            <w:r>
              <w:rPr>
                <w:rFonts w:hint="eastAsia" w:cs="Arial"/>
                <w:bCs/>
                <w:sz w:val="24"/>
              </w:rPr>
              <w:t>由表3-2可知，项目所在区域</w:t>
            </w:r>
            <w:r>
              <w:rPr>
                <w:rFonts w:hint="eastAsia"/>
                <w:bCs/>
                <w:sz w:val="24"/>
              </w:rPr>
              <w:t>TSP满足《环境空气质量标准》（GB3095-2012）及其修改单二级标准要求</w:t>
            </w:r>
            <w:r>
              <w:rPr>
                <w:rFonts w:hint="eastAsia"/>
                <w:bCs/>
                <w:sz w:val="24"/>
                <w:lang w:eastAsia="zh-CN"/>
              </w:rPr>
              <w:t>，</w:t>
            </w:r>
            <w:r>
              <w:rPr>
                <w:rFonts w:hint="eastAsia" w:ascii="Times New Roman" w:hAnsi="Times New Roman" w:eastAsia="宋体" w:cs="Times New Roman"/>
                <w:color w:val="auto"/>
                <w:sz w:val="24"/>
                <w:u w:val="none"/>
              </w:rPr>
              <w:t>氟化物监测浓度满足《环境空气质量标准》（GB3095-2012）附录A中二级浓度限值要求</w:t>
            </w:r>
            <w:r>
              <w:rPr>
                <w:rFonts w:hint="eastAsia" w:cs="Arial"/>
                <w:bCs/>
                <w:sz w:val="24"/>
              </w:rPr>
              <w:t>。</w:t>
            </w:r>
          </w:p>
          <w:p w14:paraId="79D73FCE">
            <w:pPr>
              <w:spacing w:line="360" w:lineRule="auto"/>
              <w:ind w:firstLine="482" w:firstLineChars="200"/>
              <w:rPr>
                <w:rFonts w:cs="Arial"/>
                <w:b/>
                <w:bCs/>
                <w:sz w:val="24"/>
              </w:rPr>
            </w:pPr>
            <w:r>
              <w:rPr>
                <w:rFonts w:hint="eastAsia" w:cs="Arial"/>
                <w:b/>
                <w:bCs/>
                <w:sz w:val="24"/>
              </w:rPr>
              <w:t>二、</w:t>
            </w:r>
            <w:r>
              <w:rPr>
                <w:rFonts w:cs="Arial"/>
                <w:b/>
                <w:bCs/>
                <w:sz w:val="24"/>
              </w:rPr>
              <w:t>水环境质量状况</w:t>
            </w:r>
          </w:p>
          <w:p w14:paraId="67DA7218">
            <w:pPr>
              <w:spacing w:line="360" w:lineRule="auto"/>
              <w:ind w:firstLine="480" w:firstLineChars="200"/>
              <w:rPr>
                <w:rFonts w:hint="eastAsia" w:cs="Arial"/>
                <w:bCs/>
                <w:sz w:val="24"/>
              </w:rPr>
            </w:pPr>
            <w:r>
              <w:rPr>
                <w:rFonts w:hint="eastAsia" w:cs="Arial"/>
                <w:bCs/>
                <w:sz w:val="24"/>
              </w:rPr>
              <w:t>本项目</w:t>
            </w:r>
            <w:r>
              <w:rPr>
                <w:rFonts w:hint="eastAsia" w:cs="Arial"/>
                <w:bCs/>
                <w:sz w:val="24"/>
                <w:lang w:val="en-US" w:eastAsia="zh-CN"/>
              </w:rPr>
              <w:t>废水</w:t>
            </w:r>
            <w:r>
              <w:rPr>
                <w:rFonts w:hint="eastAsia" w:cs="Arial"/>
                <w:bCs/>
                <w:sz w:val="24"/>
              </w:rPr>
              <w:t>经污水管道收集后依托盛隆厂区污水处理设施处理后，回用于盛隆厂区各用水环节，不外排。为了解项目周边海域水环境质量现状，根据广西壮族自治区生态环境厅发布的《2025年11月广西近岸海域水质状况》，广西近岸海域17个自动监测站中，水质优良（第一、二类水质）站位共15个，同比上升1个；无第三类水质站位，同比持平；第四类水质站位共2个，同比下降1个；无劣四类水质站位，同比持平；水质优良天数比例为84.31%，同比上升5.68个百分点。</w:t>
            </w:r>
            <w:r>
              <w:rPr>
                <w:rFonts w:hint="eastAsia" w:cs="Arial"/>
                <w:bCs/>
                <w:sz w:val="24"/>
                <w:lang w:val="en-US" w:eastAsia="zh-CN"/>
              </w:rPr>
              <w:t>评价范围内无其他水库、河流等地表水体</w:t>
            </w:r>
            <w:r>
              <w:rPr>
                <w:rFonts w:hint="eastAsia" w:cs="Arial"/>
                <w:bCs/>
                <w:sz w:val="24"/>
              </w:rPr>
              <w:t>。</w:t>
            </w:r>
          </w:p>
          <w:p w14:paraId="45A9298F">
            <w:pPr>
              <w:spacing w:line="360" w:lineRule="auto"/>
              <w:ind w:firstLine="482" w:firstLineChars="200"/>
              <w:rPr>
                <w:rFonts w:hint="default" w:eastAsia="宋体" w:cs="Arial"/>
                <w:b/>
                <w:bCs/>
                <w:sz w:val="24"/>
                <w:lang w:val="en-US" w:eastAsia="zh-CN"/>
              </w:rPr>
            </w:pPr>
            <w:r>
              <w:rPr>
                <w:rFonts w:hint="eastAsia" w:cs="Arial"/>
                <w:b/>
                <w:bCs/>
                <w:sz w:val="24"/>
              </w:rPr>
              <w:t>三、声环境</w:t>
            </w:r>
            <w:r>
              <w:rPr>
                <w:rFonts w:hint="eastAsia" w:cs="Arial"/>
                <w:b/>
                <w:bCs/>
                <w:sz w:val="24"/>
                <w:lang w:val="en-US" w:eastAsia="zh-CN"/>
              </w:rPr>
              <w:t>质量状况</w:t>
            </w:r>
          </w:p>
          <w:p w14:paraId="313A71E5">
            <w:pPr>
              <w:spacing w:line="360" w:lineRule="auto"/>
              <w:ind w:firstLine="480" w:firstLineChars="200"/>
              <w:rPr>
                <w:rFonts w:hint="eastAsia"/>
                <w:color w:val="000000"/>
                <w:sz w:val="24"/>
              </w:rPr>
            </w:pPr>
            <w:r>
              <w:rPr>
                <w:rFonts w:hint="eastAsia"/>
                <w:sz w:val="24"/>
                <w:lang w:val="en-US" w:eastAsia="zh-CN"/>
              </w:rPr>
              <w:t>根据《防城港市城区声环境功能区划示意图》，</w:t>
            </w:r>
            <w:r>
              <w:rPr>
                <w:rFonts w:hint="eastAsia"/>
                <w:sz w:val="24"/>
              </w:rPr>
              <w:t>盛隆厂区北厂界和东厂界北段的厂界噪声执行《工业企业厂界环境噪声排放标准》（GB12348-2008）4类标准，其他厂界噪声执行3类标准</w:t>
            </w:r>
            <w:r>
              <w:rPr>
                <w:rFonts w:hint="eastAsia"/>
                <w:color w:val="000000"/>
                <w:sz w:val="24"/>
              </w:rPr>
              <w:t>。据现场踏勘，项目地块周边现状主要为工业企业</w:t>
            </w:r>
            <w:r>
              <w:rPr>
                <w:rFonts w:hint="eastAsia"/>
                <w:color w:val="000000"/>
                <w:sz w:val="24"/>
                <w:lang w:eastAsia="zh-CN"/>
              </w:rPr>
              <w:t>、</w:t>
            </w:r>
            <w:r>
              <w:rPr>
                <w:rFonts w:hint="eastAsia"/>
                <w:color w:val="000000"/>
                <w:sz w:val="24"/>
              </w:rPr>
              <w:t>公路和荒地等。</w:t>
            </w:r>
          </w:p>
          <w:p w14:paraId="2A35F8A4">
            <w:pPr>
              <w:spacing w:line="360" w:lineRule="auto"/>
              <w:ind w:firstLine="480" w:firstLineChars="200"/>
              <w:rPr>
                <w:rFonts w:hint="eastAsia"/>
                <w:color w:val="000000"/>
                <w:sz w:val="24"/>
              </w:rPr>
            </w:pPr>
            <w:r>
              <w:rPr>
                <w:rFonts w:hint="eastAsia"/>
                <w:color w:val="000000"/>
                <w:sz w:val="24"/>
              </w:rPr>
              <w:t>项目周边50m范围内无敏感点，根据建设项目环境影响报告表编制技术指南（污染影响类）（试行），项目不再进行声环境质量现状监测。</w:t>
            </w:r>
          </w:p>
          <w:p w14:paraId="2DCC14BF">
            <w:pPr>
              <w:spacing w:line="360" w:lineRule="auto"/>
              <w:ind w:firstLine="482" w:firstLineChars="200"/>
              <w:rPr>
                <w:rFonts w:hint="eastAsia"/>
                <w:color w:val="000000"/>
                <w:sz w:val="24"/>
              </w:rPr>
            </w:pPr>
            <w:r>
              <w:rPr>
                <w:rFonts w:hint="eastAsia"/>
                <w:b/>
                <w:bCs/>
                <w:color w:val="000000"/>
                <w:sz w:val="24"/>
              </w:rPr>
              <w:t>四、地下水、土壤环境质量状况</w:t>
            </w:r>
          </w:p>
          <w:p w14:paraId="676F8EBF">
            <w:pPr>
              <w:spacing w:line="360" w:lineRule="auto"/>
              <w:ind w:firstLine="480" w:firstLineChars="200"/>
              <w:rPr>
                <w:rFonts w:hint="eastAsia"/>
                <w:color w:val="000000"/>
                <w:sz w:val="24"/>
                <w:lang w:val="en-US" w:eastAsia="zh-CN"/>
              </w:rPr>
            </w:pPr>
            <w:r>
              <w:rPr>
                <w:rFonts w:hint="eastAsia"/>
                <w:color w:val="000000"/>
                <w:sz w:val="24"/>
              </w:rPr>
              <w:t>项目所在区域地下水未有相关的环境功能区划。根据《地下水质量标准》（GB/T14848-2017），地下水水质划分为五类：Ⅰ类主要反映地下水化学组分的天然背景含量；Ⅱ主要反映地下水化学组分的天然背景含量；Ⅲ类以人体健康基准值为依据，主要适用于集中式生活饮用水水源及工业、农业用水；Ⅳ类以农业和工业用水要求为依据；Ⅴ类水不宜饮用。项目所在区域的地下水是以人体健康基准值，主要用途为饮用、工业、农业用水，因此项目区域地下水执行《地下水质量标准》（GB/T14848-2017）Ⅲ类标准。项目</w:t>
            </w:r>
            <w:r>
              <w:rPr>
                <w:rFonts w:hint="eastAsia"/>
                <w:color w:val="000000"/>
                <w:sz w:val="24"/>
                <w:lang w:val="en-US" w:eastAsia="zh-CN"/>
              </w:rPr>
              <w:t>厂区</w:t>
            </w:r>
            <w:r>
              <w:rPr>
                <w:rFonts w:hint="eastAsia"/>
                <w:color w:val="000000"/>
                <w:sz w:val="24"/>
              </w:rPr>
              <w:t>内土壤执行《土壤环境质量 建设用地土壤污染风险管控标准（试行）》（GB36600—2018），</w:t>
            </w:r>
            <w:r>
              <w:rPr>
                <w:rFonts w:hint="eastAsia"/>
                <w:color w:val="000000"/>
                <w:sz w:val="24"/>
                <w:lang w:val="en-US" w:eastAsia="zh-CN"/>
              </w:rPr>
              <w:t>厂区</w:t>
            </w:r>
            <w:r>
              <w:rPr>
                <w:rFonts w:hint="eastAsia"/>
                <w:color w:val="000000"/>
                <w:sz w:val="24"/>
              </w:rPr>
              <w:t>外土壤执行《土壤环境质量 农用地土壤污染风险管控标准》（GB15618-2018）表1中“其他”土壤类型标准限值</w:t>
            </w:r>
            <w:r>
              <w:rPr>
                <w:rFonts w:hint="eastAsia"/>
                <w:color w:val="000000"/>
                <w:sz w:val="24"/>
                <w:lang w:val="en-US" w:eastAsia="zh-CN"/>
              </w:rPr>
              <w:t>。</w:t>
            </w:r>
          </w:p>
          <w:p w14:paraId="15E7E845">
            <w:pPr>
              <w:spacing w:line="360" w:lineRule="auto"/>
              <w:ind w:firstLine="480" w:firstLineChars="200"/>
              <w:rPr>
                <w:rFonts w:hint="eastAsia"/>
                <w:color w:val="000000"/>
                <w:sz w:val="24"/>
              </w:rPr>
            </w:pPr>
            <w:r>
              <w:rPr>
                <w:rFonts w:hint="eastAsia"/>
                <w:color w:val="000000"/>
                <w:sz w:val="24"/>
              </w:rPr>
              <w:t>根据《建设项目环境影响报告表编制技术指南》（污染影响类）（试行）中地下水、土壤环境质量现状调查的原则：原则上不开展环境质量现状调查。建设项目存在土壤、地下水环境污染途径的，应结合污染源、保护目标分布情况开展现状调查以留作背景值。</w:t>
            </w:r>
          </w:p>
          <w:p w14:paraId="0A91D54E">
            <w:pPr>
              <w:spacing w:line="360" w:lineRule="auto"/>
              <w:ind w:firstLine="480" w:firstLineChars="200"/>
              <w:rPr>
                <w:rFonts w:hint="eastAsia"/>
                <w:color w:val="000000"/>
                <w:sz w:val="24"/>
              </w:rPr>
            </w:pPr>
            <w:r>
              <w:rPr>
                <w:rFonts w:hint="eastAsia"/>
                <w:color w:val="000000"/>
                <w:sz w:val="24"/>
              </w:rPr>
              <w:t>本项目在采取防渗措施后，无土壤、地下水环境污染途径，因此不开展土壤、地下水环境质量现状调查。</w:t>
            </w:r>
          </w:p>
          <w:p w14:paraId="3ECE608D">
            <w:pPr>
              <w:spacing w:line="360" w:lineRule="auto"/>
              <w:ind w:firstLine="482" w:firstLineChars="200"/>
              <w:rPr>
                <w:rFonts w:hint="default" w:eastAsia="宋体" w:cs="Arial"/>
                <w:b/>
                <w:bCs/>
                <w:sz w:val="24"/>
                <w:lang w:val="en-US" w:eastAsia="zh-CN"/>
              </w:rPr>
            </w:pPr>
            <w:r>
              <w:rPr>
                <w:rFonts w:hint="eastAsia" w:cs="Arial"/>
                <w:b/>
                <w:bCs/>
                <w:sz w:val="24"/>
                <w:lang w:val="en-US" w:eastAsia="zh-CN"/>
              </w:rPr>
              <w:t>五</w:t>
            </w:r>
            <w:r>
              <w:rPr>
                <w:rFonts w:hint="eastAsia" w:cs="Arial"/>
                <w:b/>
                <w:bCs/>
                <w:sz w:val="24"/>
              </w:rPr>
              <w:t>、生态环境</w:t>
            </w:r>
            <w:r>
              <w:rPr>
                <w:rFonts w:hint="eastAsia" w:cs="Arial"/>
                <w:b/>
                <w:bCs/>
                <w:sz w:val="24"/>
                <w:lang w:val="en-US" w:eastAsia="zh-CN"/>
              </w:rPr>
              <w:t>质量状况</w:t>
            </w:r>
          </w:p>
          <w:p w14:paraId="7DC23E08">
            <w:pPr>
              <w:spacing w:line="360" w:lineRule="auto"/>
              <w:ind w:firstLine="480" w:firstLineChars="200"/>
              <w:rPr>
                <w:rFonts w:cs="Arial"/>
                <w:bCs/>
                <w:sz w:val="24"/>
              </w:rPr>
            </w:pPr>
            <w:r>
              <w:rPr>
                <w:rFonts w:hint="eastAsia" w:cs="Arial"/>
                <w:bCs/>
                <w:sz w:val="24"/>
              </w:rPr>
              <w:t>项目在现有厂区内进行扩建，无新增用地。评价区域内无特殊保护的珍稀动植物分布，未发现风景名胜区及文化遗产保护目标，用地范围内无生态环境保护目标，因此本次环评不需进行生态环境现状调查。</w:t>
            </w:r>
          </w:p>
        </w:tc>
      </w:tr>
      <w:tr w14:paraId="74B78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14:paraId="62A1267D">
            <w:pPr>
              <w:adjustRightInd w:val="0"/>
              <w:snapToGrid w:val="0"/>
              <w:jc w:val="center"/>
              <w:rPr>
                <w:rFonts w:ascii="宋体" w:hAnsi="宋体" w:cs="宋体"/>
                <w:kern w:val="0"/>
                <w:szCs w:val="21"/>
              </w:rPr>
            </w:pPr>
            <w:r>
              <w:rPr>
                <w:rFonts w:hint="eastAsia" w:ascii="宋体" w:hAnsi="宋体" w:cs="宋体"/>
                <w:kern w:val="0"/>
                <w:szCs w:val="21"/>
              </w:rPr>
              <w:t>环境</w:t>
            </w:r>
          </w:p>
          <w:p w14:paraId="4D015FD0">
            <w:pPr>
              <w:adjustRightInd w:val="0"/>
              <w:snapToGrid w:val="0"/>
              <w:jc w:val="center"/>
              <w:rPr>
                <w:rFonts w:ascii="宋体" w:hAnsi="宋体" w:cs="宋体"/>
                <w:kern w:val="0"/>
                <w:szCs w:val="21"/>
              </w:rPr>
            </w:pPr>
            <w:r>
              <w:rPr>
                <w:rFonts w:hint="eastAsia" w:ascii="宋体" w:hAnsi="宋体" w:cs="宋体"/>
                <w:kern w:val="0"/>
                <w:szCs w:val="21"/>
              </w:rPr>
              <w:t>保护</w:t>
            </w:r>
          </w:p>
          <w:p w14:paraId="33C9A847">
            <w:pPr>
              <w:adjustRightInd w:val="0"/>
              <w:snapToGrid w:val="0"/>
              <w:jc w:val="center"/>
              <w:rPr>
                <w:rFonts w:ascii="宋体" w:hAnsi="宋体" w:cs="宋体"/>
                <w:kern w:val="0"/>
                <w:szCs w:val="21"/>
              </w:rPr>
            </w:pPr>
            <w:r>
              <w:rPr>
                <w:rFonts w:hint="eastAsia" w:ascii="宋体" w:hAnsi="宋体" w:cs="宋体"/>
                <w:kern w:val="0"/>
                <w:szCs w:val="21"/>
              </w:rPr>
              <w:t>目标</w:t>
            </w:r>
          </w:p>
        </w:tc>
        <w:tc>
          <w:tcPr>
            <w:tcW w:w="8190" w:type="dxa"/>
            <w:vAlign w:val="center"/>
          </w:tcPr>
          <w:p w14:paraId="57B879A3">
            <w:pPr>
              <w:spacing w:after="120" w:line="400" w:lineRule="exact"/>
              <w:rPr>
                <w:b/>
                <w:bCs/>
                <w:sz w:val="24"/>
              </w:rPr>
            </w:pPr>
            <w:r>
              <w:rPr>
                <w:rFonts w:hint="eastAsia"/>
                <w:b/>
                <w:bCs/>
                <w:sz w:val="24"/>
              </w:rPr>
              <w:t>主要环境保护目标（列出名单及保护级别）：</w:t>
            </w:r>
          </w:p>
          <w:p w14:paraId="130EFF0E">
            <w:pPr>
              <w:spacing w:line="360" w:lineRule="auto"/>
              <w:ind w:firstLine="480" w:firstLineChars="200"/>
              <w:rPr>
                <w:rFonts w:hint="eastAsia"/>
                <w:bCs/>
                <w:sz w:val="24"/>
              </w:rPr>
            </w:pPr>
            <w:r>
              <w:rPr>
                <w:rFonts w:hint="eastAsia"/>
                <w:bCs/>
                <w:sz w:val="24"/>
              </w:rPr>
              <w:t>根据项目的现场踏勘，项目评价范围内无自然保护区、水源地保护区、森林公园、风景名胜区、国家生态公益林分布。环境保护目标见表3-</w:t>
            </w:r>
            <w:r>
              <w:rPr>
                <w:rFonts w:hint="eastAsia"/>
                <w:bCs/>
                <w:sz w:val="24"/>
                <w:lang w:val="en-US" w:eastAsia="zh-CN"/>
              </w:rPr>
              <w:t>3</w:t>
            </w:r>
            <w:r>
              <w:rPr>
                <w:rFonts w:hint="eastAsia"/>
                <w:bCs/>
                <w:sz w:val="24"/>
              </w:rPr>
              <w:t>。</w:t>
            </w:r>
          </w:p>
          <w:p w14:paraId="01514801">
            <w:pPr>
              <w:spacing w:line="360" w:lineRule="auto"/>
              <w:ind w:firstLine="480" w:firstLineChars="200"/>
              <w:rPr>
                <w:rFonts w:hint="eastAsia"/>
                <w:bCs/>
                <w:sz w:val="24"/>
              </w:rPr>
            </w:pPr>
          </w:p>
          <w:p w14:paraId="05EC93B7">
            <w:pPr>
              <w:spacing w:line="360" w:lineRule="auto"/>
              <w:ind w:firstLine="480" w:firstLineChars="200"/>
              <w:rPr>
                <w:rFonts w:hint="eastAsia"/>
                <w:bCs/>
                <w:sz w:val="24"/>
              </w:rPr>
            </w:pPr>
          </w:p>
          <w:p w14:paraId="33A05375">
            <w:pPr>
              <w:pStyle w:val="48"/>
              <w:numPr>
                <w:ilvl w:val="2"/>
                <w:numId w:val="3"/>
              </w:numPr>
              <w:spacing w:line="500" w:lineRule="atLeast"/>
              <w:ind w:firstLineChars="0"/>
              <w:jc w:val="center"/>
              <w:rPr>
                <w:rFonts w:hint="eastAsia"/>
                <w:bCs/>
                <w:sz w:val="24"/>
              </w:rPr>
            </w:pPr>
            <w:r>
              <w:rPr>
                <w:rFonts w:hint="eastAsia" w:ascii="Times New Roman" w:hAnsi="Times New Roman" w:eastAsia="宋体" w:cs="Times New Roman"/>
                <w:b/>
                <w:sz w:val="24"/>
              </w:rPr>
              <w:t>主要环境保护目标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27"/>
              <w:gridCol w:w="1290"/>
              <w:gridCol w:w="885"/>
              <w:gridCol w:w="915"/>
              <w:gridCol w:w="839"/>
              <w:gridCol w:w="2169"/>
            </w:tblGrid>
            <w:tr w14:paraId="0BAF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14:paraId="4B3A3821">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类别</w:t>
                  </w:r>
                </w:p>
              </w:tc>
              <w:tc>
                <w:tcPr>
                  <w:tcW w:w="770" w:type="pct"/>
                  <w:tcBorders>
                    <w:top w:val="single" w:color="auto" w:sz="4" w:space="0"/>
                    <w:left w:val="single" w:color="auto" w:sz="4" w:space="0"/>
                    <w:bottom w:val="single" w:color="auto" w:sz="4" w:space="0"/>
                    <w:right w:val="single" w:color="auto" w:sz="4" w:space="0"/>
                  </w:tcBorders>
                  <w:vAlign w:val="center"/>
                </w:tcPr>
                <w:p w14:paraId="57ABF40E">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敏感目标名称</w:t>
                  </w:r>
                </w:p>
              </w:tc>
              <w:tc>
                <w:tcPr>
                  <w:tcW w:w="809" w:type="pct"/>
                  <w:tcBorders>
                    <w:top w:val="single" w:color="auto" w:sz="4" w:space="0"/>
                    <w:left w:val="single" w:color="auto" w:sz="4" w:space="0"/>
                    <w:bottom w:val="single" w:color="auto" w:sz="4" w:space="0"/>
                    <w:right w:val="single" w:color="auto" w:sz="4" w:space="0"/>
                  </w:tcBorders>
                  <w:vAlign w:val="center"/>
                </w:tcPr>
                <w:p w14:paraId="4406EE89">
                  <w:pPr>
                    <w:jc w:val="center"/>
                    <w:rPr>
                      <w:bCs/>
                      <w:color w:val="000000" w:themeColor="text1"/>
                      <w:szCs w:val="21"/>
                      <w14:textFill>
                        <w14:solidFill>
                          <w14:schemeClr w14:val="tx1"/>
                        </w14:solidFill>
                      </w14:textFill>
                    </w:rPr>
                  </w:pPr>
                  <w:r>
                    <w:rPr>
                      <w:rFonts w:hint="eastAsia"/>
                      <w:bCs/>
                      <w:color w:val="000000" w:themeColor="text1"/>
                      <w:szCs w:val="21"/>
                      <w:lang w:val="en-US" w:eastAsia="zh-CN"/>
                      <w14:textFill>
                        <w14:solidFill>
                          <w14:schemeClr w14:val="tx1"/>
                        </w14:solidFill>
                      </w14:textFill>
                    </w:rPr>
                    <w:t>与最近厂界</w:t>
                  </w:r>
                  <w:r>
                    <w:rPr>
                      <w:rFonts w:hint="eastAsia"/>
                      <w:bCs/>
                      <w:color w:val="000000" w:themeColor="text1"/>
                      <w:szCs w:val="21"/>
                      <w14:textFill>
                        <w14:solidFill>
                          <w14:schemeClr w14:val="tx1"/>
                        </w14:solidFill>
                      </w14:textFill>
                    </w:rPr>
                    <w:t>相对方位</w:t>
                  </w:r>
                </w:p>
              </w:tc>
              <w:tc>
                <w:tcPr>
                  <w:tcW w:w="555" w:type="pct"/>
                  <w:tcBorders>
                    <w:top w:val="single" w:color="auto" w:sz="4" w:space="0"/>
                    <w:left w:val="single" w:color="auto" w:sz="4" w:space="0"/>
                    <w:bottom w:val="single" w:color="auto" w:sz="4" w:space="0"/>
                    <w:right w:val="single" w:color="auto" w:sz="4" w:space="0"/>
                  </w:tcBorders>
                  <w:vAlign w:val="center"/>
                </w:tcPr>
                <w:p w14:paraId="389CAF6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距离（</w:t>
                  </w:r>
                  <w:r>
                    <w:rPr>
                      <w:rFonts w:hint="eastAsia"/>
                      <w:bCs/>
                      <w:color w:val="000000" w:themeColor="text1"/>
                      <w:szCs w:val="21"/>
                      <w:lang w:val="en-US" w:eastAsia="zh-CN"/>
                      <w14:textFill>
                        <w14:solidFill>
                          <w14:schemeClr w14:val="tx1"/>
                        </w14:solidFill>
                      </w14:textFill>
                    </w:rPr>
                    <w:t>km</w:t>
                  </w:r>
                  <w:r>
                    <w:rPr>
                      <w:rFonts w:hint="eastAsia"/>
                      <w:bCs/>
                      <w:color w:val="000000" w:themeColor="text1"/>
                      <w:szCs w:val="21"/>
                      <w14:textFill>
                        <w14:solidFill>
                          <w14:schemeClr w14:val="tx1"/>
                        </w14:solidFill>
                      </w14:textFill>
                    </w:rPr>
                    <w:t>）</w:t>
                  </w:r>
                </w:p>
              </w:tc>
              <w:tc>
                <w:tcPr>
                  <w:tcW w:w="574" w:type="pct"/>
                  <w:tcBorders>
                    <w:top w:val="single" w:color="auto" w:sz="4" w:space="0"/>
                    <w:left w:val="single" w:color="auto" w:sz="4" w:space="0"/>
                    <w:bottom w:val="single" w:color="auto" w:sz="4" w:space="0"/>
                    <w:right w:val="single" w:color="auto" w:sz="4" w:space="0"/>
                  </w:tcBorders>
                  <w:vAlign w:val="center"/>
                </w:tcPr>
                <w:p w14:paraId="73308208">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饮用水</w:t>
                  </w:r>
                </w:p>
              </w:tc>
              <w:tc>
                <w:tcPr>
                  <w:tcW w:w="526" w:type="pct"/>
                  <w:tcBorders>
                    <w:top w:val="single" w:color="auto" w:sz="4" w:space="0"/>
                    <w:left w:val="single" w:color="auto" w:sz="4" w:space="0"/>
                    <w:bottom w:val="single" w:color="auto" w:sz="4" w:space="0"/>
                    <w:right w:val="single" w:color="auto" w:sz="4" w:space="0"/>
                  </w:tcBorders>
                  <w:vAlign w:val="center"/>
                </w:tcPr>
                <w:p w14:paraId="423CED76">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人数（人）</w:t>
                  </w:r>
                </w:p>
              </w:tc>
              <w:tc>
                <w:tcPr>
                  <w:tcW w:w="1361" w:type="pct"/>
                  <w:tcBorders>
                    <w:top w:val="single" w:color="auto" w:sz="4" w:space="0"/>
                    <w:left w:val="single" w:color="auto" w:sz="4" w:space="0"/>
                    <w:bottom w:val="single" w:color="auto" w:sz="4" w:space="0"/>
                    <w:right w:val="single" w:color="auto" w:sz="4" w:space="0"/>
                  </w:tcBorders>
                  <w:vAlign w:val="center"/>
                </w:tcPr>
                <w:p w14:paraId="4508A41D">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执行标准</w:t>
                  </w:r>
                </w:p>
              </w:tc>
            </w:tr>
            <w:tr w14:paraId="7700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restart"/>
                  <w:tcBorders>
                    <w:top w:val="single" w:color="auto" w:sz="4" w:space="0"/>
                    <w:left w:val="single" w:color="auto" w:sz="4" w:space="0"/>
                    <w:right w:val="single" w:color="auto" w:sz="4" w:space="0"/>
                  </w:tcBorders>
                  <w:vAlign w:val="center"/>
                </w:tcPr>
                <w:p w14:paraId="1DD6E3D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空气环境</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11BC041A">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和平小区</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09865BDD">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西</w:t>
                  </w:r>
                  <w:r>
                    <w:rPr>
                      <w:rFonts w:hint="eastAsia"/>
                      <w:color w:val="auto"/>
                      <w:szCs w:val="21"/>
                    </w:rPr>
                    <w:t>面</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471F334">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r>
                    <w:rPr>
                      <w:rFonts w:hint="eastAsia"/>
                      <w:color w:val="auto"/>
                      <w:szCs w:val="21"/>
                      <w:lang w:val="en-US" w:eastAsia="zh-CN"/>
                    </w:rPr>
                    <w:t>11</w:t>
                  </w:r>
                </w:p>
              </w:tc>
              <w:tc>
                <w:tcPr>
                  <w:tcW w:w="574" w:type="pct"/>
                  <w:tcBorders>
                    <w:top w:val="single" w:color="auto" w:sz="4" w:space="0"/>
                    <w:left w:val="single" w:color="auto" w:sz="4" w:space="0"/>
                    <w:bottom w:val="single" w:color="auto" w:sz="4" w:space="0"/>
                    <w:right w:val="single" w:color="auto" w:sz="4" w:space="0"/>
                  </w:tcBorders>
                  <w:vAlign w:val="center"/>
                </w:tcPr>
                <w:p w14:paraId="4D8000C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自来水</w:t>
                  </w:r>
                </w:p>
              </w:tc>
              <w:tc>
                <w:tcPr>
                  <w:tcW w:w="526" w:type="pct"/>
                  <w:tcBorders>
                    <w:top w:val="single" w:color="auto" w:sz="4" w:space="0"/>
                    <w:left w:val="single" w:color="auto" w:sz="4" w:space="0"/>
                    <w:bottom w:val="single" w:color="auto" w:sz="4" w:space="0"/>
                    <w:right w:val="single" w:color="auto" w:sz="4" w:space="0"/>
                  </w:tcBorders>
                  <w:vAlign w:val="center"/>
                </w:tcPr>
                <w:p w14:paraId="2AF1EFAD">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1000</w:t>
                  </w:r>
                </w:p>
              </w:tc>
              <w:tc>
                <w:tcPr>
                  <w:tcW w:w="1361" w:type="pct"/>
                  <w:vMerge w:val="restart"/>
                  <w:tcBorders>
                    <w:top w:val="single" w:color="auto" w:sz="4" w:space="0"/>
                    <w:left w:val="single" w:color="auto" w:sz="4" w:space="0"/>
                    <w:right w:val="single" w:color="auto" w:sz="4" w:space="0"/>
                  </w:tcBorders>
                  <w:vAlign w:val="center"/>
                </w:tcPr>
                <w:p w14:paraId="7BC330ED">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《环境空气质量标准》（</w:t>
                  </w:r>
                  <w:r>
                    <w:rPr>
                      <w:color w:val="000000" w:themeColor="text1"/>
                      <w:szCs w:val="21"/>
                      <w14:textFill>
                        <w14:solidFill>
                          <w14:schemeClr w14:val="tx1"/>
                        </w14:solidFill>
                      </w14:textFill>
                    </w:rPr>
                    <w:t>GB 3095-2012</w:t>
                  </w:r>
                  <w:r>
                    <w:rPr>
                      <w:rFonts w:hint="eastAsia"/>
                      <w:color w:val="000000" w:themeColor="text1"/>
                      <w:szCs w:val="21"/>
                      <w14:textFill>
                        <w14:solidFill>
                          <w14:schemeClr w14:val="tx1"/>
                        </w14:solidFill>
                      </w14:textFill>
                    </w:rPr>
                    <w:t>）中的二级标准</w:t>
                  </w:r>
                  <w:r>
                    <w:rPr>
                      <w:rFonts w:hint="eastAsia"/>
                      <w:color w:val="000000" w:themeColor="text1"/>
                      <w:szCs w:val="21"/>
                      <w:lang w:val="en-US" w:eastAsia="zh-CN"/>
                      <w14:textFill>
                        <w14:solidFill>
                          <w14:schemeClr w14:val="tx1"/>
                        </w14:solidFill>
                      </w14:textFill>
                    </w:rPr>
                    <w:t>及其修改单要求</w:t>
                  </w:r>
                </w:p>
              </w:tc>
            </w:tr>
            <w:tr w14:paraId="7B21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left w:val="single" w:color="auto" w:sz="4" w:space="0"/>
                    <w:bottom w:val="single" w:color="auto" w:sz="4" w:space="0"/>
                    <w:right w:val="single" w:color="auto" w:sz="4" w:space="0"/>
                  </w:tcBorders>
                  <w:vAlign w:val="center"/>
                </w:tcPr>
                <w:p w14:paraId="0A8BB45B">
                  <w:pPr>
                    <w:jc w:val="center"/>
                    <w:rPr>
                      <w:rFonts w:hint="eastAsia"/>
                      <w:color w:val="000000" w:themeColor="text1"/>
                      <w:szCs w:val="21"/>
                      <w14:textFill>
                        <w14:solidFill>
                          <w14:schemeClr w14:val="tx1"/>
                        </w14:solidFill>
                      </w14:textFill>
                    </w:rPr>
                  </w:pP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02EEA037">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盛隆佳园</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50EFBCCF">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西</w:t>
                  </w:r>
                  <w:r>
                    <w:rPr>
                      <w:rFonts w:hint="eastAsia"/>
                      <w:color w:val="auto"/>
                      <w:szCs w:val="21"/>
                    </w:rPr>
                    <w:t>面</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2FDB569">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0.22</w:t>
                  </w:r>
                </w:p>
              </w:tc>
              <w:tc>
                <w:tcPr>
                  <w:tcW w:w="574" w:type="pct"/>
                  <w:tcBorders>
                    <w:top w:val="single" w:color="auto" w:sz="4" w:space="0"/>
                    <w:left w:val="single" w:color="auto" w:sz="4" w:space="0"/>
                    <w:bottom w:val="single" w:color="auto" w:sz="4" w:space="0"/>
                    <w:right w:val="single" w:color="auto" w:sz="4" w:space="0"/>
                  </w:tcBorders>
                  <w:vAlign w:val="center"/>
                </w:tcPr>
                <w:p w14:paraId="77F7F04C">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自来水</w:t>
                  </w:r>
                </w:p>
              </w:tc>
              <w:tc>
                <w:tcPr>
                  <w:tcW w:w="526" w:type="pct"/>
                  <w:tcBorders>
                    <w:top w:val="single" w:color="auto" w:sz="4" w:space="0"/>
                    <w:left w:val="single" w:color="auto" w:sz="4" w:space="0"/>
                    <w:bottom w:val="single" w:color="auto" w:sz="4" w:space="0"/>
                    <w:right w:val="single" w:color="auto" w:sz="4" w:space="0"/>
                  </w:tcBorders>
                  <w:vAlign w:val="center"/>
                </w:tcPr>
                <w:p w14:paraId="0F5BA6E4">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3000</w:t>
                  </w:r>
                </w:p>
              </w:tc>
              <w:tc>
                <w:tcPr>
                  <w:tcW w:w="1361" w:type="pct"/>
                  <w:vMerge w:val="continue"/>
                  <w:tcBorders>
                    <w:left w:val="single" w:color="auto" w:sz="4" w:space="0"/>
                    <w:bottom w:val="single" w:color="auto" w:sz="4" w:space="0"/>
                    <w:right w:val="single" w:color="auto" w:sz="4" w:space="0"/>
                  </w:tcBorders>
                  <w:vAlign w:val="center"/>
                </w:tcPr>
                <w:p w14:paraId="67E0ADE9">
                  <w:pPr>
                    <w:jc w:val="center"/>
                    <w:rPr>
                      <w:rFonts w:hint="eastAsia"/>
                      <w:color w:val="000000" w:themeColor="text1"/>
                      <w:szCs w:val="21"/>
                      <w14:textFill>
                        <w14:solidFill>
                          <w14:schemeClr w14:val="tx1"/>
                        </w14:solidFill>
                      </w14:textFill>
                    </w:rPr>
                  </w:pPr>
                </w:p>
              </w:tc>
            </w:tr>
            <w:tr w14:paraId="70E1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restart"/>
                  <w:tcBorders>
                    <w:left w:val="single" w:color="auto" w:sz="4" w:space="0"/>
                    <w:right w:val="single" w:color="auto" w:sz="4" w:space="0"/>
                  </w:tcBorders>
                  <w:vAlign w:val="center"/>
                </w:tcPr>
                <w:p w14:paraId="408FC0AB">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海水环境</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4BE708E6">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防城港市东湾红树林生态区（GX082BⅡ）</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0C7B9C9E">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东面</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39CBDB9">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0.58</w:t>
                  </w:r>
                </w:p>
              </w:tc>
              <w:tc>
                <w:tcPr>
                  <w:tcW w:w="574" w:type="pct"/>
                  <w:tcBorders>
                    <w:top w:val="single" w:color="auto" w:sz="4" w:space="0"/>
                    <w:left w:val="single" w:color="auto" w:sz="4" w:space="0"/>
                    <w:bottom w:val="single" w:color="auto" w:sz="4" w:space="0"/>
                    <w:right w:val="single" w:color="auto" w:sz="4" w:space="0"/>
                  </w:tcBorders>
                  <w:vAlign w:val="center"/>
                </w:tcPr>
                <w:p w14:paraId="04A400F9">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526" w:type="pct"/>
                  <w:tcBorders>
                    <w:top w:val="single" w:color="auto" w:sz="4" w:space="0"/>
                    <w:left w:val="single" w:color="auto" w:sz="4" w:space="0"/>
                    <w:bottom w:val="single" w:color="auto" w:sz="4" w:space="0"/>
                    <w:right w:val="single" w:color="auto" w:sz="4" w:space="0"/>
                  </w:tcBorders>
                  <w:vAlign w:val="center"/>
                </w:tcPr>
                <w:p w14:paraId="74F8B48F">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361" w:type="pct"/>
                  <w:tcBorders>
                    <w:top w:val="single" w:color="auto" w:sz="4" w:space="0"/>
                    <w:left w:val="single" w:color="auto" w:sz="4" w:space="0"/>
                    <w:bottom w:val="single" w:color="auto" w:sz="4" w:space="0"/>
                    <w:right w:val="single" w:color="auto" w:sz="4" w:space="0"/>
                  </w:tcBorders>
                  <w:shd w:val="clear" w:color="auto" w:fill="auto"/>
                  <w:vAlign w:val="center"/>
                </w:tcPr>
                <w:p w14:paraId="393DAC19">
                  <w:pPr>
                    <w:jc w:val="center"/>
                    <w:rPr>
                      <w:rFonts w:hint="eastAsia" w:ascii="Times New Roman" w:hAnsi="Times New Roman" w:eastAsia="宋体" w:cs="Times New Roman"/>
                      <w:color w:val="auto"/>
                      <w:kern w:val="2"/>
                      <w:sz w:val="21"/>
                      <w:szCs w:val="21"/>
                      <w:lang w:val="en-US" w:eastAsia="zh-CN" w:bidi="ar-SA"/>
                    </w:rPr>
                  </w:pPr>
                  <w:r>
                    <w:rPr>
                      <w:rFonts w:hint="default"/>
                      <w:color w:val="auto"/>
                      <w:szCs w:val="21"/>
                      <w:lang w:val="en-US" w:eastAsia="zh-CN"/>
                    </w:rPr>
                    <w:t>《海水水质标准》（GB3097-1997）第二类标准</w:t>
                  </w:r>
                </w:p>
              </w:tc>
            </w:tr>
            <w:tr w14:paraId="6FD3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left w:val="single" w:color="auto" w:sz="4" w:space="0"/>
                    <w:bottom w:val="single" w:color="auto" w:sz="4" w:space="0"/>
                    <w:right w:val="single" w:color="auto" w:sz="4" w:space="0"/>
                  </w:tcBorders>
                  <w:vAlign w:val="center"/>
                </w:tcPr>
                <w:p w14:paraId="6D34C70D">
                  <w:pPr>
                    <w:jc w:val="center"/>
                    <w:rPr>
                      <w:rFonts w:hint="eastAsia"/>
                      <w:color w:val="000000" w:themeColor="text1"/>
                      <w:szCs w:val="21"/>
                      <w14:textFill>
                        <w14:solidFill>
                          <w14:schemeClr w14:val="tx1"/>
                        </w14:solidFill>
                      </w14:textFill>
                    </w:rPr>
                  </w:pP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4CACDC5F">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防城港市工业用海区（GX091CⅢ）</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678E681C">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南面</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A916629">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0.63</w:t>
                  </w:r>
                </w:p>
              </w:tc>
              <w:tc>
                <w:tcPr>
                  <w:tcW w:w="574" w:type="pct"/>
                  <w:tcBorders>
                    <w:top w:val="single" w:color="auto" w:sz="4" w:space="0"/>
                    <w:left w:val="single" w:color="auto" w:sz="4" w:space="0"/>
                    <w:bottom w:val="single" w:color="auto" w:sz="4" w:space="0"/>
                    <w:right w:val="single" w:color="auto" w:sz="4" w:space="0"/>
                  </w:tcBorders>
                  <w:vAlign w:val="center"/>
                </w:tcPr>
                <w:p w14:paraId="1CBFECB8">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526" w:type="pct"/>
                  <w:tcBorders>
                    <w:top w:val="single" w:color="auto" w:sz="4" w:space="0"/>
                    <w:left w:val="single" w:color="auto" w:sz="4" w:space="0"/>
                    <w:bottom w:val="single" w:color="auto" w:sz="4" w:space="0"/>
                    <w:right w:val="single" w:color="auto" w:sz="4" w:space="0"/>
                  </w:tcBorders>
                  <w:vAlign w:val="center"/>
                </w:tcPr>
                <w:p w14:paraId="4A66EB3E">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361" w:type="pct"/>
                  <w:tcBorders>
                    <w:top w:val="single" w:color="auto" w:sz="4" w:space="0"/>
                    <w:left w:val="single" w:color="auto" w:sz="4" w:space="0"/>
                    <w:bottom w:val="single" w:color="auto" w:sz="4" w:space="0"/>
                    <w:right w:val="single" w:color="auto" w:sz="4" w:space="0"/>
                  </w:tcBorders>
                  <w:shd w:val="clear" w:color="auto" w:fill="auto"/>
                  <w:vAlign w:val="center"/>
                </w:tcPr>
                <w:p w14:paraId="31B5C523">
                  <w:pPr>
                    <w:jc w:val="center"/>
                    <w:rPr>
                      <w:rFonts w:hint="eastAsia" w:ascii="Times New Roman" w:hAnsi="Times New Roman" w:eastAsia="宋体" w:cs="Times New Roman"/>
                      <w:color w:val="auto"/>
                      <w:kern w:val="2"/>
                      <w:sz w:val="21"/>
                      <w:szCs w:val="21"/>
                      <w:lang w:val="en-US" w:eastAsia="zh-CN" w:bidi="ar-SA"/>
                    </w:rPr>
                  </w:pPr>
                  <w:r>
                    <w:rPr>
                      <w:rFonts w:hint="default"/>
                      <w:color w:val="auto"/>
                      <w:szCs w:val="21"/>
                      <w:lang w:val="en-US" w:eastAsia="zh-CN"/>
                    </w:rPr>
                    <w:t>《海水水质标准》（GB3097-1997）第</w:t>
                  </w:r>
                  <w:r>
                    <w:rPr>
                      <w:rFonts w:hint="eastAsia"/>
                      <w:color w:val="auto"/>
                      <w:szCs w:val="21"/>
                      <w:lang w:val="en-US" w:eastAsia="zh-CN"/>
                    </w:rPr>
                    <w:t>三</w:t>
                  </w:r>
                  <w:r>
                    <w:rPr>
                      <w:rFonts w:hint="default"/>
                      <w:color w:val="auto"/>
                      <w:szCs w:val="21"/>
                      <w:lang w:val="en-US" w:eastAsia="zh-CN"/>
                    </w:rPr>
                    <w:t>类标准</w:t>
                  </w:r>
                </w:p>
              </w:tc>
            </w:tr>
            <w:tr w14:paraId="636C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14:paraId="5C599ED6">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地下水</w:t>
                  </w:r>
                  <w:r>
                    <w:rPr>
                      <w:rFonts w:hint="eastAsia"/>
                      <w:color w:val="000000" w:themeColor="text1"/>
                      <w:szCs w:val="21"/>
                      <w:lang w:val="en-US" w:eastAsia="zh-CN"/>
                      <w14:textFill>
                        <w14:solidFill>
                          <w14:schemeClr w14:val="tx1"/>
                        </w14:solidFill>
                      </w14:textFill>
                    </w:rPr>
                    <w:t>环境</w:t>
                  </w:r>
                </w:p>
              </w:tc>
              <w:tc>
                <w:tcPr>
                  <w:tcW w:w="4598" w:type="pct"/>
                  <w:gridSpan w:val="6"/>
                  <w:tcBorders>
                    <w:top w:val="single" w:color="auto" w:sz="4" w:space="0"/>
                    <w:left w:val="single" w:color="auto" w:sz="4" w:space="0"/>
                    <w:bottom w:val="single" w:color="auto" w:sz="4" w:space="0"/>
                    <w:right w:val="single" w:color="auto" w:sz="4" w:space="0"/>
                  </w:tcBorders>
                  <w:vAlign w:val="center"/>
                </w:tcPr>
                <w:p w14:paraId="051CE592">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厂址地下水流向下游没有敏感目标，水文单元内地下水执行《地下水质量标准》（</w:t>
                  </w:r>
                  <w:r>
                    <w:rPr>
                      <w:rFonts w:cs="宋体"/>
                      <w:color w:val="000000" w:themeColor="text1"/>
                      <w:szCs w:val="21"/>
                      <w14:textFill>
                        <w14:solidFill>
                          <w14:schemeClr w14:val="tx1"/>
                        </w14:solidFill>
                      </w14:textFill>
                    </w:rPr>
                    <w:t>GB/T 14848- 2017</w:t>
                  </w:r>
                  <w:r>
                    <w:rPr>
                      <w:rFonts w:hint="eastAsia" w:cs="宋体"/>
                      <w:color w:val="000000" w:themeColor="text1"/>
                      <w:szCs w:val="21"/>
                      <w14:textFill>
                        <w14:solidFill>
                          <w14:schemeClr w14:val="tx1"/>
                        </w14:solidFill>
                      </w14:textFill>
                    </w:rPr>
                    <w:t>）Ⅲ类标准</w:t>
                  </w:r>
                </w:p>
              </w:tc>
            </w:tr>
            <w:tr w14:paraId="1AFC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14:paraId="482A4904">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声</w:t>
                  </w:r>
                  <w:r>
                    <w:rPr>
                      <w:rFonts w:hint="eastAsia"/>
                      <w:color w:val="000000" w:themeColor="text1"/>
                      <w:szCs w:val="21"/>
                      <w:lang w:val="en-US" w:eastAsia="zh-CN"/>
                      <w14:textFill>
                        <w14:solidFill>
                          <w14:schemeClr w14:val="tx1"/>
                        </w14:solidFill>
                      </w14:textFill>
                    </w:rPr>
                    <w:t>环境</w:t>
                  </w:r>
                </w:p>
              </w:tc>
              <w:tc>
                <w:tcPr>
                  <w:tcW w:w="4598" w:type="pct"/>
                  <w:gridSpan w:val="6"/>
                  <w:tcBorders>
                    <w:top w:val="single" w:color="auto" w:sz="4" w:space="0"/>
                    <w:left w:val="single" w:color="auto" w:sz="4" w:space="0"/>
                    <w:bottom w:val="single" w:color="auto" w:sz="4" w:space="0"/>
                    <w:right w:val="single" w:color="auto" w:sz="4" w:space="0"/>
                  </w:tcBorders>
                  <w:vAlign w:val="center"/>
                </w:tcPr>
                <w:p w14:paraId="207C8104">
                  <w:pPr>
                    <w:jc w:val="center"/>
                    <w:rPr>
                      <w:bCs/>
                      <w:color w:val="000000" w:themeColor="text1"/>
                      <w:szCs w:val="21"/>
                      <w14:textFill>
                        <w14:solidFill>
                          <w14:schemeClr w14:val="tx1"/>
                        </w14:solidFill>
                      </w14:textFill>
                    </w:rPr>
                  </w:pPr>
                  <w:r>
                    <w:rPr>
                      <w:rFonts w:hint="eastAsia"/>
                      <w:color w:val="000000" w:themeColor="text1"/>
                      <w:kern w:val="0"/>
                      <w:szCs w:val="21"/>
                      <w:lang w:val="zh-TW"/>
                      <w14:textFill>
                        <w14:solidFill>
                          <w14:schemeClr w14:val="tx1"/>
                        </w14:solidFill>
                      </w14:textFill>
                    </w:rPr>
                    <w:t>项目场区</w:t>
                  </w:r>
                  <w:r>
                    <w:rPr>
                      <w:color w:val="000000" w:themeColor="text1"/>
                      <w:kern w:val="0"/>
                      <w:szCs w:val="21"/>
                      <w14:textFill>
                        <w14:solidFill>
                          <w14:schemeClr w14:val="tx1"/>
                        </w14:solidFill>
                      </w14:textFill>
                    </w:rPr>
                    <w:t>50</w:t>
                  </w:r>
                  <w:r>
                    <w:rPr>
                      <w:rFonts w:hint="eastAsia"/>
                      <w:color w:val="000000" w:themeColor="text1"/>
                      <w:kern w:val="0"/>
                      <w:szCs w:val="21"/>
                      <w:lang w:val="zh-TW"/>
                      <w14:textFill>
                        <w14:solidFill>
                          <w14:schemeClr w14:val="tx1"/>
                        </w14:solidFill>
                      </w14:textFill>
                    </w:rPr>
                    <w:t>米范围内无声环境敏感点</w:t>
                  </w:r>
                </w:p>
              </w:tc>
            </w:tr>
            <w:tr w14:paraId="57C8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14:paraId="2300348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生态环境</w:t>
                  </w:r>
                </w:p>
              </w:tc>
              <w:tc>
                <w:tcPr>
                  <w:tcW w:w="4598" w:type="pct"/>
                  <w:gridSpan w:val="6"/>
                  <w:tcBorders>
                    <w:top w:val="single" w:color="auto" w:sz="4" w:space="0"/>
                    <w:left w:val="single" w:color="auto" w:sz="4" w:space="0"/>
                    <w:bottom w:val="single" w:color="auto" w:sz="4" w:space="0"/>
                    <w:right w:val="single" w:color="auto" w:sz="4" w:space="0"/>
                  </w:tcBorders>
                  <w:vAlign w:val="center"/>
                </w:tcPr>
                <w:p w14:paraId="1FF3A202">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项目位于工业园区内，周边不涉及</w:t>
                  </w:r>
                  <w:r>
                    <w:rPr>
                      <w:rFonts w:hint="eastAsia"/>
                      <w:color w:val="000000" w:themeColor="text1"/>
                      <w:kern w:val="0"/>
                      <w:szCs w:val="21"/>
                      <w14:textFill>
                        <w14:solidFill>
                          <w14:schemeClr w14:val="tx1"/>
                        </w14:solidFill>
                      </w14:textFill>
                    </w:rPr>
                    <w:t>生态环境保护目标</w:t>
                  </w:r>
                </w:p>
              </w:tc>
            </w:tr>
          </w:tbl>
          <w:p w14:paraId="6FBF847A">
            <w:pPr>
              <w:spacing w:line="360" w:lineRule="auto"/>
              <w:ind w:firstLine="480" w:firstLineChars="200"/>
              <w:rPr>
                <w:color w:val="000000"/>
                <w:sz w:val="24"/>
              </w:rPr>
            </w:pPr>
          </w:p>
        </w:tc>
      </w:tr>
      <w:tr w14:paraId="0DBF9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tcMar>
              <w:left w:w="28" w:type="dxa"/>
              <w:right w:w="28" w:type="dxa"/>
            </w:tcMar>
            <w:vAlign w:val="center"/>
          </w:tcPr>
          <w:p w14:paraId="3452B40A">
            <w:pPr>
              <w:adjustRightInd w:val="0"/>
              <w:snapToGrid w:val="0"/>
              <w:jc w:val="center"/>
              <w:rPr>
                <w:rFonts w:ascii="宋体" w:hAnsi="宋体" w:cs="宋体"/>
                <w:kern w:val="0"/>
                <w:szCs w:val="21"/>
              </w:rPr>
            </w:pPr>
            <w:r>
              <w:rPr>
                <w:rFonts w:hint="eastAsia" w:ascii="宋体" w:hAnsi="宋体" w:cs="宋体"/>
                <w:kern w:val="0"/>
                <w:szCs w:val="21"/>
              </w:rPr>
              <w:t>污染</w:t>
            </w:r>
          </w:p>
          <w:p w14:paraId="4CD53B6C">
            <w:pPr>
              <w:adjustRightInd w:val="0"/>
              <w:snapToGrid w:val="0"/>
              <w:jc w:val="center"/>
              <w:rPr>
                <w:rFonts w:ascii="宋体" w:hAnsi="宋体" w:cs="宋体"/>
                <w:kern w:val="0"/>
                <w:szCs w:val="21"/>
              </w:rPr>
            </w:pPr>
            <w:r>
              <w:rPr>
                <w:rFonts w:hint="eastAsia" w:ascii="宋体" w:hAnsi="宋体" w:cs="宋体"/>
                <w:kern w:val="0"/>
                <w:szCs w:val="21"/>
              </w:rPr>
              <w:t>物排</w:t>
            </w:r>
          </w:p>
          <w:p w14:paraId="2CD1FAD5">
            <w:pPr>
              <w:adjustRightInd w:val="0"/>
              <w:snapToGrid w:val="0"/>
              <w:jc w:val="center"/>
              <w:rPr>
                <w:rFonts w:ascii="宋体" w:hAnsi="宋体" w:cs="宋体"/>
                <w:kern w:val="0"/>
                <w:szCs w:val="21"/>
              </w:rPr>
            </w:pPr>
            <w:r>
              <w:rPr>
                <w:rFonts w:hint="eastAsia" w:ascii="宋体" w:hAnsi="宋体" w:cs="宋体"/>
                <w:kern w:val="0"/>
                <w:szCs w:val="21"/>
              </w:rPr>
              <w:t>放控</w:t>
            </w:r>
          </w:p>
          <w:p w14:paraId="3D5AE1F1">
            <w:pPr>
              <w:adjustRightInd w:val="0"/>
              <w:snapToGrid w:val="0"/>
              <w:jc w:val="center"/>
              <w:rPr>
                <w:rFonts w:ascii="宋体" w:hAnsi="宋体" w:cs="宋体"/>
                <w:kern w:val="0"/>
                <w:szCs w:val="21"/>
              </w:rPr>
            </w:pPr>
            <w:r>
              <w:rPr>
                <w:rFonts w:hint="eastAsia" w:ascii="宋体" w:hAnsi="宋体" w:cs="宋体"/>
                <w:kern w:val="0"/>
                <w:szCs w:val="21"/>
              </w:rPr>
              <w:t>制标</w:t>
            </w:r>
          </w:p>
          <w:p w14:paraId="46E28720">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vAlign w:val="center"/>
          </w:tcPr>
          <w:p w14:paraId="747241A3">
            <w:pPr>
              <w:spacing w:line="360" w:lineRule="auto"/>
              <w:ind w:firstLine="482" w:firstLineChars="200"/>
              <w:rPr>
                <w:rFonts w:cs="Arial"/>
                <w:b/>
                <w:bCs/>
                <w:sz w:val="24"/>
              </w:rPr>
            </w:pPr>
            <w:r>
              <w:rPr>
                <w:rFonts w:hint="eastAsia" w:cs="Arial"/>
                <w:b/>
                <w:bCs/>
                <w:sz w:val="24"/>
              </w:rPr>
              <w:t>一、施工期</w:t>
            </w:r>
          </w:p>
          <w:p w14:paraId="4FBCD5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Arial"/>
                <w:bCs/>
                <w:sz w:val="24"/>
              </w:rPr>
            </w:pPr>
            <w:r>
              <w:rPr>
                <w:rFonts w:hint="eastAsia" w:cs="Arial"/>
                <w:b/>
                <w:bCs/>
                <w:sz w:val="24"/>
              </w:rPr>
              <w:t>废水：</w:t>
            </w:r>
            <w:r>
              <w:rPr>
                <w:rFonts w:hint="eastAsia" w:cs="Arial"/>
                <w:bCs/>
                <w:sz w:val="24"/>
              </w:rPr>
              <w:t>施工期生活污水经污水管道收集后依托盛隆厂区污水处理设施处理后，回用于盛隆厂区各用水环节，不外排</w:t>
            </w:r>
            <w:r>
              <w:rPr>
                <w:rFonts w:hint="eastAsia" w:cs="Arial"/>
                <w:bCs/>
                <w:sz w:val="24"/>
                <w:lang w:eastAsia="zh-CN"/>
              </w:rPr>
              <w:t>；</w:t>
            </w:r>
            <w:r>
              <w:rPr>
                <w:rFonts w:hint="eastAsia" w:cs="Arial"/>
                <w:bCs/>
                <w:sz w:val="24"/>
                <w:lang w:val="en-US" w:eastAsia="zh-CN"/>
              </w:rPr>
              <w:t>施工废水经收集沉淀后用于洒水抑尘，</w:t>
            </w:r>
            <w:r>
              <w:rPr>
                <w:rFonts w:hint="eastAsia" w:cs="Arial"/>
                <w:bCs/>
                <w:sz w:val="24"/>
              </w:rPr>
              <w:t>无废水执行标准。</w:t>
            </w:r>
          </w:p>
          <w:p w14:paraId="1F103A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Arial"/>
                <w:bCs/>
                <w:sz w:val="24"/>
              </w:rPr>
            </w:pPr>
            <w:r>
              <w:rPr>
                <w:rFonts w:hint="eastAsia" w:cs="Arial"/>
                <w:b/>
                <w:bCs/>
                <w:sz w:val="24"/>
              </w:rPr>
              <w:t>废气 ：</w:t>
            </w:r>
            <w:r>
              <w:rPr>
                <w:rFonts w:hint="eastAsia" w:cs="Arial"/>
                <w:bCs/>
                <w:sz w:val="24"/>
              </w:rPr>
              <w:t>施工期废气排放执行《大气污染物综合排放标准》（GB16297-1996）中表2中无组织排放监测浓度限值标准。</w:t>
            </w:r>
          </w:p>
          <w:p w14:paraId="2301B045">
            <w:pPr>
              <w:pStyle w:val="48"/>
              <w:numPr>
                <w:ilvl w:val="2"/>
                <w:numId w:val="3"/>
              </w:numPr>
              <w:spacing w:line="500" w:lineRule="atLeast"/>
              <w:ind w:firstLineChars="0"/>
              <w:jc w:val="center"/>
              <w:rPr>
                <w:b/>
                <w:sz w:val="24"/>
              </w:rPr>
            </w:pPr>
            <w:r>
              <w:rPr>
                <w:rFonts w:hint="eastAsia"/>
                <w:b/>
                <w:sz w:val="24"/>
              </w:rPr>
              <w:t>大气污染物排放浓度限值</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126"/>
              <w:gridCol w:w="1843"/>
              <w:gridCol w:w="2992"/>
            </w:tblGrid>
            <w:tr w14:paraId="250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3" w:type="dxa"/>
                  <w:vMerge w:val="restart"/>
                  <w:vAlign w:val="center"/>
                </w:tcPr>
                <w:p w14:paraId="4245BA41">
                  <w:pPr>
                    <w:jc w:val="center"/>
                    <w:rPr>
                      <w:color w:val="000000"/>
                      <w:szCs w:val="21"/>
                    </w:rPr>
                  </w:pPr>
                  <w:r>
                    <w:rPr>
                      <w:rFonts w:hint="eastAsia"/>
                      <w:color w:val="000000"/>
                      <w:szCs w:val="21"/>
                    </w:rPr>
                    <w:t>污染物</w:t>
                  </w:r>
                </w:p>
              </w:tc>
              <w:tc>
                <w:tcPr>
                  <w:tcW w:w="3969" w:type="dxa"/>
                  <w:gridSpan w:val="2"/>
                  <w:vAlign w:val="center"/>
                </w:tcPr>
                <w:p w14:paraId="49210FC8">
                  <w:pPr>
                    <w:jc w:val="center"/>
                    <w:rPr>
                      <w:color w:val="000000"/>
                      <w:szCs w:val="21"/>
                    </w:rPr>
                  </w:pPr>
                  <w:r>
                    <w:rPr>
                      <w:rFonts w:hint="eastAsia"/>
                      <w:color w:val="000000"/>
                      <w:szCs w:val="21"/>
                    </w:rPr>
                    <w:t>无组织排放监测浓度限值</w:t>
                  </w:r>
                </w:p>
              </w:tc>
              <w:tc>
                <w:tcPr>
                  <w:tcW w:w="2992" w:type="dxa"/>
                  <w:vMerge w:val="restart"/>
                  <w:vAlign w:val="center"/>
                </w:tcPr>
                <w:p w14:paraId="3E25DC23">
                  <w:pPr>
                    <w:jc w:val="center"/>
                    <w:rPr>
                      <w:color w:val="000000"/>
                      <w:szCs w:val="21"/>
                    </w:rPr>
                  </w:pPr>
                  <w:r>
                    <w:rPr>
                      <w:rFonts w:hint="eastAsia"/>
                      <w:color w:val="000000"/>
                      <w:szCs w:val="21"/>
                    </w:rPr>
                    <w:t>执行标准</w:t>
                  </w:r>
                </w:p>
              </w:tc>
            </w:tr>
            <w:tr w14:paraId="0338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3" w:type="dxa"/>
                  <w:vMerge w:val="continue"/>
                  <w:vAlign w:val="center"/>
                </w:tcPr>
                <w:p w14:paraId="063FB4D2">
                  <w:pPr>
                    <w:jc w:val="center"/>
                    <w:rPr>
                      <w:color w:val="000000"/>
                      <w:szCs w:val="21"/>
                    </w:rPr>
                  </w:pPr>
                </w:p>
              </w:tc>
              <w:tc>
                <w:tcPr>
                  <w:tcW w:w="2126" w:type="dxa"/>
                  <w:vAlign w:val="center"/>
                </w:tcPr>
                <w:p w14:paraId="25D96F52">
                  <w:pPr>
                    <w:jc w:val="center"/>
                    <w:rPr>
                      <w:color w:val="000000"/>
                      <w:szCs w:val="21"/>
                    </w:rPr>
                  </w:pPr>
                  <w:r>
                    <w:rPr>
                      <w:rFonts w:hint="eastAsia"/>
                      <w:color w:val="000000"/>
                      <w:szCs w:val="21"/>
                    </w:rPr>
                    <w:t>监控点</w:t>
                  </w:r>
                </w:p>
              </w:tc>
              <w:tc>
                <w:tcPr>
                  <w:tcW w:w="1843" w:type="dxa"/>
                  <w:vAlign w:val="center"/>
                </w:tcPr>
                <w:p w14:paraId="0BE064D6">
                  <w:pPr>
                    <w:jc w:val="center"/>
                    <w:rPr>
                      <w:color w:val="000000"/>
                      <w:szCs w:val="21"/>
                    </w:rPr>
                  </w:pPr>
                  <w:r>
                    <w:rPr>
                      <w:rFonts w:hint="eastAsia"/>
                      <w:color w:val="000000"/>
                      <w:szCs w:val="21"/>
                    </w:rPr>
                    <w:t>浓度（mg/m</w:t>
                  </w:r>
                  <w:r>
                    <w:rPr>
                      <w:rFonts w:hint="eastAsia"/>
                      <w:color w:val="000000"/>
                      <w:szCs w:val="21"/>
                      <w:vertAlign w:val="superscript"/>
                    </w:rPr>
                    <w:t>3</w:t>
                  </w:r>
                  <w:r>
                    <w:rPr>
                      <w:rFonts w:hint="eastAsia"/>
                      <w:color w:val="000000"/>
                      <w:szCs w:val="21"/>
                    </w:rPr>
                    <w:t>）</w:t>
                  </w:r>
                </w:p>
              </w:tc>
              <w:tc>
                <w:tcPr>
                  <w:tcW w:w="2992" w:type="dxa"/>
                  <w:vMerge w:val="continue"/>
                  <w:vAlign w:val="center"/>
                </w:tcPr>
                <w:p w14:paraId="20DB34E9">
                  <w:pPr>
                    <w:jc w:val="center"/>
                    <w:rPr>
                      <w:color w:val="000000"/>
                      <w:szCs w:val="21"/>
                    </w:rPr>
                  </w:pPr>
                </w:p>
              </w:tc>
            </w:tr>
            <w:tr w14:paraId="67B7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3" w:type="dxa"/>
                  <w:vAlign w:val="center"/>
                </w:tcPr>
                <w:p w14:paraId="19F50999">
                  <w:pPr>
                    <w:jc w:val="center"/>
                    <w:rPr>
                      <w:color w:val="000000"/>
                      <w:szCs w:val="21"/>
                    </w:rPr>
                  </w:pPr>
                  <w:r>
                    <w:rPr>
                      <w:rFonts w:hint="eastAsia"/>
                      <w:color w:val="000000"/>
                      <w:szCs w:val="21"/>
                    </w:rPr>
                    <w:t>颗粒物</w:t>
                  </w:r>
                </w:p>
              </w:tc>
              <w:tc>
                <w:tcPr>
                  <w:tcW w:w="2126" w:type="dxa"/>
                  <w:vAlign w:val="center"/>
                </w:tcPr>
                <w:p w14:paraId="42F75B21">
                  <w:pPr>
                    <w:jc w:val="center"/>
                    <w:rPr>
                      <w:color w:val="000000"/>
                      <w:szCs w:val="21"/>
                    </w:rPr>
                  </w:pPr>
                  <w:r>
                    <w:rPr>
                      <w:rFonts w:hint="eastAsia"/>
                      <w:color w:val="000000"/>
                      <w:szCs w:val="21"/>
                    </w:rPr>
                    <w:t>周界外浓度最高点</w:t>
                  </w:r>
                </w:p>
              </w:tc>
              <w:tc>
                <w:tcPr>
                  <w:tcW w:w="1843" w:type="dxa"/>
                  <w:vAlign w:val="center"/>
                </w:tcPr>
                <w:p w14:paraId="2E6429BD">
                  <w:pPr>
                    <w:jc w:val="center"/>
                    <w:rPr>
                      <w:color w:val="000000"/>
                      <w:szCs w:val="21"/>
                    </w:rPr>
                  </w:pPr>
                  <w:r>
                    <w:rPr>
                      <w:rFonts w:hint="eastAsia"/>
                      <w:color w:val="000000"/>
                      <w:szCs w:val="21"/>
                    </w:rPr>
                    <w:t>1.0</w:t>
                  </w:r>
                </w:p>
              </w:tc>
              <w:tc>
                <w:tcPr>
                  <w:tcW w:w="2992" w:type="dxa"/>
                  <w:vAlign w:val="center"/>
                </w:tcPr>
                <w:p w14:paraId="2F60FB39">
                  <w:pPr>
                    <w:jc w:val="center"/>
                    <w:rPr>
                      <w:color w:val="000000"/>
                      <w:szCs w:val="21"/>
                    </w:rPr>
                  </w:pPr>
                  <w:r>
                    <w:rPr>
                      <w:rFonts w:hint="eastAsia"/>
                      <w:color w:val="000000"/>
                      <w:szCs w:val="21"/>
                    </w:rPr>
                    <w:t>《大气污染物综合排放标准》GB16297-1996）二级标准</w:t>
                  </w:r>
                </w:p>
              </w:tc>
            </w:tr>
          </w:tbl>
          <w:p w14:paraId="753D2D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Arial"/>
                <w:bCs/>
                <w:sz w:val="24"/>
              </w:rPr>
            </w:pPr>
            <w:r>
              <w:rPr>
                <w:rFonts w:hint="eastAsia" w:cs="Arial"/>
                <w:b/>
                <w:bCs/>
                <w:sz w:val="24"/>
              </w:rPr>
              <w:t>噪声：</w:t>
            </w:r>
            <w:r>
              <w:rPr>
                <w:rFonts w:hint="eastAsia" w:cs="Arial"/>
                <w:bCs/>
                <w:sz w:val="24"/>
              </w:rPr>
              <w:t>施工期噪声排放标准执行《建筑施工噪声排放标准》（GB12523-2025）。</w:t>
            </w:r>
          </w:p>
          <w:p w14:paraId="6721B1DB">
            <w:pPr>
              <w:pStyle w:val="48"/>
              <w:numPr>
                <w:ilvl w:val="2"/>
                <w:numId w:val="3"/>
              </w:numPr>
              <w:spacing w:line="500" w:lineRule="atLeast"/>
              <w:ind w:firstLineChars="0"/>
              <w:jc w:val="center"/>
              <w:rPr>
                <w:b/>
                <w:sz w:val="24"/>
              </w:rPr>
            </w:pPr>
            <w:r>
              <w:rPr>
                <w:rFonts w:hint="eastAsia"/>
                <w:b/>
                <w:sz w:val="24"/>
              </w:rPr>
              <w:t>《建筑施工噪声排放标准》单位：等效声级 Leq[dB(A)]</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405"/>
              <w:gridCol w:w="2952"/>
            </w:tblGrid>
            <w:tr w14:paraId="2B02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3" w:type="dxa"/>
                  <w:vAlign w:val="center"/>
                </w:tcPr>
                <w:p w14:paraId="63DAAD07">
                  <w:pPr>
                    <w:jc w:val="center"/>
                    <w:rPr>
                      <w:color w:val="000000"/>
                      <w:szCs w:val="21"/>
                    </w:rPr>
                  </w:pPr>
                  <w:r>
                    <w:rPr>
                      <w:rFonts w:hint="eastAsia"/>
                      <w:color w:val="000000"/>
                      <w:szCs w:val="21"/>
                    </w:rPr>
                    <w:t>时段</w:t>
                  </w:r>
                </w:p>
              </w:tc>
              <w:tc>
                <w:tcPr>
                  <w:tcW w:w="2126" w:type="dxa"/>
                  <w:vAlign w:val="center"/>
                </w:tcPr>
                <w:p w14:paraId="39CAC7AF">
                  <w:pPr>
                    <w:jc w:val="center"/>
                    <w:rPr>
                      <w:color w:val="000000"/>
                      <w:szCs w:val="21"/>
                    </w:rPr>
                  </w:pPr>
                  <w:r>
                    <w:rPr>
                      <w:rFonts w:hint="eastAsia"/>
                      <w:color w:val="000000"/>
                      <w:szCs w:val="21"/>
                    </w:rPr>
                    <w:t>昼间</w:t>
                  </w:r>
                </w:p>
              </w:tc>
              <w:tc>
                <w:tcPr>
                  <w:tcW w:w="1843" w:type="dxa"/>
                  <w:vAlign w:val="center"/>
                </w:tcPr>
                <w:p w14:paraId="1BC3A70C">
                  <w:pPr>
                    <w:jc w:val="center"/>
                    <w:rPr>
                      <w:color w:val="000000"/>
                      <w:szCs w:val="21"/>
                    </w:rPr>
                  </w:pPr>
                  <w:r>
                    <w:rPr>
                      <w:rFonts w:hint="eastAsia"/>
                      <w:color w:val="000000"/>
                      <w:szCs w:val="21"/>
                    </w:rPr>
                    <w:t>夜间</w:t>
                  </w:r>
                </w:p>
              </w:tc>
            </w:tr>
            <w:tr w14:paraId="15E8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3" w:type="dxa"/>
                  <w:vAlign w:val="center"/>
                </w:tcPr>
                <w:p w14:paraId="351104D6">
                  <w:pPr>
                    <w:jc w:val="center"/>
                    <w:rPr>
                      <w:color w:val="000000"/>
                      <w:szCs w:val="21"/>
                    </w:rPr>
                  </w:pPr>
                  <w:r>
                    <w:rPr>
                      <w:rFonts w:hint="eastAsia"/>
                      <w:color w:val="000000"/>
                      <w:szCs w:val="21"/>
                    </w:rPr>
                    <w:t>标准限值</w:t>
                  </w:r>
                </w:p>
              </w:tc>
              <w:tc>
                <w:tcPr>
                  <w:tcW w:w="2126" w:type="dxa"/>
                  <w:vAlign w:val="center"/>
                </w:tcPr>
                <w:p w14:paraId="231651A1">
                  <w:pPr>
                    <w:jc w:val="center"/>
                    <w:rPr>
                      <w:color w:val="000000"/>
                      <w:szCs w:val="21"/>
                    </w:rPr>
                  </w:pPr>
                  <w:r>
                    <w:rPr>
                      <w:rFonts w:hint="eastAsia"/>
                      <w:color w:val="000000"/>
                      <w:szCs w:val="21"/>
                    </w:rPr>
                    <w:t>70</w:t>
                  </w:r>
                </w:p>
              </w:tc>
              <w:tc>
                <w:tcPr>
                  <w:tcW w:w="1843" w:type="dxa"/>
                  <w:vAlign w:val="center"/>
                </w:tcPr>
                <w:p w14:paraId="057EA19D">
                  <w:pPr>
                    <w:jc w:val="center"/>
                    <w:rPr>
                      <w:color w:val="000000"/>
                      <w:szCs w:val="21"/>
                    </w:rPr>
                  </w:pPr>
                  <w:r>
                    <w:rPr>
                      <w:rFonts w:hint="eastAsia"/>
                      <w:color w:val="000000"/>
                      <w:szCs w:val="21"/>
                    </w:rPr>
                    <w:t>55</w:t>
                  </w:r>
                </w:p>
              </w:tc>
            </w:tr>
          </w:tbl>
          <w:p w14:paraId="4E86F548">
            <w:pPr>
              <w:spacing w:line="360" w:lineRule="auto"/>
              <w:ind w:firstLine="482" w:firstLineChars="200"/>
              <w:rPr>
                <w:rFonts w:hint="eastAsia" w:cs="Arial"/>
                <w:b w:val="0"/>
                <w:bCs w:val="0"/>
                <w:sz w:val="24"/>
              </w:rPr>
            </w:pPr>
            <w:r>
              <w:rPr>
                <w:rFonts w:hint="eastAsia" w:cs="Arial"/>
                <w:b/>
                <w:bCs/>
                <w:sz w:val="24"/>
              </w:rPr>
              <w:t>固体废物：</w:t>
            </w:r>
            <w:r>
              <w:rPr>
                <w:rFonts w:hint="eastAsia" w:cs="Arial"/>
                <w:b w:val="0"/>
                <w:bCs w:val="0"/>
                <w:sz w:val="24"/>
              </w:rPr>
              <w:t>施工期产生的一般</w:t>
            </w:r>
            <w:r>
              <w:rPr>
                <w:rFonts w:hint="eastAsia" w:cs="Arial"/>
                <w:b w:val="0"/>
                <w:bCs w:val="0"/>
                <w:sz w:val="24"/>
                <w:lang w:val="en-US" w:eastAsia="zh-CN"/>
              </w:rPr>
              <w:t>工业</w:t>
            </w:r>
            <w:r>
              <w:rPr>
                <w:rFonts w:hint="eastAsia" w:cs="Arial"/>
                <w:b w:val="0"/>
                <w:bCs w:val="0"/>
                <w:sz w:val="24"/>
              </w:rPr>
              <w:t>固废</w:t>
            </w:r>
            <w:r>
              <w:rPr>
                <w:rFonts w:hint="eastAsia" w:cs="Arial"/>
                <w:b w:val="0"/>
                <w:bCs w:val="0"/>
                <w:sz w:val="24"/>
                <w:lang w:val="en-US" w:eastAsia="zh-CN"/>
              </w:rPr>
              <w:t>执行</w:t>
            </w:r>
            <w:r>
              <w:rPr>
                <w:rFonts w:hint="eastAsia" w:cs="Arial"/>
                <w:b w:val="0"/>
                <w:bCs w:val="0"/>
                <w:sz w:val="24"/>
              </w:rPr>
              <w:t>《一般工业固体废物贮存和填埋污染控制标准》（GB18599-2020）采取防渗漏、防雨淋、防扬尘以及其他防止污染环境的措施，严禁擅自倾倒、堆放、丢弃、遗撒一般工业固体废物。危险废物贮存执行《危险废物贮存污染控制标准》（GB18597-2023）的有关规定。</w:t>
            </w:r>
          </w:p>
          <w:p w14:paraId="6F3EEEBA">
            <w:pPr>
              <w:spacing w:line="360" w:lineRule="auto"/>
              <w:ind w:firstLine="482" w:firstLineChars="200"/>
              <w:rPr>
                <w:rFonts w:cs="Arial"/>
                <w:b/>
                <w:bCs/>
                <w:sz w:val="24"/>
              </w:rPr>
            </w:pPr>
            <w:r>
              <w:rPr>
                <w:rFonts w:hint="eastAsia" w:cs="Arial"/>
                <w:b/>
                <w:bCs/>
                <w:sz w:val="24"/>
              </w:rPr>
              <w:t>二、运营期</w:t>
            </w:r>
          </w:p>
          <w:p w14:paraId="36A953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Arial"/>
                <w:b/>
                <w:bCs/>
                <w:sz w:val="24"/>
              </w:rPr>
            </w:pPr>
            <w:r>
              <w:rPr>
                <w:rFonts w:hint="eastAsia" w:cs="Arial"/>
                <w:b/>
                <w:bCs/>
                <w:sz w:val="24"/>
              </w:rPr>
              <w:t>1、废水</w:t>
            </w:r>
          </w:p>
          <w:p w14:paraId="037BC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bCs/>
                <w:sz w:val="24"/>
              </w:rPr>
            </w:pPr>
            <w:r>
              <w:rPr>
                <w:rFonts w:hint="eastAsia" w:cs="Arial"/>
                <w:bCs/>
                <w:sz w:val="24"/>
              </w:rPr>
              <w:t>项目产生的生产废水及生活污水均经管道收集后依托盛隆厂区污水处理设施处理后，回用于盛隆厂区各用水环节，不外排，无废水执行标准。</w:t>
            </w:r>
          </w:p>
          <w:p w14:paraId="1BF360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Arial"/>
                <w:b/>
                <w:bCs/>
                <w:sz w:val="24"/>
              </w:rPr>
            </w:pPr>
            <w:r>
              <w:rPr>
                <w:rFonts w:hint="eastAsia" w:cs="Arial"/>
                <w:b/>
                <w:bCs/>
                <w:sz w:val="24"/>
              </w:rPr>
              <w:t>2、废气</w:t>
            </w:r>
          </w:p>
          <w:p w14:paraId="27D6D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本项目为除尘灰综合回收利用项目，属于一般固体废物治理行业，根据《关于推进实施钢铁行业超低排放的意见》（环大气〔2019〕35号），项目不属于钢铁行业，也不涉及烧结、炼焦、炼铁、炼钢轧钢等生产工序。且根据《广西壮族自治区生态环境厅关于印发广西壮族自治区再生铜、铝、铅、锌工业项目环境准入指导意见（试行）的通知》（桂环规范〔2018〕9号），项目属于文中“利用电炉炼钢过程中集尘、除尘装置收集的粉尘、氧化锌浸出处理产生的浸出渣等原料生产次氧化锌的企业”，项目大气污染物排放执行《无机化学工业污染物排放标准》（GB31573-2015）要求。</w:t>
            </w:r>
          </w:p>
          <w:p w14:paraId="4E9442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因此本项目配料（上料、搅拌、造球）工序产生的颗粒物排放执行《大气污染物综合排放标准》（GB16297-1996）中的相关标准限值，回转窑烟气（颗粒物、二氧化硫、氮氧化物、氟化物）执行《无机化学工业污染物排放标准》（GB31573-2015），厂界外颗粒物执行《大气污染物综合排放标准》（GB16297-1996）中的相关限值。</w:t>
            </w:r>
            <w:r>
              <w:rPr>
                <w:rFonts w:hint="eastAsia"/>
                <w:sz w:val="24"/>
              </w:rPr>
              <w:t>具体标准见表3-</w:t>
            </w:r>
            <w:r>
              <w:rPr>
                <w:rFonts w:hint="eastAsia"/>
                <w:sz w:val="24"/>
                <w:lang w:val="en-US" w:eastAsia="zh-CN"/>
              </w:rPr>
              <w:t>6</w:t>
            </w:r>
            <w:r>
              <w:rPr>
                <w:rFonts w:hint="eastAsia"/>
                <w:sz w:val="24"/>
              </w:rPr>
              <w:t>~3-</w:t>
            </w:r>
            <w:r>
              <w:rPr>
                <w:rFonts w:hint="eastAsia"/>
                <w:sz w:val="24"/>
                <w:lang w:val="en-US" w:eastAsia="zh-CN"/>
              </w:rPr>
              <w:t>8</w:t>
            </w:r>
            <w:r>
              <w:rPr>
                <w:rFonts w:hint="eastAsia"/>
                <w:sz w:val="24"/>
              </w:rPr>
              <w:t>。</w:t>
            </w:r>
          </w:p>
          <w:p w14:paraId="1CFCB763">
            <w:pPr>
              <w:pStyle w:val="48"/>
              <w:numPr>
                <w:ilvl w:val="2"/>
                <w:numId w:val="3"/>
              </w:numPr>
              <w:spacing w:line="500" w:lineRule="atLeast"/>
              <w:ind w:firstLineChars="0"/>
              <w:jc w:val="center"/>
              <w:rPr>
                <w:rFonts w:hint="default"/>
                <w:sz w:val="24"/>
                <w:lang w:val="en-US" w:eastAsia="zh-CN"/>
              </w:rPr>
            </w:pPr>
            <w:r>
              <w:rPr>
                <w:rFonts w:hint="default" w:ascii="Times New Roman" w:hAnsi="Times New Roman" w:eastAsia="宋体" w:cs="Times New Roman"/>
                <w:b/>
                <w:sz w:val="24"/>
                <w:lang w:val="en-US" w:eastAsia="zh-CN"/>
              </w:rPr>
              <w:t>《大气污染物综合排放标准》（GB16297-1996）（摘录）</w:t>
            </w:r>
          </w:p>
          <w:tbl>
            <w:tblPr>
              <w:tblStyle w:val="23"/>
              <w:tblW w:w="49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1437"/>
              <w:gridCol w:w="1064"/>
              <w:gridCol w:w="1663"/>
              <w:gridCol w:w="1275"/>
              <w:gridCol w:w="1426"/>
            </w:tblGrid>
            <w:tr w14:paraId="74E2E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82" w:type="dxa"/>
                  <w:vMerge w:val="restart"/>
                  <w:vAlign w:val="center"/>
                </w:tcPr>
                <w:p w14:paraId="5620E359">
                  <w:pPr>
                    <w:jc w:val="center"/>
                    <w:rPr>
                      <w:color w:val="000000"/>
                      <w:szCs w:val="21"/>
                    </w:rPr>
                  </w:pPr>
                  <w:r>
                    <w:rPr>
                      <w:color w:val="000000"/>
                      <w:szCs w:val="21"/>
                    </w:rPr>
                    <w:t>污染物</w:t>
                  </w:r>
                </w:p>
              </w:tc>
              <w:tc>
                <w:tcPr>
                  <w:tcW w:w="1437" w:type="dxa"/>
                  <w:vMerge w:val="restart"/>
                  <w:vAlign w:val="center"/>
                </w:tcPr>
                <w:p w14:paraId="139D2A4C">
                  <w:pPr>
                    <w:jc w:val="center"/>
                    <w:rPr>
                      <w:color w:val="000000"/>
                      <w:szCs w:val="21"/>
                    </w:rPr>
                  </w:pPr>
                  <w:r>
                    <w:rPr>
                      <w:color w:val="000000"/>
                      <w:szCs w:val="21"/>
                    </w:rPr>
                    <w:t>最高允许排放浓度</w:t>
                  </w:r>
                  <w:r>
                    <w:rPr>
                      <w:rFonts w:hint="eastAsia"/>
                      <w:color w:val="000000"/>
                      <w:szCs w:val="21"/>
                    </w:rPr>
                    <w:t>（</w:t>
                  </w:r>
                  <w:r>
                    <w:rPr>
                      <w:color w:val="000000"/>
                      <w:szCs w:val="21"/>
                    </w:rPr>
                    <w:t>mg/m</w:t>
                  </w:r>
                  <w:r>
                    <w:rPr>
                      <w:color w:val="000000"/>
                      <w:szCs w:val="21"/>
                      <w:vertAlign w:val="superscript"/>
                    </w:rPr>
                    <w:t>3</w:t>
                  </w:r>
                  <w:r>
                    <w:rPr>
                      <w:rFonts w:hint="eastAsia"/>
                      <w:color w:val="000000"/>
                      <w:szCs w:val="21"/>
                      <w:vertAlign w:val="baseline"/>
                    </w:rPr>
                    <w:t>）</w:t>
                  </w:r>
                </w:p>
              </w:tc>
              <w:tc>
                <w:tcPr>
                  <w:tcW w:w="2727" w:type="dxa"/>
                  <w:gridSpan w:val="2"/>
                  <w:vAlign w:val="center"/>
                </w:tcPr>
                <w:p w14:paraId="24E6B585">
                  <w:pPr>
                    <w:jc w:val="center"/>
                    <w:rPr>
                      <w:color w:val="000000"/>
                      <w:szCs w:val="21"/>
                    </w:rPr>
                  </w:pPr>
                  <w:r>
                    <w:rPr>
                      <w:color w:val="000000"/>
                      <w:szCs w:val="21"/>
                    </w:rPr>
                    <w:t>最高允许排放速率</w:t>
                  </w:r>
                  <w:r>
                    <w:rPr>
                      <w:rFonts w:hint="eastAsia"/>
                      <w:color w:val="000000"/>
                      <w:szCs w:val="21"/>
                    </w:rPr>
                    <w:t>（</w:t>
                  </w:r>
                  <w:r>
                    <w:rPr>
                      <w:color w:val="000000"/>
                      <w:szCs w:val="21"/>
                    </w:rPr>
                    <w:t>kg/h</w:t>
                  </w:r>
                  <w:r>
                    <w:rPr>
                      <w:rFonts w:hint="eastAsia"/>
                      <w:color w:val="000000"/>
                      <w:szCs w:val="21"/>
                    </w:rPr>
                    <w:t>）</w:t>
                  </w:r>
                </w:p>
              </w:tc>
              <w:tc>
                <w:tcPr>
                  <w:tcW w:w="2701" w:type="dxa"/>
                  <w:gridSpan w:val="2"/>
                  <w:vAlign w:val="center"/>
                </w:tcPr>
                <w:p w14:paraId="78FF46BB">
                  <w:pPr>
                    <w:jc w:val="center"/>
                    <w:rPr>
                      <w:color w:val="000000"/>
                      <w:szCs w:val="21"/>
                    </w:rPr>
                  </w:pPr>
                  <w:r>
                    <w:rPr>
                      <w:color w:val="000000"/>
                      <w:szCs w:val="21"/>
                    </w:rPr>
                    <w:t>无组织排放监测浓度限值</w:t>
                  </w:r>
                </w:p>
                <w:p w14:paraId="72E65EAA">
                  <w:pPr>
                    <w:jc w:val="center"/>
                    <w:rPr>
                      <w:color w:val="000000"/>
                      <w:szCs w:val="21"/>
                    </w:rPr>
                  </w:pPr>
                  <w:r>
                    <w:rPr>
                      <w:color w:val="000000"/>
                      <w:szCs w:val="21"/>
                    </w:rPr>
                    <w:t>（厂界）</w:t>
                  </w:r>
                </w:p>
              </w:tc>
            </w:tr>
            <w:tr w14:paraId="0D1B0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82" w:type="dxa"/>
                  <w:vMerge w:val="continue"/>
                  <w:vAlign w:val="center"/>
                </w:tcPr>
                <w:p w14:paraId="720CE9F8">
                  <w:pPr>
                    <w:jc w:val="center"/>
                    <w:rPr>
                      <w:color w:val="000000"/>
                      <w:szCs w:val="21"/>
                    </w:rPr>
                  </w:pPr>
                </w:p>
              </w:tc>
              <w:tc>
                <w:tcPr>
                  <w:tcW w:w="1437" w:type="dxa"/>
                  <w:vMerge w:val="continue"/>
                  <w:vAlign w:val="center"/>
                </w:tcPr>
                <w:p w14:paraId="272751A9">
                  <w:pPr>
                    <w:jc w:val="center"/>
                    <w:rPr>
                      <w:color w:val="000000"/>
                      <w:szCs w:val="21"/>
                    </w:rPr>
                  </w:pPr>
                </w:p>
              </w:tc>
              <w:tc>
                <w:tcPr>
                  <w:tcW w:w="1064" w:type="dxa"/>
                  <w:vAlign w:val="center"/>
                </w:tcPr>
                <w:p w14:paraId="69124002">
                  <w:pPr>
                    <w:jc w:val="center"/>
                    <w:rPr>
                      <w:color w:val="000000"/>
                      <w:szCs w:val="21"/>
                    </w:rPr>
                  </w:pPr>
                  <w:r>
                    <w:rPr>
                      <w:color w:val="000000"/>
                      <w:szCs w:val="21"/>
                    </w:rPr>
                    <w:t>排气筒</w:t>
                  </w:r>
                  <w:r>
                    <w:rPr>
                      <w:rFonts w:hint="eastAsia"/>
                      <w:color w:val="000000"/>
                      <w:szCs w:val="21"/>
                    </w:rPr>
                    <w:t>（</w:t>
                  </w:r>
                  <w:r>
                    <w:rPr>
                      <w:color w:val="000000"/>
                      <w:szCs w:val="21"/>
                    </w:rPr>
                    <w:t>m</w:t>
                  </w:r>
                  <w:r>
                    <w:rPr>
                      <w:rFonts w:hint="eastAsia"/>
                      <w:color w:val="000000"/>
                      <w:szCs w:val="21"/>
                    </w:rPr>
                    <w:t>）</w:t>
                  </w:r>
                </w:p>
              </w:tc>
              <w:tc>
                <w:tcPr>
                  <w:tcW w:w="1663" w:type="dxa"/>
                  <w:vAlign w:val="center"/>
                </w:tcPr>
                <w:p w14:paraId="3FD0F33B">
                  <w:pPr>
                    <w:jc w:val="center"/>
                    <w:rPr>
                      <w:rFonts w:hint="eastAsia" w:eastAsia="宋体"/>
                      <w:color w:val="000000"/>
                      <w:szCs w:val="21"/>
                      <w:lang w:eastAsia="zh-CN"/>
                    </w:rPr>
                  </w:pPr>
                  <w:r>
                    <w:rPr>
                      <w:color w:val="000000"/>
                      <w:szCs w:val="21"/>
                    </w:rPr>
                    <w:t>二级</w:t>
                  </w:r>
                  <w:r>
                    <w:rPr>
                      <w:rFonts w:hint="eastAsia"/>
                      <w:color w:val="000000"/>
                      <w:szCs w:val="21"/>
                      <w:lang w:eastAsia="zh-CN"/>
                    </w:rPr>
                    <w:t>（</w:t>
                  </w:r>
                  <w:r>
                    <w:rPr>
                      <w:rFonts w:hint="eastAsia"/>
                      <w:color w:val="000000"/>
                      <w:szCs w:val="21"/>
                      <w:lang w:val="en-US" w:eastAsia="zh-CN"/>
                    </w:rPr>
                    <w:t>根据内插法计算</w:t>
                  </w:r>
                  <w:r>
                    <w:rPr>
                      <w:rFonts w:hint="eastAsia"/>
                      <w:color w:val="000000"/>
                      <w:szCs w:val="21"/>
                      <w:lang w:eastAsia="zh-CN"/>
                    </w:rPr>
                    <w:t>）</w:t>
                  </w:r>
                </w:p>
              </w:tc>
              <w:tc>
                <w:tcPr>
                  <w:tcW w:w="1275" w:type="dxa"/>
                  <w:vAlign w:val="center"/>
                </w:tcPr>
                <w:p w14:paraId="6D9D1DC4">
                  <w:pPr>
                    <w:jc w:val="center"/>
                    <w:rPr>
                      <w:color w:val="000000"/>
                      <w:szCs w:val="21"/>
                    </w:rPr>
                  </w:pPr>
                  <w:r>
                    <w:rPr>
                      <w:color w:val="000000"/>
                      <w:szCs w:val="21"/>
                    </w:rPr>
                    <w:t>监测点</w:t>
                  </w:r>
                </w:p>
              </w:tc>
              <w:tc>
                <w:tcPr>
                  <w:tcW w:w="1426" w:type="dxa"/>
                  <w:vAlign w:val="center"/>
                </w:tcPr>
                <w:p w14:paraId="5E39D3ED">
                  <w:pPr>
                    <w:jc w:val="center"/>
                    <w:rPr>
                      <w:color w:val="000000"/>
                      <w:szCs w:val="21"/>
                    </w:rPr>
                  </w:pPr>
                  <w:r>
                    <w:rPr>
                      <w:color w:val="000000"/>
                      <w:szCs w:val="21"/>
                    </w:rPr>
                    <w:t>浓度</w:t>
                  </w:r>
                  <w:r>
                    <w:rPr>
                      <w:rFonts w:hint="eastAsia"/>
                      <w:color w:val="000000"/>
                      <w:szCs w:val="21"/>
                    </w:rPr>
                    <w:t>（</w:t>
                  </w:r>
                  <w:r>
                    <w:rPr>
                      <w:color w:val="000000"/>
                      <w:szCs w:val="21"/>
                    </w:rPr>
                    <w:t>mg/m</w:t>
                  </w:r>
                  <w:r>
                    <w:rPr>
                      <w:color w:val="000000"/>
                      <w:szCs w:val="21"/>
                      <w:vertAlign w:val="superscript"/>
                    </w:rPr>
                    <w:t>3</w:t>
                  </w:r>
                  <w:r>
                    <w:rPr>
                      <w:rFonts w:hint="eastAsia"/>
                      <w:color w:val="000000"/>
                      <w:szCs w:val="21"/>
                      <w:vertAlign w:val="superscript"/>
                    </w:rPr>
                    <w:t>）</w:t>
                  </w:r>
                </w:p>
              </w:tc>
            </w:tr>
            <w:tr w14:paraId="08F7B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82" w:type="dxa"/>
                  <w:shd w:val="clear" w:color="auto" w:fill="auto"/>
                  <w:vAlign w:val="center"/>
                </w:tcPr>
                <w:p w14:paraId="56B3738D">
                  <w:pPr>
                    <w:jc w:val="center"/>
                    <w:rPr>
                      <w:rFonts w:ascii="Times New Roman" w:hAnsi="Times New Roman" w:eastAsia="宋体" w:cs="Times New Roman"/>
                      <w:color w:val="000000"/>
                      <w:kern w:val="2"/>
                      <w:sz w:val="21"/>
                      <w:szCs w:val="21"/>
                      <w:lang w:val="en-US" w:eastAsia="zh-CN" w:bidi="ar-SA"/>
                    </w:rPr>
                  </w:pPr>
                  <w:r>
                    <w:rPr>
                      <w:rFonts w:hint="eastAsia"/>
                      <w:color w:val="000000"/>
                      <w:szCs w:val="21"/>
                    </w:rPr>
                    <w:t>颗粒物</w:t>
                  </w:r>
                </w:p>
              </w:tc>
              <w:tc>
                <w:tcPr>
                  <w:tcW w:w="1437" w:type="dxa"/>
                  <w:shd w:val="clear" w:color="auto" w:fill="auto"/>
                  <w:vAlign w:val="center"/>
                </w:tcPr>
                <w:p w14:paraId="2D0F78BD">
                  <w:pPr>
                    <w:ind w:firstLine="105" w:firstLineChars="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120</w:t>
                  </w:r>
                </w:p>
              </w:tc>
              <w:tc>
                <w:tcPr>
                  <w:tcW w:w="1064" w:type="dxa"/>
                  <w:shd w:val="clear" w:color="auto" w:fill="auto"/>
                  <w:vAlign w:val="center"/>
                </w:tcPr>
                <w:p w14:paraId="1E7C7044">
                  <w:pPr>
                    <w:jc w:val="center"/>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23</w:t>
                  </w:r>
                </w:p>
              </w:tc>
              <w:tc>
                <w:tcPr>
                  <w:tcW w:w="1663" w:type="dxa"/>
                  <w:shd w:val="clear" w:color="auto" w:fill="auto"/>
                  <w:vAlign w:val="center"/>
                </w:tcPr>
                <w:p w14:paraId="53B712AF">
                  <w:pPr>
                    <w:jc w:val="center"/>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11.03</w:t>
                  </w:r>
                </w:p>
              </w:tc>
              <w:tc>
                <w:tcPr>
                  <w:tcW w:w="1275" w:type="dxa"/>
                  <w:vAlign w:val="center"/>
                </w:tcPr>
                <w:p w14:paraId="5DB5892B">
                  <w:pPr>
                    <w:widowControl/>
                    <w:spacing w:before="100" w:beforeAutospacing="1" w:after="100" w:afterAutospacing="1"/>
                    <w:jc w:val="center"/>
                    <w:rPr>
                      <w:rFonts w:cs="宋体"/>
                      <w:color w:val="000000"/>
                      <w:kern w:val="0"/>
                      <w:szCs w:val="21"/>
                    </w:rPr>
                  </w:pPr>
                  <w:r>
                    <w:rPr>
                      <w:rFonts w:hint="eastAsia" w:cs="宋体"/>
                      <w:color w:val="000000"/>
                      <w:kern w:val="0"/>
                      <w:szCs w:val="21"/>
                    </w:rPr>
                    <w:t>周界外浓度最高点</w:t>
                  </w:r>
                </w:p>
              </w:tc>
              <w:tc>
                <w:tcPr>
                  <w:tcW w:w="1426" w:type="dxa"/>
                  <w:vAlign w:val="center"/>
                </w:tcPr>
                <w:p w14:paraId="5803111E">
                  <w:pPr>
                    <w:jc w:val="center"/>
                    <w:rPr>
                      <w:color w:val="000000"/>
                      <w:szCs w:val="21"/>
                    </w:rPr>
                  </w:pPr>
                  <w:r>
                    <w:rPr>
                      <w:rFonts w:hint="eastAsia"/>
                      <w:color w:val="000000"/>
                      <w:szCs w:val="21"/>
                    </w:rPr>
                    <w:t>1.0</w:t>
                  </w:r>
                </w:p>
              </w:tc>
            </w:tr>
          </w:tbl>
          <w:p w14:paraId="03D37721">
            <w:pPr>
              <w:pStyle w:val="48"/>
              <w:numPr>
                <w:ilvl w:val="2"/>
                <w:numId w:val="3"/>
              </w:numPr>
              <w:spacing w:line="500" w:lineRule="atLeast"/>
              <w:ind w:firstLineChars="0"/>
              <w:jc w:val="center"/>
              <w:rPr>
                <w:rFonts w:hint="eastAsia"/>
                <w:sz w:val="24"/>
                <w:lang w:val="en-US" w:eastAsia="zh-CN"/>
              </w:rPr>
            </w:pPr>
            <w:r>
              <w:rPr>
                <w:rFonts w:hint="eastAsia" w:ascii="Times New Roman" w:hAnsi="Times New Roman" w:eastAsia="宋体" w:cs="Times New Roman"/>
                <w:b/>
                <w:sz w:val="24"/>
                <w:lang w:val="en-US" w:eastAsia="zh-CN"/>
              </w:rPr>
              <w:t>《无机化学工业污染物排放标准》（GB31573-2015）</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074"/>
              <w:gridCol w:w="1729"/>
              <w:gridCol w:w="1593"/>
              <w:gridCol w:w="1593"/>
            </w:tblGrid>
            <w:tr w14:paraId="0D46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5" w:type="dxa"/>
                  <w:shd w:val="clear" w:color="auto" w:fill="auto"/>
                  <w:noWrap w:val="0"/>
                  <w:vAlign w:val="center"/>
                </w:tcPr>
                <w:p w14:paraId="16BFFEE9">
                  <w:pPr>
                    <w:jc w:val="center"/>
                    <w:rPr>
                      <w:rFonts w:hint="eastAsia"/>
                      <w:color w:val="000000"/>
                      <w:szCs w:val="21"/>
                      <w:lang w:val="en-US" w:eastAsia="zh-CN"/>
                    </w:rPr>
                  </w:pPr>
                  <w:r>
                    <w:rPr>
                      <w:rFonts w:hint="eastAsia"/>
                      <w:color w:val="000000"/>
                      <w:szCs w:val="21"/>
                      <w:lang w:val="en-US" w:eastAsia="zh-CN"/>
                    </w:rPr>
                    <w:t>序号</w:t>
                  </w:r>
                </w:p>
              </w:tc>
              <w:tc>
                <w:tcPr>
                  <w:tcW w:w="2074" w:type="dxa"/>
                  <w:shd w:val="clear" w:color="auto" w:fill="auto"/>
                  <w:noWrap w:val="0"/>
                  <w:vAlign w:val="center"/>
                </w:tcPr>
                <w:p w14:paraId="392F1E70">
                  <w:pPr>
                    <w:jc w:val="center"/>
                    <w:rPr>
                      <w:rFonts w:hint="eastAsia"/>
                      <w:color w:val="000000"/>
                      <w:szCs w:val="21"/>
                      <w:lang w:val="en-US" w:eastAsia="zh-CN"/>
                    </w:rPr>
                  </w:pPr>
                  <w:r>
                    <w:rPr>
                      <w:rFonts w:hint="eastAsia"/>
                      <w:color w:val="000000"/>
                      <w:szCs w:val="21"/>
                      <w:lang w:val="en-US" w:eastAsia="zh-CN"/>
                    </w:rPr>
                    <w:t>污染物项目</w:t>
                  </w:r>
                </w:p>
              </w:tc>
              <w:tc>
                <w:tcPr>
                  <w:tcW w:w="1729" w:type="dxa"/>
                  <w:shd w:val="clear" w:color="auto" w:fill="auto"/>
                  <w:noWrap w:val="0"/>
                  <w:vAlign w:val="center"/>
                </w:tcPr>
                <w:p w14:paraId="33D8CC46">
                  <w:pPr>
                    <w:jc w:val="center"/>
                    <w:rPr>
                      <w:rFonts w:hint="eastAsia"/>
                      <w:color w:val="000000"/>
                      <w:szCs w:val="21"/>
                      <w:lang w:val="en-US" w:eastAsia="zh-CN"/>
                    </w:rPr>
                  </w:pPr>
                  <w:r>
                    <w:rPr>
                      <w:rFonts w:hint="eastAsia"/>
                      <w:color w:val="000000"/>
                      <w:szCs w:val="21"/>
                      <w:lang w:val="en-US" w:eastAsia="zh-CN"/>
                    </w:rPr>
                    <w:t>大气污染物排放限值</w:t>
                  </w:r>
                  <w:r>
                    <w:rPr>
                      <w:rFonts w:hint="eastAsia"/>
                      <w:color w:val="000000"/>
                      <w:szCs w:val="21"/>
                    </w:rPr>
                    <w:t>（</w:t>
                  </w:r>
                  <w:r>
                    <w:rPr>
                      <w:color w:val="000000"/>
                      <w:szCs w:val="21"/>
                    </w:rPr>
                    <w:t>mg/m</w:t>
                  </w:r>
                  <w:r>
                    <w:rPr>
                      <w:color w:val="000000"/>
                      <w:szCs w:val="21"/>
                      <w:vertAlign w:val="superscript"/>
                    </w:rPr>
                    <w:t>3</w:t>
                  </w:r>
                  <w:r>
                    <w:rPr>
                      <w:rFonts w:hint="eastAsia"/>
                      <w:color w:val="000000"/>
                      <w:szCs w:val="21"/>
                      <w:vertAlign w:val="baseline"/>
                    </w:rPr>
                    <w:t>）</w:t>
                  </w:r>
                </w:p>
              </w:tc>
              <w:tc>
                <w:tcPr>
                  <w:tcW w:w="1593" w:type="dxa"/>
                  <w:shd w:val="clear" w:color="auto" w:fill="auto"/>
                  <w:noWrap w:val="0"/>
                  <w:vAlign w:val="center"/>
                </w:tcPr>
                <w:p w14:paraId="61776354">
                  <w:pPr>
                    <w:jc w:val="center"/>
                    <w:rPr>
                      <w:rFonts w:hint="eastAsia"/>
                      <w:color w:val="000000"/>
                      <w:szCs w:val="21"/>
                      <w:lang w:val="en-US" w:eastAsia="zh-CN"/>
                    </w:rPr>
                  </w:pPr>
                  <w:r>
                    <w:rPr>
                      <w:rFonts w:hint="eastAsia"/>
                      <w:color w:val="000000"/>
                      <w:szCs w:val="21"/>
                      <w:lang w:val="en-US" w:eastAsia="zh-CN"/>
                    </w:rPr>
                    <w:t>标准来源</w:t>
                  </w:r>
                </w:p>
              </w:tc>
              <w:tc>
                <w:tcPr>
                  <w:tcW w:w="1593" w:type="dxa"/>
                  <w:shd w:val="clear" w:color="auto" w:fill="auto"/>
                  <w:noWrap w:val="0"/>
                  <w:vAlign w:val="center"/>
                </w:tcPr>
                <w:p w14:paraId="1E2D99D9">
                  <w:pPr>
                    <w:jc w:val="center"/>
                    <w:rPr>
                      <w:rFonts w:hint="eastAsia"/>
                      <w:color w:val="000000"/>
                      <w:szCs w:val="21"/>
                      <w:lang w:val="en-US" w:eastAsia="zh-CN"/>
                    </w:rPr>
                  </w:pPr>
                  <w:r>
                    <w:rPr>
                      <w:rFonts w:hint="eastAsia"/>
                      <w:color w:val="000000"/>
                      <w:szCs w:val="21"/>
                      <w:lang w:val="en-US" w:eastAsia="zh-CN"/>
                    </w:rPr>
                    <w:t>污染物排放</w:t>
                  </w:r>
                </w:p>
                <w:p w14:paraId="752F1CC3">
                  <w:pPr>
                    <w:jc w:val="center"/>
                    <w:rPr>
                      <w:rFonts w:hint="eastAsia"/>
                      <w:color w:val="000000"/>
                      <w:szCs w:val="21"/>
                      <w:lang w:val="en-US" w:eastAsia="zh-CN"/>
                    </w:rPr>
                  </w:pPr>
                  <w:r>
                    <w:rPr>
                      <w:rFonts w:hint="eastAsia"/>
                      <w:color w:val="000000"/>
                      <w:szCs w:val="21"/>
                      <w:lang w:val="en-US" w:eastAsia="zh-CN"/>
                    </w:rPr>
                    <w:t>监控位置</w:t>
                  </w:r>
                </w:p>
              </w:tc>
            </w:tr>
            <w:tr w14:paraId="253E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5" w:type="dxa"/>
                  <w:shd w:val="clear" w:color="auto" w:fill="auto"/>
                  <w:noWrap w:val="0"/>
                  <w:vAlign w:val="center"/>
                </w:tcPr>
                <w:p w14:paraId="7A5646AD">
                  <w:pPr>
                    <w:jc w:val="center"/>
                    <w:rPr>
                      <w:rFonts w:hint="eastAsia"/>
                      <w:color w:val="000000"/>
                      <w:szCs w:val="21"/>
                      <w:lang w:val="en-US" w:eastAsia="zh-CN"/>
                    </w:rPr>
                  </w:pPr>
                  <w:r>
                    <w:rPr>
                      <w:rFonts w:hint="eastAsia"/>
                      <w:color w:val="000000"/>
                      <w:szCs w:val="21"/>
                      <w:lang w:val="en-US" w:eastAsia="zh-CN"/>
                    </w:rPr>
                    <w:t>1</w:t>
                  </w:r>
                </w:p>
              </w:tc>
              <w:tc>
                <w:tcPr>
                  <w:tcW w:w="2074" w:type="dxa"/>
                  <w:shd w:val="clear" w:color="auto" w:fill="auto"/>
                  <w:noWrap w:val="0"/>
                  <w:vAlign w:val="center"/>
                </w:tcPr>
                <w:p w14:paraId="4F41A899">
                  <w:pPr>
                    <w:jc w:val="center"/>
                    <w:rPr>
                      <w:rFonts w:hint="eastAsia"/>
                      <w:color w:val="000000"/>
                      <w:szCs w:val="21"/>
                      <w:lang w:val="en-US" w:eastAsia="zh-CN"/>
                    </w:rPr>
                  </w:pPr>
                  <w:r>
                    <w:rPr>
                      <w:rFonts w:hint="eastAsia"/>
                      <w:color w:val="000000"/>
                      <w:szCs w:val="21"/>
                      <w:lang w:val="en-US" w:eastAsia="zh-CN"/>
                    </w:rPr>
                    <w:t>颗粒物</w:t>
                  </w:r>
                </w:p>
              </w:tc>
              <w:tc>
                <w:tcPr>
                  <w:tcW w:w="1729" w:type="dxa"/>
                  <w:shd w:val="clear" w:color="auto" w:fill="auto"/>
                  <w:noWrap w:val="0"/>
                  <w:vAlign w:val="center"/>
                </w:tcPr>
                <w:p w14:paraId="5B2181D6">
                  <w:pPr>
                    <w:jc w:val="center"/>
                    <w:rPr>
                      <w:rFonts w:hint="eastAsia"/>
                      <w:color w:val="000000"/>
                      <w:szCs w:val="21"/>
                      <w:lang w:val="en-US" w:eastAsia="zh-CN"/>
                    </w:rPr>
                  </w:pPr>
                  <w:r>
                    <w:rPr>
                      <w:rFonts w:hint="eastAsia"/>
                      <w:color w:val="000000"/>
                      <w:szCs w:val="21"/>
                      <w:lang w:val="en-US" w:eastAsia="zh-CN"/>
                    </w:rPr>
                    <w:t>30</w:t>
                  </w:r>
                </w:p>
              </w:tc>
              <w:tc>
                <w:tcPr>
                  <w:tcW w:w="1593" w:type="dxa"/>
                  <w:vMerge w:val="restart"/>
                  <w:shd w:val="clear" w:color="auto" w:fill="auto"/>
                  <w:noWrap w:val="0"/>
                  <w:vAlign w:val="center"/>
                </w:tcPr>
                <w:p w14:paraId="7D999B12">
                  <w:pPr>
                    <w:jc w:val="center"/>
                    <w:rPr>
                      <w:rFonts w:hint="eastAsia"/>
                      <w:color w:val="000000"/>
                      <w:szCs w:val="21"/>
                      <w:lang w:val="en-US" w:eastAsia="zh-CN"/>
                    </w:rPr>
                  </w:pPr>
                  <w:r>
                    <w:rPr>
                      <w:rFonts w:hint="eastAsia"/>
                      <w:color w:val="000000"/>
                      <w:szCs w:val="21"/>
                      <w:lang w:val="en-US" w:eastAsia="zh-CN"/>
                    </w:rPr>
                    <w:t>GB31573-2015</w:t>
                  </w:r>
                </w:p>
                <w:p w14:paraId="043E38B7">
                  <w:pPr>
                    <w:jc w:val="center"/>
                    <w:rPr>
                      <w:rFonts w:hint="eastAsia"/>
                      <w:color w:val="000000"/>
                      <w:szCs w:val="21"/>
                      <w:lang w:val="en-US" w:eastAsia="zh-CN"/>
                    </w:rPr>
                  </w:pPr>
                  <w:r>
                    <w:rPr>
                      <w:rFonts w:hint="eastAsia"/>
                      <w:color w:val="000000"/>
                      <w:szCs w:val="21"/>
                      <w:lang w:val="en-US" w:eastAsia="zh-CN"/>
                    </w:rPr>
                    <w:t>无机化学工业</w:t>
                  </w:r>
                </w:p>
                <w:p w14:paraId="3FD2AA8C">
                  <w:pPr>
                    <w:jc w:val="center"/>
                    <w:rPr>
                      <w:rFonts w:hint="eastAsia"/>
                      <w:color w:val="000000"/>
                      <w:szCs w:val="21"/>
                      <w:lang w:val="en-US" w:eastAsia="zh-CN"/>
                    </w:rPr>
                  </w:pPr>
                  <w:r>
                    <w:rPr>
                      <w:rFonts w:hint="eastAsia"/>
                      <w:color w:val="000000"/>
                      <w:szCs w:val="21"/>
                      <w:lang w:val="en-US" w:eastAsia="zh-CN"/>
                    </w:rPr>
                    <w:t>污染物排放标准</w:t>
                  </w:r>
                </w:p>
              </w:tc>
              <w:tc>
                <w:tcPr>
                  <w:tcW w:w="1593" w:type="dxa"/>
                  <w:vMerge w:val="restart"/>
                  <w:shd w:val="clear" w:color="auto" w:fill="auto"/>
                  <w:noWrap w:val="0"/>
                  <w:vAlign w:val="center"/>
                </w:tcPr>
                <w:p w14:paraId="31E23754">
                  <w:pPr>
                    <w:jc w:val="center"/>
                    <w:rPr>
                      <w:rFonts w:hint="eastAsia"/>
                      <w:color w:val="000000"/>
                      <w:szCs w:val="21"/>
                      <w:lang w:val="en-US" w:eastAsia="zh-CN"/>
                    </w:rPr>
                  </w:pPr>
                  <w:r>
                    <w:rPr>
                      <w:rFonts w:hint="eastAsia"/>
                      <w:color w:val="000000"/>
                      <w:szCs w:val="21"/>
                      <w:lang w:val="en-US" w:eastAsia="zh-CN"/>
                    </w:rPr>
                    <w:t>车间或者生产设施排气筒</w:t>
                  </w:r>
                </w:p>
              </w:tc>
            </w:tr>
            <w:tr w14:paraId="2D00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5" w:type="dxa"/>
                  <w:shd w:val="clear" w:color="auto" w:fill="auto"/>
                  <w:noWrap w:val="0"/>
                  <w:vAlign w:val="center"/>
                </w:tcPr>
                <w:p w14:paraId="79F04409">
                  <w:pPr>
                    <w:jc w:val="center"/>
                    <w:rPr>
                      <w:rFonts w:hint="eastAsia"/>
                      <w:color w:val="000000"/>
                      <w:szCs w:val="21"/>
                      <w:lang w:val="en-US" w:eastAsia="zh-CN"/>
                    </w:rPr>
                  </w:pPr>
                  <w:r>
                    <w:rPr>
                      <w:rFonts w:hint="eastAsia"/>
                      <w:color w:val="000000"/>
                      <w:szCs w:val="21"/>
                      <w:lang w:val="en-US" w:eastAsia="zh-CN"/>
                    </w:rPr>
                    <w:t>2</w:t>
                  </w:r>
                </w:p>
              </w:tc>
              <w:tc>
                <w:tcPr>
                  <w:tcW w:w="2074" w:type="dxa"/>
                  <w:shd w:val="clear" w:color="auto" w:fill="auto"/>
                  <w:noWrap w:val="0"/>
                  <w:vAlign w:val="center"/>
                </w:tcPr>
                <w:p w14:paraId="75BD7959">
                  <w:pPr>
                    <w:jc w:val="center"/>
                    <w:rPr>
                      <w:rFonts w:hint="eastAsia"/>
                      <w:color w:val="000000"/>
                      <w:szCs w:val="21"/>
                      <w:lang w:val="en-US" w:eastAsia="zh-CN"/>
                    </w:rPr>
                  </w:pPr>
                  <w:r>
                    <w:rPr>
                      <w:rFonts w:hint="eastAsia"/>
                      <w:color w:val="000000"/>
                      <w:szCs w:val="21"/>
                      <w:lang w:val="en-US" w:eastAsia="zh-CN"/>
                    </w:rPr>
                    <w:t>氮氧化物</w:t>
                  </w:r>
                </w:p>
              </w:tc>
              <w:tc>
                <w:tcPr>
                  <w:tcW w:w="1729" w:type="dxa"/>
                  <w:shd w:val="clear" w:color="auto" w:fill="auto"/>
                  <w:noWrap w:val="0"/>
                  <w:vAlign w:val="center"/>
                </w:tcPr>
                <w:p w14:paraId="288F14E4">
                  <w:pPr>
                    <w:jc w:val="center"/>
                    <w:rPr>
                      <w:rFonts w:hint="eastAsia"/>
                      <w:color w:val="000000"/>
                      <w:szCs w:val="21"/>
                      <w:lang w:val="en-US" w:eastAsia="zh-CN"/>
                    </w:rPr>
                  </w:pPr>
                  <w:r>
                    <w:rPr>
                      <w:rFonts w:hint="eastAsia"/>
                      <w:color w:val="000000"/>
                      <w:szCs w:val="21"/>
                      <w:lang w:val="en-US" w:eastAsia="zh-CN"/>
                    </w:rPr>
                    <w:t>200</w:t>
                  </w:r>
                </w:p>
              </w:tc>
              <w:tc>
                <w:tcPr>
                  <w:tcW w:w="1593" w:type="dxa"/>
                  <w:vMerge w:val="continue"/>
                  <w:shd w:val="clear" w:color="auto" w:fill="auto"/>
                  <w:noWrap w:val="0"/>
                  <w:vAlign w:val="center"/>
                </w:tcPr>
                <w:p w14:paraId="5D3D4FA8">
                  <w:pPr>
                    <w:pStyle w:val="6"/>
                    <w:spacing w:line="240" w:lineRule="exact"/>
                    <w:ind w:firstLine="0"/>
                    <w:jc w:val="center"/>
                    <w:rPr>
                      <w:rFonts w:hint="eastAsia"/>
                      <w:color w:val="000000"/>
                      <w:kern w:val="0"/>
                      <w:sz w:val="18"/>
                      <w:szCs w:val="18"/>
                    </w:rPr>
                  </w:pPr>
                </w:p>
              </w:tc>
              <w:tc>
                <w:tcPr>
                  <w:tcW w:w="1593" w:type="dxa"/>
                  <w:vMerge w:val="continue"/>
                  <w:shd w:val="clear" w:color="auto" w:fill="auto"/>
                  <w:noWrap w:val="0"/>
                  <w:vAlign w:val="center"/>
                </w:tcPr>
                <w:p w14:paraId="05923750">
                  <w:pPr>
                    <w:pStyle w:val="6"/>
                    <w:spacing w:line="240" w:lineRule="exact"/>
                    <w:ind w:firstLine="0"/>
                    <w:jc w:val="center"/>
                    <w:rPr>
                      <w:rFonts w:hint="eastAsia"/>
                      <w:color w:val="000000"/>
                      <w:kern w:val="0"/>
                      <w:sz w:val="18"/>
                      <w:szCs w:val="18"/>
                    </w:rPr>
                  </w:pPr>
                </w:p>
              </w:tc>
            </w:tr>
            <w:tr w14:paraId="19AF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5" w:type="dxa"/>
                  <w:shd w:val="clear" w:color="auto" w:fill="auto"/>
                  <w:noWrap w:val="0"/>
                  <w:vAlign w:val="center"/>
                </w:tcPr>
                <w:p w14:paraId="6833C26F">
                  <w:pPr>
                    <w:jc w:val="center"/>
                    <w:rPr>
                      <w:rFonts w:hint="eastAsia"/>
                      <w:color w:val="000000"/>
                      <w:szCs w:val="21"/>
                      <w:lang w:val="en-US" w:eastAsia="zh-CN"/>
                    </w:rPr>
                  </w:pPr>
                  <w:r>
                    <w:rPr>
                      <w:rFonts w:hint="eastAsia"/>
                      <w:color w:val="000000"/>
                      <w:szCs w:val="21"/>
                      <w:lang w:val="en-US" w:eastAsia="zh-CN"/>
                    </w:rPr>
                    <w:t>3</w:t>
                  </w:r>
                </w:p>
              </w:tc>
              <w:tc>
                <w:tcPr>
                  <w:tcW w:w="2074" w:type="dxa"/>
                  <w:shd w:val="clear" w:color="auto" w:fill="auto"/>
                  <w:noWrap w:val="0"/>
                  <w:vAlign w:val="center"/>
                </w:tcPr>
                <w:p w14:paraId="55D3ED22">
                  <w:pPr>
                    <w:jc w:val="center"/>
                    <w:rPr>
                      <w:rFonts w:hint="eastAsia"/>
                      <w:color w:val="000000"/>
                      <w:szCs w:val="21"/>
                      <w:lang w:val="en-US" w:eastAsia="zh-CN"/>
                    </w:rPr>
                  </w:pPr>
                  <w:r>
                    <w:rPr>
                      <w:rFonts w:hint="eastAsia"/>
                      <w:color w:val="000000"/>
                      <w:szCs w:val="21"/>
                      <w:lang w:val="en-US" w:eastAsia="zh-CN"/>
                    </w:rPr>
                    <w:t>二氧化硫</w:t>
                  </w:r>
                </w:p>
              </w:tc>
              <w:tc>
                <w:tcPr>
                  <w:tcW w:w="1729" w:type="dxa"/>
                  <w:shd w:val="clear" w:color="auto" w:fill="auto"/>
                  <w:noWrap w:val="0"/>
                  <w:vAlign w:val="center"/>
                </w:tcPr>
                <w:p w14:paraId="57436939">
                  <w:pPr>
                    <w:jc w:val="center"/>
                    <w:rPr>
                      <w:rFonts w:hint="eastAsia"/>
                      <w:color w:val="000000"/>
                      <w:szCs w:val="21"/>
                      <w:lang w:val="en-US" w:eastAsia="zh-CN"/>
                    </w:rPr>
                  </w:pPr>
                  <w:r>
                    <w:rPr>
                      <w:rFonts w:hint="eastAsia"/>
                      <w:color w:val="000000"/>
                      <w:szCs w:val="21"/>
                      <w:lang w:val="en-US" w:eastAsia="zh-CN"/>
                    </w:rPr>
                    <w:t>400</w:t>
                  </w:r>
                </w:p>
              </w:tc>
              <w:tc>
                <w:tcPr>
                  <w:tcW w:w="1593" w:type="dxa"/>
                  <w:vMerge w:val="continue"/>
                  <w:shd w:val="clear" w:color="auto" w:fill="auto"/>
                  <w:noWrap w:val="0"/>
                  <w:vAlign w:val="center"/>
                </w:tcPr>
                <w:p w14:paraId="335E2B32">
                  <w:pPr>
                    <w:pStyle w:val="6"/>
                    <w:spacing w:line="240" w:lineRule="exact"/>
                    <w:ind w:firstLine="0"/>
                    <w:jc w:val="center"/>
                    <w:rPr>
                      <w:rFonts w:hint="eastAsia"/>
                      <w:color w:val="000000"/>
                      <w:kern w:val="0"/>
                      <w:sz w:val="18"/>
                      <w:szCs w:val="18"/>
                    </w:rPr>
                  </w:pPr>
                </w:p>
              </w:tc>
              <w:tc>
                <w:tcPr>
                  <w:tcW w:w="1593" w:type="dxa"/>
                  <w:vMerge w:val="continue"/>
                  <w:shd w:val="clear" w:color="auto" w:fill="auto"/>
                  <w:noWrap w:val="0"/>
                  <w:vAlign w:val="center"/>
                </w:tcPr>
                <w:p w14:paraId="31E5B98B">
                  <w:pPr>
                    <w:pStyle w:val="6"/>
                    <w:spacing w:line="240" w:lineRule="exact"/>
                    <w:ind w:firstLine="0"/>
                    <w:jc w:val="center"/>
                    <w:rPr>
                      <w:rFonts w:hint="eastAsia"/>
                      <w:color w:val="000000"/>
                      <w:kern w:val="0"/>
                      <w:sz w:val="18"/>
                      <w:szCs w:val="18"/>
                    </w:rPr>
                  </w:pPr>
                </w:p>
              </w:tc>
            </w:tr>
            <w:tr w14:paraId="20D4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5" w:type="dxa"/>
                  <w:shd w:val="clear" w:color="auto" w:fill="auto"/>
                  <w:noWrap w:val="0"/>
                  <w:vAlign w:val="center"/>
                </w:tcPr>
                <w:p w14:paraId="02234224">
                  <w:pPr>
                    <w:jc w:val="center"/>
                    <w:rPr>
                      <w:rFonts w:hint="eastAsia"/>
                      <w:color w:val="000000"/>
                      <w:szCs w:val="21"/>
                      <w:lang w:val="en-US" w:eastAsia="zh-CN"/>
                    </w:rPr>
                  </w:pPr>
                  <w:r>
                    <w:rPr>
                      <w:rFonts w:hint="eastAsia"/>
                      <w:color w:val="000000"/>
                      <w:szCs w:val="21"/>
                      <w:lang w:val="en-US" w:eastAsia="zh-CN"/>
                    </w:rPr>
                    <w:t>4</w:t>
                  </w:r>
                </w:p>
              </w:tc>
              <w:tc>
                <w:tcPr>
                  <w:tcW w:w="2074" w:type="dxa"/>
                  <w:shd w:val="clear" w:color="auto" w:fill="auto"/>
                  <w:noWrap w:val="0"/>
                  <w:vAlign w:val="center"/>
                </w:tcPr>
                <w:p w14:paraId="2389DCAF">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氟化物</w:t>
                  </w:r>
                </w:p>
              </w:tc>
              <w:tc>
                <w:tcPr>
                  <w:tcW w:w="1729" w:type="dxa"/>
                  <w:shd w:val="clear" w:color="auto" w:fill="auto"/>
                  <w:noWrap w:val="0"/>
                  <w:vAlign w:val="center"/>
                </w:tcPr>
                <w:p w14:paraId="62839C92">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6</w:t>
                  </w:r>
                </w:p>
              </w:tc>
              <w:tc>
                <w:tcPr>
                  <w:tcW w:w="1593" w:type="dxa"/>
                  <w:vMerge w:val="continue"/>
                  <w:shd w:val="clear" w:color="auto" w:fill="auto"/>
                  <w:noWrap w:val="0"/>
                  <w:vAlign w:val="center"/>
                </w:tcPr>
                <w:p w14:paraId="54128067">
                  <w:pPr>
                    <w:pStyle w:val="6"/>
                    <w:spacing w:line="240" w:lineRule="exact"/>
                    <w:ind w:firstLine="0"/>
                    <w:jc w:val="center"/>
                    <w:rPr>
                      <w:rFonts w:hint="eastAsia"/>
                      <w:color w:val="000000"/>
                      <w:kern w:val="0"/>
                      <w:sz w:val="18"/>
                      <w:szCs w:val="18"/>
                    </w:rPr>
                  </w:pPr>
                </w:p>
              </w:tc>
              <w:tc>
                <w:tcPr>
                  <w:tcW w:w="1593" w:type="dxa"/>
                  <w:vMerge w:val="continue"/>
                  <w:shd w:val="clear" w:color="auto" w:fill="auto"/>
                  <w:noWrap w:val="0"/>
                  <w:vAlign w:val="center"/>
                </w:tcPr>
                <w:p w14:paraId="586678D1">
                  <w:pPr>
                    <w:pStyle w:val="6"/>
                    <w:spacing w:line="240" w:lineRule="exact"/>
                    <w:ind w:firstLine="0"/>
                    <w:jc w:val="center"/>
                    <w:rPr>
                      <w:rFonts w:hint="eastAsia"/>
                      <w:color w:val="000000"/>
                      <w:kern w:val="0"/>
                      <w:sz w:val="18"/>
                      <w:szCs w:val="18"/>
                    </w:rPr>
                  </w:pPr>
                </w:p>
              </w:tc>
            </w:tr>
          </w:tbl>
          <w:p w14:paraId="1C385678">
            <w:pPr>
              <w:pStyle w:val="48"/>
              <w:numPr>
                <w:ilvl w:val="2"/>
                <w:numId w:val="3"/>
              </w:numPr>
              <w:spacing w:line="500" w:lineRule="atLeast"/>
              <w:ind w:firstLineChars="0"/>
              <w:jc w:val="center"/>
              <w:rPr>
                <w:rFonts w:hint="eastAsia"/>
                <w:sz w:val="24"/>
                <w:lang w:val="en-US" w:eastAsia="zh-CN"/>
              </w:rPr>
            </w:pPr>
            <w:r>
              <w:rPr>
                <w:rFonts w:hint="eastAsia" w:ascii="Times New Roman" w:hAnsi="Times New Roman" w:eastAsia="宋体" w:cs="Times New Roman"/>
                <w:b/>
                <w:sz w:val="24"/>
                <w:lang w:val="en-US" w:eastAsia="zh-CN"/>
              </w:rPr>
              <w:t xml:space="preserve">企业边界大气污染物排放限值 </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350"/>
              <w:gridCol w:w="1455"/>
              <w:gridCol w:w="4404"/>
            </w:tblGrid>
            <w:tr w14:paraId="369A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 w:type="pct"/>
                  <w:shd w:val="clear" w:color="auto" w:fill="auto"/>
                  <w:noWrap w:val="0"/>
                  <w:vAlign w:val="center"/>
                </w:tcPr>
                <w:p w14:paraId="372708EA">
                  <w:pPr>
                    <w:jc w:val="center"/>
                    <w:rPr>
                      <w:rFonts w:hint="eastAsia"/>
                      <w:color w:val="000000"/>
                      <w:szCs w:val="21"/>
                      <w:lang w:val="en-US" w:eastAsia="zh-CN"/>
                    </w:rPr>
                  </w:pPr>
                  <w:r>
                    <w:rPr>
                      <w:rFonts w:hint="eastAsia"/>
                      <w:color w:val="000000"/>
                      <w:szCs w:val="21"/>
                      <w:lang w:val="en-US" w:eastAsia="zh-CN"/>
                    </w:rPr>
                    <w:t>序号</w:t>
                  </w:r>
                </w:p>
              </w:tc>
              <w:tc>
                <w:tcPr>
                  <w:tcW w:w="847" w:type="pct"/>
                  <w:shd w:val="clear" w:color="auto" w:fill="auto"/>
                  <w:noWrap w:val="0"/>
                  <w:vAlign w:val="center"/>
                </w:tcPr>
                <w:p w14:paraId="32DE75E7">
                  <w:pPr>
                    <w:jc w:val="center"/>
                    <w:rPr>
                      <w:rFonts w:hint="eastAsia"/>
                      <w:color w:val="000000"/>
                      <w:szCs w:val="21"/>
                      <w:lang w:val="en-US" w:eastAsia="zh-CN"/>
                    </w:rPr>
                  </w:pPr>
                  <w:r>
                    <w:rPr>
                      <w:rFonts w:hint="eastAsia"/>
                      <w:color w:val="000000"/>
                      <w:szCs w:val="21"/>
                      <w:lang w:val="en-US" w:eastAsia="zh-CN"/>
                    </w:rPr>
                    <w:t>污染物项目</w:t>
                  </w:r>
                </w:p>
              </w:tc>
              <w:tc>
                <w:tcPr>
                  <w:tcW w:w="913" w:type="pct"/>
                  <w:shd w:val="clear" w:color="auto" w:fill="auto"/>
                  <w:noWrap w:val="0"/>
                  <w:vAlign w:val="center"/>
                </w:tcPr>
                <w:p w14:paraId="0B84F0B1">
                  <w:pPr>
                    <w:jc w:val="center"/>
                    <w:rPr>
                      <w:rFonts w:hint="eastAsia"/>
                      <w:color w:val="000000"/>
                      <w:szCs w:val="21"/>
                      <w:lang w:val="en-US" w:eastAsia="zh-CN"/>
                    </w:rPr>
                  </w:pPr>
                  <w:r>
                    <w:rPr>
                      <w:rFonts w:hint="eastAsia"/>
                      <w:color w:val="000000"/>
                      <w:szCs w:val="21"/>
                      <w:lang w:val="en-US" w:eastAsia="zh-CN"/>
                    </w:rPr>
                    <w:t>限值</w:t>
                  </w:r>
                  <w:r>
                    <w:rPr>
                      <w:rFonts w:hint="eastAsia"/>
                      <w:color w:val="000000"/>
                      <w:szCs w:val="21"/>
                    </w:rPr>
                    <w:t>（</w:t>
                  </w:r>
                  <w:r>
                    <w:rPr>
                      <w:color w:val="000000"/>
                      <w:szCs w:val="21"/>
                    </w:rPr>
                    <w:t>mg/m</w:t>
                  </w:r>
                  <w:r>
                    <w:rPr>
                      <w:color w:val="000000"/>
                      <w:szCs w:val="21"/>
                      <w:vertAlign w:val="superscript"/>
                    </w:rPr>
                    <w:t>3</w:t>
                  </w:r>
                  <w:r>
                    <w:rPr>
                      <w:rFonts w:hint="eastAsia"/>
                      <w:color w:val="000000"/>
                      <w:szCs w:val="21"/>
                      <w:vertAlign w:val="baseline"/>
                    </w:rPr>
                    <w:t>）</w:t>
                  </w:r>
                </w:p>
              </w:tc>
              <w:tc>
                <w:tcPr>
                  <w:tcW w:w="2764" w:type="pct"/>
                  <w:shd w:val="clear" w:color="auto" w:fill="auto"/>
                  <w:noWrap w:val="0"/>
                  <w:vAlign w:val="center"/>
                </w:tcPr>
                <w:p w14:paraId="27E8BB73">
                  <w:pPr>
                    <w:jc w:val="center"/>
                    <w:rPr>
                      <w:rFonts w:hint="eastAsia"/>
                      <w:color w:val="000000"/>
                      <w:szCs w:val="21"/>
                      <w:lang w:val="en-US" w:eastAsia="zh-CN"/>
                    </w:rPr>
                  </w:pPr>
                  <w:r>
                    <w:rPr>
                      <w:rFonts w:hint="eastAsia"/>
                      <w:color w:val="000000"/>
                      <w:szCs w:val="21"/>
                      <w:lang w:val="en-US" w:eastAsia="zh-CN"/>
                    </w:rPr>
                    <w:t>标准来源</w:t>
                  </w:r>
                </w:p>
              </w:tc>
            </w:tr>
            <w:tr w14:paraId="2007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 w:type="pct"/>
                  <w:shd w:val="clear" w:color="auto" w:fill="auto"/>
                  <w:noWrap w:val="0"/>
                  <w:vAlign w:val="center"/>
                </w:tcPr>
                <w:p w14:paraId="4F0F7A60">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1</w:t>
                  </w:r>
                </w:p>
              </w:tc>
              <w:tc>
                <w:tcPr>
                  <w:tcW w:w="847" w:type="pct"/>
                  <w:shd w:val="clear" w:color="auto" w:fill="auto"/>
                  <w:noWrap w:val="0"/>
                  <w:vAlign w:val="center"/>
                </w:tcPr>
                <w:p w14:paraId="2DDB7362">
                  <w:pPr>
                    <w:jc w:val="center"/>
                    <w:rPr>
                      <w:rFonts w:hint="default"/>
                      <w:color w:val="000000"/>
                      <w:szCs w:val="21"/>
                      <w:lang w:val="en-US" w:eastAsia="zh-CN"/>
                    </w:rPr>
                  </w:pPr>
                  <w:r>
                    <w:rPr>
                      <w:rFonts w:hint="eastAsia"/>
                      <w:color w:val="000000"/>
                      <w:szCs w:val="21"/>
                      <w:lang w:val="en-US" w:eastAsia="zh-CN"/>
                    </w:rPr>
                    <w:t>颗粒物</w:t>
                  </w:r>
                </w:p>
              </w:tc>
              <w:tc>
                <w:tcPr>
                  <w:tcW w:w="913" w:type="pct"/>
                  <w:shd w:val="clear" w:color="auto" w:fill="auto"/>
                  <w:noWrap w:val="0"/>
                  <w:vAlign w:val="center"/>
                </w:tcPr>
                <w:p w14:paraId="3DE6D822">
                  <w:pPr>
                    <w:jc w:val="center"/>
                    <w:rPr>
                      <w:rFonts w:hint="default"/>
                      <w:color w:val="000000"/>
                      <w:szCs w:val="21"/>
                      <w:lang w:val="en-US" w:eastAsia="zh-CN"/>
                    </w:rPr>
                  </w:pPr>
                  <w:r>
                    <w:rPr>
                      <w:rFonts w:hint="eastAsia"/>
                      <w:color w:val="000000"/>
                      <w:szCs w:val="21"/>
                      <w:lang w:val="en-US" w:eastAsia="zh-CN"/>
                    </w:rPr>
                    <w:t>1.0</w:t>
                  </w:r>
                </w:p>
              </w:tc>
              <w:tc>
                <w:tcPr>
                  <w:tcW w:w="2764" w:type="pct"/>
                  <w:shd w:val="clear" w:color="auto" w:fill="auto"/>
                  <w:noWrap w:val="0"/>
                  <w:vAlign w:val="center"/>
                </w:tcPr>
                <w:p w14:paraId="638B8437">
                  <w:pPr>
                    <w:jc w:val="center"/>
                    <w:rPr>
                      <w:rFonts w:hint="eastAsia"/>
                      <w:color w:val="000000"/>
                      <w:szCs w:val="21"/>
                      <w:lang w:val="en-US" w:eastAsia="zh-CN"/>
                    </w:rPr>
                  </w:pPr>
                  <w:r>
                    <w:rPr>
                      <w:rFonts w:hint="eastAsia"/>
                      <w:color w:val="000000"/>
                      <w:szCs w:val="21"/>
                      <w:lang w:val="en-US" w:eastAsia="zh-CN"/>
                    </w:rPr>
                    <w:t>《大气污染物综合排放标准》（GB16297-1996）</w:t>
                  </w:r>
                </w:p>
              </w:tc>
            </w:tr>
          </w:tbl>
          <w:p w14:paraId="1F9322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Arial"/>
                <w:b/>
                <w:bCs/>
                <w:sz w:val="24"/>
              </w:rPr>
            </w:pPr>
            <w:r>
              <w:rPr>
                <w:rFonts w:hint="eastAsia" w:cs="Arial"/>
                <w:b/>
                <w:bCs/>
                <w:sz w:val="24"/>
              </w:rPr>
              <w:t>3、噪声</w:t>
            </w:r>
          </w:p>
          <w:p w14:paraId="7022EB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盛隆厂区北厂界和东厂界北段的厂界噪声执行《工业企业厂界环境噪声排放标准》（GB12348-2008）4类标准，其他厂界噪声执行3类标准，具体标准限值见表3-</w:t>
            </w:r>
            <w:r>
              <w:rPr>
                <w:rFonts w:hint="eastAsia"/>
                <w:sz w:val="24"/>
                <w:lang w:val="en-US" w:eastAsia="zh-CN"/>
              </w:rPr>
              <w:t>9</w:t>
            </w:r>
            <w:r>
              <w:rPr>
                <w:rFonts w:hint="eastAsia"/>
                <w:sz w:val="24"/>
              </w:rPr>
              <w:t>。</w:t>
            </w:r>
          </w:p>
          <w:p w14:paraId="08B46135">
            <w:pPr>
              <w:pStyle w:val="48"/>
              <w:numPr>
                <w:ilvl w:val="2"/>
                <w:numId w:val="3"/>
              </w:numPr>
              <w:spacing w:line="500" w:lineRule="atLeast"/>
              <w:ind w:firstLineChars="0"/>
              <w:jc w:val="center"/>
              <w:rPr>
                <w:b/>
                <w:sz w:val="24"/>
              </w:rPr>
            </w:pPr>
            <w:r>
              <w:rPr>
                <w:rFonts w:hint="eastAsia"/>
                <w:b/>
                <w:sz w:val="24"/>
              </w:rPr>
              <w:t>《工业企业厂界环境噪声排放标准》（GB12348-2008）</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2719"/>
              <w:gridCol w:w="2623"/>
            </w:tblGrid>
            <w:tr w14:paraId="3D0E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2" w:type="dxa"/>
                  <w:vMerge w:val="restart"/>
                  <w:vAlign w:val="center"/>
                </w:tcPr>
                <w:p w14:paraId="23A0D38F">
                  <w:pPr>
                    <w:spacing w:line="0" w:lineRule="atLeast"/>
                    <w:jc w:val="center"/>
                  </w:pPr>
                  <w:r>
                    <w:rPr>
                      <w:rFonts w:hint="eastAsia"/>
                    </w:rPr>
                    <w:t>标准类别</w:t>
                  </w:r>
                </w:p>
              </w:tc>
              <w:tc>
                <w:tcPr>
                  <w:tcW w:w="5342" w:type="dxa"/>
                  <w:gridSpan w:val="2"/>
                  <w:vAlign w:val="center"/>
                </w:tcPr>
                <w:p w14:paraId="79E6DC2F">
                  <w:pPr>
                    <w:spacing w:line="0" w:lineRule="atLeast"/>
                    <w:jc w:val="center"/>
                  </w:pPr>
                  <w:r>
                    <w:rPr>
                      <w:rFonts w:hint="eastAsia"/>
                    </w:rPr>
                    <w:t>标准值db（A）</w:t>
                  </w:r>
                </w:p>
              </w:tc>
            </w:tr>
            <w:tr w14:paraId="62A4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2" w:type="dxa"/>
                  <w:vMerge w:val="continue"/>
                  <w:vAlign w:val="center"/>
                </w:tcPr>
                <w:p w14:paraId="17C13633">
                  <w:pPr>
                    <w:spacing w:line="0" w:lineRule="atLeast"/>
                    <w:jc w:val="center"/>
                  </w:pPr>
                </w:p>
              </w:tc>
              <w:tc>
                <w:tcPr>
                  <w:tcW w:w="2719" w:type="dxa"/>
                  <w:vAlign w:val="center"/>
                </w:tcPr>
                <w:p w14:paraId="65A5A604">
                  <w:pPr>
                    <w:spacing w:line="0" w:lineRule="atLeast"/>
                    <w:jc w:val="center"/>
                  </w:pPr>
                  <w:r>
                    <w:rPr>
                      <w:rFonts w:hint="eastAsia"/>
                    </w:rPr>
                    <w:t>昼间</w:t>
                  </w:r>
                </w:p>
              </w:tc>
              <w:tc>
                <w:tcPr>
                  <w:tcW w:w="2623" w:type="dxa"/>
                  <w:vAlign w:val="center"/>
                </w:tcPr>
                <w:p w14:paraId="2255A113">
                  <w:pPr>
                    <w:spacing w:line="0" w:lineRule="atLeast"/>
                    <w:jc w:val="center"/>
                  </w:pPr>
                  <w:r>
                    <w:rPr>
                      <w:rFonts w:hint="eastAsia"/>
                    </w:rPr>
                    <w:t>夜间</w:t>
                  </w:r>
                </w:p>
              </w:tc>
            </w:tr>
            <w:tr w14:paraId="6871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2" w:type="dxa"/>
                  <w:vAlign w:val="center"/>
                </w:tcPr>
                <w:p w14:paraId="2EDAFEB0">
                  <w:pPr>
                    <w:spacing w:line="0" w:lineRule="atLeast"/>
                    <w:jc w:val="center"/>
                  </w:pPr>
                  <w:r>
                    <w:rPr>
                      <w:rFonts w:hint="eastAsia"/>
                      <w:lang w:val="en-US" w:eastAsia="zh-CN"/>
                    </w:rPr>
                    <w:t>3</w:t>
                  </w:r>
                  <w:r>
                    <w:rPr>
                      <w:rFonts w:hint="eastAsia"/>
                    </w:rPr>
                    <w:t>类</w:t>
                  </w:r>
                </w:p>
              </w:tc>
              <w:tc>
                <w:tcPr>
                  <w:tcW w:w="2719" w:type="dxa"/>
                  <w:vAlign w:val="center"/>
                </w:tcPr>
                <w:p w14:paraId="05579793">
                  <w:pPr>
                    <w:spacing w:line="0" w:lineRule="atLeast"/>
                    <w:jc w:val="center"/>
                    <w:rPr>
                      <w:rFonts w:hint="default" w:eastAsia="宋体"/>
                      <w:lang w:val="en-US" w:eastAsia="zh-CN"/>
                    </w:rPr>
                  </w:pPr>
                  <w:r>
                    <w:rPr>
                      <w:rFonts w:hint="eastAsia"/>
                      <w:lang w:val="en-US" w:eastAsia="zh-CN"/>
                    </w:rPr>
                    <w:t>65</w:t>
                  </w:r>
                </w:p>
              </w:tc>
              <w:tc>
                <w:tcPr>
                  <w:tcW w:w="2623" w:type="dxa"/>
                  <w:vAlign w:val="center"/>
                </w:tcPr>
                <w:p w14:paraId="5EF6DE23">
                  <w:pPr>
                    <w:spacing w:line="0" w:lineRule="atLeast"/>
                    <w:jc w:val="center"/>
                    <w:rPr>
                      <w:rFonts w:hint="default" w:eastAsia="宋体"/>
                      <w:lang w:val="en-US" w:eastAsia="zh-CN"/>
                    </w:rPr>
                  </w:pPr>
                  <w:r>
                    <w:rPr>
                      <w:rFonts w:hint="eastAsia"/>
                      <w:lang w:val="en-US" w:eastAsia="zh-CN"/>
                    </w:rPr>
                    <w:t>55</w:t>
                  </w:r>
                </w:p>
              </w:tc>
            </w:tr>
            <w:tr w14:paraId="18F5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2" w:type="dxa"/>
                  <w:vAlign w:val="center"/>
                </w:tcPr>
                <w:p w14:paraId="1B65D427">
                  <w:pPr>
                    <w:spacing w:line="0" w:lineRule="atLeast"/>
                    <w:jc w:val="center"/>
                  </w:pPr>
                  <w:r>
                    <w:rPr>
                      <w:rFonts w:hint="eastAsia"/>
                    </w:rPr>
                    <w:t>4类</w:t>
                  </w:r>
                </w:p>
              </w:tc>
              <w:tc>
                <w:tcPr>
                  <w:tcW w:w="2719" w:type="dxa"/>
                  <w:vAlign w:val="center"/>
                </w:tcPr>
                <w:p w14:paraId="4ECA940C">
                  <w:pPr>
                    <w:spacing w:line="0" w:lineRule="atLeast"/>
                    <w:jc w:val="center"/>
                  </w:pPr>
                  <w:r>
                    <w:rPr>
                      <w:rFonts w:hint="eastAsia"/>
                    </w:rPr>
                    <w:t>70</w:t>
                  </w:r>
                </w:p>
              </w:tc>
              <w:tc>
                <w:tcPr>
                  <w:tcW w:w="2623" w:type="dxa"/>
                  <w:vAlign w:val="center"/>
                </w:tcPr>
                <w:p w14:paraId="1975DED9">
                  <w:pPr>
                    <w:spacing w:line="0" w:lineRule="atLeast"/>
                    <w:jc w:val="center"/>
                  </w:pPr>
                  <w:r>
                    <w:rPr>
                      <w:rFonts w:hint="eastAsia"/>
                    </w:rPr>
                    <w:t>55</w:t>
                  </w:r>
                </w:p>
              </w:tc>
            </w:tr>
          </w:tbl>
          <w:p w14:paraId="2C250339">
            <w:pPr>
              <w:spacing w:line="360" w:lineRule="auto"/>
              <w:ind w:firstLine="482" w:firstLineChars="200"/>
              <w:rPr>
                <w:rFonts w:ascii="Arial" w:hAnsi="Arial" w:cs="Arial"/>
                <w:b/>
                <w:spacing w:val="10"/>
                <w:sz w:val="24"/>
                <w:szCs w:val="20"/>
              </w:rPr>
            </w:pPr>
            <w:r>
              <w:rPr>
                <w:rFonts w:hint="eastAsia" w:cs="Arial"/>
                <w:b/>
                <w:bCs/>
                <w:sz w:val="24"/>
              </w:rPr>
              <w:t>4、</w:t>
            </w:r>
            <w:r>
              <w:rPr>
                <w:rFonts w:cs="Arial"/>
                <w:b/>
                <w:bCs/>
                <w:sz w:val="24"/>
              </w:rPr>
              <w:t xml:space="preserve"> 固体废物</w:t>
            </w:r>
          </w:p>
          <w:p w14:paraId="0CF521F8">
            <w:pPr>
              <w:spacing w:line="360" w:lineRule="auto"/>
              <w:ind w:firstLine="480" w:firstLineChars="200"/>
              <w:rPr>
                <w:sz w:val="24"/>
              </w:rPr>
            </w:pPr>
            <w:r>
              <w:rPr>
                <w:rFonts w:hint="eastAsia"/>
                <w:sz w:val="24"/>
              </w:rPr>
              <w:t>本项目运营过程中产生的一般</w:t>
            </w:r>
            <w:r>
              <w:rPr>
                <w:rFonts w:hint="eastAsia"/>
                <w:sz w:val="24"/>
                <w:lang w:val="en-US" w:eastAsia="zh-CN"/>
              </w:rPr>
              <w:t>工业</w:t>
            </w:r>
            <w:r>
              <w:rPr>
                <w:rFonts w:hint="eastAsia"/>
                <w:sz w:val="24"/>
              </w:rPr>
              <w:t>固废</w:t>
            </w:r>
            <w:r>
              <w:rPr>
                <w:rFonts w:hint="eastAsia"/>
                <w:sz w:val="24"/>
                <w:lang w:val="en-US" w:eastAsia="zh-CN"/>
              </w:rPr>
              <w:t>执行</w:t>
            </w:r>
            <w:r>
              <w:rPr>
                <w:rFonts w:hint="eastAsia"/>
                <w:sz w:val="24"/>
              </w:rPr>
              <w:t>《一般工业固体废物贮存和填埋污染控制标准》（GB18599-2020）。危险废物贮存执行</w:t>
            </w:r>
            <w:r>
              <w:rPr>
                <w:rFonts w:hint="eastAsia"/>
                <w:bCs/>
                <w:sz w:val="24"/>
              </w:rPr>
              <w:t>《危险废物贮存污染控制标准》（GB18597-2023）</w:t>
            </w:r>
            <w:r>
              <w:rPr>
                <w:rFonts w:hint="eastAsia"/>
                <w:sz w:val="24"/>
              </w:rPr>
              <w:t>。</w:t>
            </w:r>
          </w:p>
        </w:tc>
      </w:tr>
      <w:tr w14:paraId="6B37D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14:paraId="08E1A5FA">
            <w:pPr>
              <w:adjustRightInd w:val="0"/>
              <w:snapToGrid w:val="0"/>
              <w:jc w:val="center"/>
              <w:rPr>
                <w:rFonts w:ascii="宋体" w:hAnsi="宋体" w:cs="宋体"/>
                <w:kern w:val="0"/>
                <w:szCs w:val="21"/>
              </w:rPr>
            </w:pPr>
            <w:r>
              <w:rPr>
                <w:rFonts w:hint="eastAsia" w:ascii="宋体" w:hAnsi="宋体" w:cs="宋体"/>
                <w:kern w:val="0"/>
                <w:szCs w:val="21"/>
              </w:rPr>
              <w:t>总量</w:t>
            </w:r>
          </w:p>
          <w:p w14:paraId="36B8B3BB">
            <w:pPr>
              <w:adjustRightInd w:val="0"/>
              <w:snapToGrid w:val="0"/>
              <w:jc w:val="center"/>
              <w:rPr>
                <w:rFonts w:ascii="宋体" w:hAnsi="宋体" w:cs="宋体"/>
                <w:kern w:val="0"/>
                <w:szCs w:val="21"/>
              </w:rPr>
            </w:pPr>
            <w:r>
              <w:rPr>
                <w:rFonts w:hint="eastAsia" w:ascii="宋体" w:hAnsi="宋体" w:cs="宋体"/>
                <w:kern w:val="0"/>
                <w:szCs w:val="21"/>
              </w:rPr>
              <w:t>控制</w:t>
            </w:r>
          </w:p>
          <w:p w14:paraId="0DB71B27">
            <w:pPr>
              <w:adjustRightInd w:val="0"/>
              <w:snapToGrid w:val="0"/>
              <w:jc w:val="center"/>
              <w:rPr>
                <w:rFonts w:ascii="宋体" w:hAnsi="宋体" w:cs="宋体"/>
                <w:kern w:val="0"/>
                <w:szCs w:val="21"/>
              </w:rPr>
            </w:pPr>
            <w:r>
              <w:rPr>
                <w:rFonts w:hint="eastAsia" w:ascii="宋体" w:hAnsi="宋体" w:cs="宋体"/>
                <w:kern w:val="0"/>
                <w:szCs w:val="21"/>
              </w:rPr>
              <w:t>指标</w:t>
            </w:r>
          </w:p>
        </w:tc>
        <w:tc>
          <w:tcPr>
            <w:tcW w:w="8190" w:type="dxa"/>
            <w:vAlign w:val="center"/>
          </w:tcPr>
          <w:p w14:paraId="40241EAB">
            <w:pPr>
              <w:spacing w:line="360" w:lineRule="auto"/>
              <w:ind w:firstLine="480" w:firstLineChars="200"/>
              <w:rPr>
                <w:rFonts w:hint="eastAsia" w:ascii="Times New Roman" w:hAnsi="Times New Roman" w:eastAsia="宋体" w:cs="Times New Roman"/>
                <w:sz w:val="24"/>
                <w:highlight w:val="yellow"/>
              </w:rPr>
            </w:pPr>
            <w:r>
              <w:rPr>
                <w:rFonts w:hint="eastAsia" w:ascii="Times New Roman" w:hAnsi="Times New Roman" w:eastAsia="宋体" w:cs="Times New Roman"/>
                <w:sz w:val="24"/>
              </w:rPr>
              <w:t>结合项目工艺及排污特点：项目运营期间</w:t>
            </w:r>
            <w:r>
              <w:rPr>
                <w:rFonts w:hint="eastAsia" w:ascii="Times New Roman" w:hAnsi="Times New Roman" w:eastAsia="宋体" w:cs="Times New Roman"/>
                <w:sz w:val="24"/>
                <w:lang w:val="en-US" w:eastAsia="zh-CN"/>
              </w:rPr>
              <w:t>无废水外排</w:t>
            </w:r>
            <w:r>
              <w:rPr>
                <w:rFonts w:hint="eastAsia" w:ascii="Times New Roman" w:hAnsi="Times New Roman" w:eastAsia="宋体" w:cs="Times New Roman"/>
                <w:sz w:val="24"/>
              </w:rPr>
              <w:t>，无需申请COD、NH</w:t>
            </w:r>
            <w:r>
              <w:rPr>
                <w:rFonts w:hint="eastAsia" w:ascii="Times New Roman" w:hAnsi="Times New Roman" w:eastAsia="宋体" w:cs="Times New Roman"/>
                <w:sz w:val="24"/>
                <w:vertAlign w:val="subscript"/>
              </w:rPr>
              <w:t>3</w:t>
            </w:r>
            <w:r>
              <w:rPr>
                <w:rFonts w:hint="eastAsia" w:ascii="Times New Roman" w:hAnsi="Times New Roman" w:eastAsia="宋体" w:cs="Times New Roman"/>
                <w:sz w:val="24"/>
              </w:rPr>
              <w:t>-N等水污染物总量控制指标，</w:t>
            </w:r>
            <w:r>
              <w:rPr>
                <w:rFonts w:hint="eastAsia" w:ascii="Times New Roman" w:hAnsi="Times New Roman" w:eastAsia="宋体" w:cs="Times New Roman"/>
                <w:sz w:val="24"/>
                <w:highlight w:val="none"/>
              </w:rPr>
              <w:t>废气建议总量控制指标为</w:t>
            </w:r>
            <w:r>
              <w:rPr>
                <w:rFonts w:hint="eastAsia" w:cs="Times New Roman"/>
                <w:sz w:val="24"/>
                <w:highlight w:val="none"/>
                <w:lang w:val="en-US" w:eastAsia="zh-CN"/>
              </w:rPr>
              <w:t>颗粒物</w:t>
            </w:r>
            <w:r>
              <w:rPr>
                <w:rFonts w:hint="eastAsia" w:ascii="Times New Roman" w:hAnsi="Times New Roman" w:eastAsia="宋体" w:cs="Times New Roman"/>
                <w:sz w:val="24"/>
                <w:highlight w:val="none"/>
              </w:rPr>
              <w:t>：</w:t>
            </w:r>
            <w:r>
              <w:rPr>
                <w:rFonts w:hint="eastAsia" w:cs="Times New Roman"/>
                <w:sz w:val="24"/>
                <w:highlight w:val="none"/>
                <w:lang w:val="en-US" w:eastAsia="zh-CN"/>
              </w:rPr>
              <w:t>5.04</w:t>
            </w:r>
            <w:r>
              <w:rPr>
                <w:rFonts w:hint="eastAsia" w:ascii="Times New Roman" w:hAnsi="Times New Roman" w:eastAsia="宋体" w:cs="Times New Roman"/>
                <w:sz w:val="24"/>
                <w:highlight w:val="none"/>
              </w:rPr>
              <w:t>t/a</w:t>
            </w:r>
            <w:r>
              <w:rPr>
                <w:rFonts w:hint="eastAsia" w:cs="Times New Roman"/>
                <w:sz w:val="24"/>
                <w:highlight w:val="none"/>
                <w:lang w:eastAsia="zh-CN"/>
              </w:rPr>
              <w:t>、</w:t>
            </w:r>
            <w:r>
              <w:rPr>
                <w:rFonts w:hint="eastAsia" w:cs="Times New Roman"/>
                <w:sz w:val="24"/>
                <w:highlight w:val="none"/>
                <w:lang w:val="en-US" w:eastAsia="zh-CN"/>
              </w:rPr>
              <w:t>二氧化硫：32.01t/a、氮氧化物：16.08t/a</w:t>
            </w:r>
            <w:r>
              <w:rPr>
                <w:rFonts w:hint="eastAsia" w:ascii="Times New Roman" w:hAnsi="Times New Roman" w:eastAsia="宋体" w:cs="Times New Roman"/>
                <w:sz w:val="24"/>
                <w:highlight w:val="none"/>
              </w:rPr>
              <w:t>。</w:t>
            </w:r>
          </w:p>
          <w:p w14:paraId="77D07D59">
            <w:pPr>
              <w:spacing w:line="360" w:lineRule="auto"/>
              <w:jc w:val="center"/>
              <w:rPr>
                <w:rFonts w:hAnsi="Arial"/>
                <w:bCs/>
                <w:sz w:val="24"/>
              </w:rPr>
            </w:pPr>
          </w:p>
        </w:tc>
      </w:tr>
    </w:tbl>
    <w:p w14:paraId="737EE89E">
      <w:pPr>
        <w:tabs>
          <w:tab w:val="left" w:pos="3225"/>
        </w:tabs>
        <w:spacing w:line="500" w:lineRule="exact"/>
        <w:outlineLvl w:val="0"/>
        <w:rPr>
          <w:rFonts w:ascii="黑体" w:hAnsi="黑体" w:eastAsia="黑体"/>
          <w:snapToGrid w:val="0"/>
          <w:sz w:val="30"/>
          <w:szCs w:val="30"/>
        </w:rPr>
      </w:pPr>
      <w:r>
        <w:rPr>
          <w:rFonts w:ascii="黑体" w:hAnsi="黑体" w:eastAsia="黑体"/>
          <w:snapToGrid w:val="0"/>
          <w:sz w:val="36"/>
          <w:szCs w:val="36"/>
        </w:rPr>
        <w:br w:type="page"/>
      </w:r>
      <w:bookmarkStart w:id="6" w:name="_Toc66883322"/>
      <w:r>
        <w:rPr>
          <w:rFonts w:hint="eastAsia" w:ascii="Calibri" w:hAnsi="Calibri" w:cs="Arial"/>
          <w:b/>
          <w:kern w:val="44"/>
          <w:sz w:val="28"/>
          <w:szCs w:val="28"/>
        </w:rPr>
        <w:t>四、主要环境影响和保护措施</w:t>
      </w:r>
      <w:bookmarkEnd w:id="6"/>
    </w:p>
    <w:tbl>
      <w:tblPr>
        <w:tblStyle w:val="23"/>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52904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46" w:type="dxa"/>
            <w:tcMar>
              <w:left w:w="28" w:type="dxa"/>
              <w:right w:w="28" w:type="dxa"/>
            </w:tcMar>
            <w:vAlign w:val="center"/>
          </w:tcPr>
          <w:p w14:paraId="1B7DF717">
            <w:pPr>
              <w:pStyle w:val="19"/>
              <w:adjustRightInd w:val="0"/>
              <w:snapToGrid w:val="0"/>
              <w:spacing w:before="0" w:beforeAutospacing="0" w:after="0" w:afterAutospacing="0"/>
              <w:jc w:val="center"/>
              <w:rPr>
                <w:rFonts w:cs="宋体"/>
                <w:kern w:val="2"/>
                <w:sz w:val="21"/>
                <w:szCs w:val="21"/>
              </w:rPr>
            </w:pPr>
            <w:r>
              <w:rPr>
                <w:rFonts w:hint="eastAsia" w:cs="宋体"/>
                <w:kern w:val="2"/>
                <w:sz w:val="21"/>
                <w:szCs w:val="21"/>
              </w:rPr>
              <w:t>施工</w:t>
            </w:r>
          </w:p>
          <w:p w14:paraId="5C3D5BFA">
            <w:pPr>
              <w:pStyle w:val="19"/>
              <w:adjustRightInd w:val="0"/>
              <w:snapToGrid w:val="0"/>
              <w:spacing w:before="0" w:beforeAutospacing="0" w:after="0" w:afterAutospacing="0"/>
              <w:jc w:val="center"/>
              <w:rPr>
                <w:rFonts w:cs="宋体"/>
                <w:kern w:val="2"/>
                <w:sz w:val="21"/>
                <w:szCs w:val="21"/>
              </w:rPr>
            </w:pPr>
            <w:r>
              <w:rPr>
                <w:rFonts w:hint="eastAsia" w:cs="宋体"/>
                <w:kern w:val="2"/>
                <w:sz w:val="21"/>
                <w:szCs w:val="21"/>
              </w:rPr>
              <w:t>期环</w:t>
            </w:r>
          </w:p>
          <w:p w14:paraId="4AEF807E">
            <w:pPr>
              <w:pStyle w:val="19"/>
              <w:adjustRightInd w:val="0"/>
              <w:snapToGrid w:val="0"/>
              <w:spacing w:before="0" w:beforeAutospacing="0" w:after="0" w:afterAutospacing="0"/>
              <w:jc w:val="center"/>
              <w:rPr>
                <w:rFonts w:cs="宋体"/>
                <w:kern w:val="2"/>
                <w:sz w:val="21"/>
                <w:szCs w:val="21"/>
              </w:rPr>
            </w:pPr>
            <w:r>
              <w:rPr>
                <w:rFonts w:hint="eastAsia" w:cs="宋体"/>
                <w:kern w:val="2"/>
                <w:sz w:val="21"/>
                <w:szCs w:val="21"/>
              </w:rPr>
              <w:t>境保</w:t>
            </w:r>
          </w:p>
          <w:p w14:paraId="5824F6EE">
            <w:pPr>
              <w:pStyle w:val="19"/>
              <w:adjustRightInd w:val="0"/>
              <w:snapToGrid w:val="0"/>
              <w:spacing w:before="0" w:beforeAutospacing="0" w:after="0" w:afterAutospacing="0"/>
              <w:jc w:val="center"/>
              <w:rPr>
                <w:rFonts w:cs="宋体"/>
                <w:kern w:val="2"/>
                <w:sz w:val="21"/>
                <w:szCs w:val="21"/>
              </w:rPr>
            </w:pPr>
            <w:r>
              <w:rPr>
                <w:rFonts w:hint="eastAsia" w:cs="宋体"/>
                <w:kern w:val="2"/>
                <w:sz w:val="21"/>
                <w:szCs w:val="21"/>
              </w:rPr>
              <w:t>护措</w:t>
            </w:r>
          </w:p>
          <w:p w14:paraId="08030C23">
            <w:pPr>
              <w:pStyle w:val="19"/>
              <w:adjustRightInd w:val="0"/>
              <w:snapToGrid w:val="0"/>
              <w:spacing w:before="0" w:beforeAutospacing="0" w:after="0" w:afterAutospacing="0"/>
              <w:jc w:val="center"/>
              <w:rPr>
                <w:rFonts w:cs="宋体"/>
                <w:bCs/>
                <w:kern w:val="2"/>
                <w:sz w:val="21"/>
                <w:szCs w:val="21"/>
              </w:rPr>
            </w:pPr>
            <w:r>
              <w:rPr>
                <w:rFonts w:hint="eastAsia" w:cs="宋体"/>
                <w:kern w:val="2"/>
                <w:sz w:val="21"/>
                <w:szCs w:val="21"/>
              </w:rPr>
              <w:t>施</w:t>
            </w:r>
          </w:p>
        </w:tc>
        <w:tc>
          <w:tcPr>
            <w:tcW w:w="8162" w:type="dxa"/>
            <w:vAlign w:val="center"/>
          </w:tcPr>
          <w:p w14:paraId="69F7B40B">
            <w:pPr>
              <w:spacing w:line="500" w:lineRule="exact"/>
              <w:ind w:firstLine="470" w:firstLineChars="196"/>
              <w:rPr>
                <w:rFonts w:hint="eastAsia" w:hAnsi="宋体" w:eastAsia="宋体"/>
                <w:sz w:val="24"/>
                <w:lang w:eastAsia="zh-CN"/>
              </w:rPr>
            </w:pPr>
            <w:r>
              <w:rPr>
                <w:rFonts w:hint="eastAsia" w:hAnsi="宋体"/>
                <w:color w:val="auto"/>
                <w:sz w:val="24"/>
                <w:lang w:val="en-US" w:eastAsia="zh-CN"/>
              </w:rPr>
              <w:t>根据现场勘查，项目利用现有厂房建设，施工期主要进行电气综合楼建设及设备安装等，目前</w:t>
            </w:r>
            <w:r>
              <w:rPr>
                <w:rFonts w:hint="eastAsia" w:hAnsi="宋体"/>
                <w:color w:val="auto"/>
                <w:sz w:val="24"/>
              </w:rPr>
              <w:t>电气综合楼已建设完成，主要生产设备正在安装中</w:t>
            </w:r>
            <w:r>
              <w:rPr>
                <w:rFonts w:hint="eastAsia" w:hAnsi="宋体"/>
                <w:color w:val="auto"/>
                <w:sz w:val="24"/>
                <w:lang w:eastAsia="zh-CN"/>
              </w:rPr>
              <w:t>。根据回顾调查，施工期间未发生环境污染事件及投诉情</w:t>
            </w:r>
            <w:r>
              <w:rPr>
                <w:rFonts w:hint="eastAsia" w:hAnsi="宋体"/>
                <w:color w:val="auto"/>
                <w:sz w:val="24"/>
                <w:lang w:val="en-US" w:eastAsia="zh-CN"/>
              </w:rPr>
              <w:t>况</w:t>
            </w:r>
            <w:r>
              <w:rPr>
                <w:rFonts w:hint="eastAsia" w:hAnsi="宋体"/>
                <w:color w:val="auto"/>
                <w:sz w:val="24"/>
                <w:lang w:eastAsia="zh-CN"/>
              </w:rPr>
              <w:t>。</w:t>
            </w:r>
            <w:r>
              <w:rPr>
                <w:rFonts w:hint="eastAsia" w:hAnsi="宋体"/>
                <w:color w:val="auto"/>
                <w:sz w:val="24"/>
              </w:rPr>
              <w:t>施工期主要环保措施见表4-1</w:t>
            </w:r>
            <w:r>
              <w:rPr>
                <w:rFonts w:hint="eastAsia" w:hAnsi="宋体"/>
                <w:color w:val="auto"/>
                <w:sz w:val="24"/>
                <w:lang w:eastAsia="zh-CN"/>
              </w:rPr>
              <w:t>，</w:t>
            </w:r>
          </w:p>
          <w:p w14:paraId="277F31C0">
            <w:pPr>
              <w:pStyle w:val="48"/>
              <w:numPr>
                <w:ilvl w:val="2"/>
                <w:numId w:val="4"/>
              </w:numPr>
              <w:spacing w:line="500" w:lineRule="atLeast"/>
              <w:ind w:firstLineChars="0"/>
              <w:jc w:val="center"/>
              <w:rPr>
                <w:rFonts w:hint="eastAsia" w:hAnsi="宋体"/>
                <w:sz w:val="24"/>
              </w:rPr>
            </w:pPr>
            <w:r>
              <w:rPr>
                <w:rFonts w:hint="eastAsia"/>
                <w:b/>
                <w:sz w:val="24"/>
              </w:rPr>
              <w:t>施工期环境保护措施一览表</w:t>
            </w:r>
          </w:p>
          <w:tbl>
            <w:tblPr>
              <w:tblStyle w:val="23"/>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7045"/>
            </w:tblGrid>
            <w:tr w14:paraId="388B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6" w:type="pct"/>
                  <w:vAlign w:val="center"/>
                </w:tcPr>
                <w:p w14:paraId="31FFA2A4">
                  <w:pPr>
                    <w:overflowPunct w:val="0"/>
                    <w:autoSpaceDE w:val="0"/>
                    <w:autoSpaceDN w:val="0"/>
                    <w:jc w:val="center"/>
                    <w:textAlignment w:val="baseline"/>
                    <w:rPr>
                      <w:b/>
                      <w:bCs/>
                      <w:color w:val="auto"/>
                      <w:szCs w:val="21"/>
                    </w:rPr>
                  </w:pPr>
                  <w:r>
                    <w:rPr>
                      <w:b/>
                      <w:bCs/>
                      <w:color w:val="auto"/>
                      <w:szCs w:val="21"/>
                    </w:rPr>
                    <w:t>污染物</w:t>
                  </w:r>
                </w:p>
              </w:tc>
              <w:tc>
                <w:tcPr>
                  <w:tcW w:w="4444" w:type="pct"/>
                  <w:vAlign w:val="center"/>
                </w:tcPr>
                <w:p w14:paraId="30507745">
                  <w:pPr>
                    <w:overflowPunct w:val="0"/>
                    <w:autoSpaceDE w:val="0"/>
                    <w:autoSpaceDN w:val="0"/>
                    <w:jc w:val="center"/>
                    <w:textAlignment w:val="baseline"/>
                    <w:rPr>
                      <w:b/>
                      <w:bCs/>
                      <w:color w:val="auto"/>
                      <w:szCs w:val="21"/>
                    </w:rPr>
                  </w:pPr>
                  <w:r>
                    <w:rPr>
                      <w:b/>
                      <w:bCs/>
                      <w:color w:val="auto"/>
                      <w:szCs w:val="21"/>
                    </w:rPr>
                    <w:t>采取环保措施</w:t>
                  </w:r>
                </w:p>
              </w:tc>
            </w:tr>
            <w:tr w14:paraId="097E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6" w:type="pct"/>
                  <w:vAlign w:val="center"/>
                </w:tcPr>
                <w:p w14:paraId="789C5FB8">
                  <w:pPr>
                    <w:jc w:val="center"/>
                    <w:rPr>
                      <w:bCs/>
                      <w:color w:val="auto"/>
                      <w:spacing w:val="-6"/>
                      <w:szCs w:val="21"/>
                    </w:rPr>
                  </w:pPr>
                  <w:r>
                    <w:rPr>
                      <w:bCs/>
                      <w:color w:val="auto"/>
                      <w:spacing w:val="-6"/>
                      <w:szCs w:val="21"/>
                    </w:rPr>
                    <w:t>废水</w:t>
                  </w:r>
                </w:p>
              </w:tc>
              <w:tc>
                <w:tcPr>
                  <w:tcW w:w="4444" w:type="pct"/>
                  <w:vAlign w:val="center"/>
                </w:tcPr>
                <w:p w14:paraId="0C66E2D1">
                  <w:pPr>
                    <w:pStyle w:val="54"/>
                    <w:spacing w:beforeLines="0"/>
                    <w:jc w:val="both"/>
                    <w:rPr>
                      <w:rFonts w:hint="eastAsia" w:eastAsia="宋体"/>
                      <w:color w:val="auto"/>
                      <w:szCs w:val="21"/>
                      <w:lang w:eastAsia="zh-CN"/>
                    </w:rPr>
                  </w:pPr>
                  <w:r>
                    <w:rPr>
                      <w:rFonts w:hint="eastAsia" w:eastAsia="宋体"/>
                      <w:color w:val="auto"/>
                      <w:szCs w:val="21"/>
                    </w:rPr>
                    <w:t>①</w:t>
                  </w:r>
                  <w:r>
                    <w:rPr>
                      <w:rFonts w:eastAsia="宋体"/>
                      <w:color w:val="auto"/>
                      <w:szCs w:val="21"/>
                    </w:rPr>
                    <w:t>生活污水经</w:t>
                  </w:r>
                  <w:r>
                    <w:rPr>
                      <w:rFonts w:hint="eastAsia" w:eastAsia="宋体"/>
                      <w:color w:val="auto"/>
                      <w:szCs w:val="21"/>
                      <w:lang w:val="en-US" w:eastAsia="zh-CN"/>
                    </w:rPr>
                    <w:t>现有污水处理站</w:t>
                  </w:r>
                  <w:r>
                    <w:rPr>
                      <w:rFonts w:eastAsia="宋体"/>
                      <w:color w:val="auto"/>
                      <w:szCs w:val="21"/>
                    </w:rPr>
                    <w:t>处理</w:t>
                  </w:r>
                  <w:r>
                    <w:rPr>
                      <w:rFonts w:hint="eastAsia" w:eastAsia="宋体"/>
                      <w:color w:val="auto"/>
                      <w:szCs w:val="21"/>
                      <w:lang w:val="en-US" w:eastAsia="zh-CN"/>
                    </w:rPr>
                    <w:t>后回用</w:t>
                  </w:r>
                  <w:r>
                    <w:rPr>
                      <w:rFonts w:hint="eastAsia" w:eastAsia="宋体"/>
                      <w:color w:val="auto"/>
                      <w:szCs w:val="21"/>
                      <w:lang w:eastAsia="zh-CN"/>
                    </w:rPr>
                    <w:t>；</w:t>
                  </w:r>
                </w:p>
                <w:p w14:paraId="317BAA7E">
                  <w:pPr>
                    <w:pStyle w:val="54"/>
                    <w:spacing w:beforeLines="0"/>
                    <w:jc w:val="both"/>
                    <w:rPr>
                      <w:rFonts w:eastAsia="宋体"/>
                      <w:color w:val="auto"/>
                      <w:szCs w:val="21"/>
                    </w:rPr>
                  </w:pPr>
                  <w:r>
                    <w:rPr>
                      <w:rFonts w:hint="eastAsia" w:eastAsia="宋体"/>
                      <w:color w:val="auto"/>
                      <w:szCs w:val="21"/>
                    </w:rPr>
                    <w:t>②</w:t>
                  </w:r>
                  <w:r>
                    <w:rPr>
                      <w:rFonts w:hint="eastAsia" w:eastAsia="宋体"/>
                      <w:color w:val="auto"/>
                      <w:szCs w:val="21"/>
                      <w:lang w:val="en-US" w:eastAsia="zh-CN"/>
                    </w:rPr>
                    <w:t>施工废水</w:t>
                  </w:r>
                  <w:r>
                    <w:rPr>
                      <w:rFonts w:hint="eastAsia" w:eastAsia="宋体"/>
                      <w:color w:val="auto"/>
                      <w:szCs w:val="21"/>
                    </w:rPr>
                    <w:t>入</w:t>
                  </w:r>
                  <w:r>
                    <w:rPr>
                      <w:rFonts w:hint="eastAsia" w:eastAsia="宋体"/>
                      <w:color w:val="auto"/>
                      <w:szCs w:val="21"/>
                      <w:lang w:val="en-US" w:eastAsia="zh-CN"/>
                    </w:rPr>
                    <w:t>临时</w:t>
                  </w:r>
                  <w:r>
                    <w:rPr>
                      <w:rFonts w:hint="eastAsia" w:eastAsia="宋体"/>
                      <w:color w:val="auto"/>
                      <w:szCs w:val="21"/>
                    </w:rPr>
                    <w:t>沉淀池处理后用于场地降尘、不外排，设置截排水沟。</w:t>
                  </w:r>
                </w:p>
              </w:tc>
            </w:tr>
            <w:tr w14:paraId="47C7A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6" w:type="pct"/>
                  <w:vAlign w:val="center"/>
                </w:tcPr>
                <w:p w14:paraId="7DF797D1">
                  <w:pPr>
                    <w:jc w:val="center"/>
                    <w:rPr>
                      <w:bCs/>
                      <w:color w:val="auto"/>
                      <w:spacing w:val="-6"/>
                      <w:szCs w:val="21"/>
                    </w:rPr>
                  </w:pPr>
                  <w:r>
                    <w:rPr>
                      <w:bCs/>
                      <w:color w:val="auto"/>
                      <w:spacing w:val="-6"/>
                      <w:szCs w:val="21"/>
                    </w:rPr>
                    <w:t>废气</w:t>
                  </w:r>
                </w:p>
              </w:tc>
              <w:tc>
                <w:tcPr>
                  <w:tcW w:w="4444" w:type="pct"/>
                  <w:vAlign w:val="center"/>
                </w:tcPr>
                <w:p w14:paraId="19425445">
                  <w:pPr>
                    <w:pStyle w:val="54"/>
                    <w:adjustRightInd w:val="0"/>
                    <w:snapToGrid w:val="0"/>
                    <w:spacing w:beforeLines="0"/>
                    <w:jc w:val="both"/>
                    <w:rPr>
                      <w:rFonts w:ascii="Arial" w:hAnsi="Arial" w:eastAsia="宋体" w:cs="Arial"/>
                      <w:szCs w:val="21"/>
                    </w:rPr>
                  </w:pPr>
                  <w:r>
                    <w:rPr>
                      <w:rFonts w:hint="eastAsia" w:ascii="宋体" w:hAnsi="宋体" w:eastAsia="宋体" w:cs="宋体"/>
                      <w:szCs w:val="21"/>
                    </w:rPr>
                    <w:t>①</w:t>
                  </w:r>
                  <w:r>
                    <w:rPr>
                      <w:rFonts w:ascii="Arial" w:hAnsi="Arial" w:eastAsia="宋体" w:cs="Arial"/>
                      <w:szCs w:val="21"/>
                    </w:rPr>
                    <w:t>设置施工围墙，场地加强洒水降尘；</w:t>
                  </w:r>
                </w:p>
                <w:p w14:paraId="793F6201">
                  <w:pPr>
                    <w:pStyle w:val="54"/>
                    <w:adjustRightInd w:val="0"/>
                    <w:snapToGrid w:val="0"/>
                    <w:spacing w:beforeLines="0"/>
                    <w:jc w:val="both"/>
                    <w:rPr>
                      <w:rFonts w:ascii="Arial" w:hAnsi="Arial" w:eastAsia="宋体" w:cs="Arial"/>
                      <w:szCs w:val="21"/>
                    </w:rPr>
                  </w:pPr>
                  <w:r>
                    <w:rPr>
                      <w:rFonts w:hint="eastAsia" w:ascii="宋体" w:hAnsi="宋体" w:eastAsia="宋体" w:cs="宋体"/>
                      <w:szCs w:val="21"/>
                    </w:rPr>
                    <w:t>②</w:t>
                  </w:r>
                  <w:r>
                    <w:rPr>
                      <w:rFonts w:ascii="Arial" w:hAnsi="Arial" w:eastAsia="宋体" w:cs="Arial"/>
                      <w:szCs w:val="21"/>
                    </w:rPr>
                    <w:t>建筑材料集中堆放；</w:t>
                  </w:r>
                </w:p>
                <w:p w14:paraId="6BB2091E">
                  <w:pPr>
                    <w:pStyle w:val="54"/>
                    <w:adjustRightInd w:val="0"/>
                    <w:snapToGrid w:val="0"/>
                    <w:spacing w:beforeLines="0"/>
                    <w:jc w:val="both"/>
                    <w:rPr>
                      <w:rFonts w:ascii="Arial" w:hAnsi="Arial" w:eastAsia="宋体" w:cs="Arial"/>
                      <w:szCs w:val="21"/>
                    </w:rPr>
                  </w:pPr>
                  <w:r>
                    <w:rPr>
                      <w:rFonts w:hint="eastAsia" w:ascii="宋体" w:hAnsi="宋体" w:eastAsia="宋体" w:cs="宋体"/>
                      <w:szCs w:val="21"/>
                    </w:rPr>
                    <w:t>③</w:t>
                  </w:r>
                  <w:r>
                    <w:rPr>
                      <w:rFonts w:ascii="Arial" w:hAnsi="Arial" w:eastAsia="宋体" w:cs="Arial"/>
                      <w:szCs w:val="21"/>
                    </w:rPr>
                    <w:t>通过加盖防尘网或场地硬化等措施减少裸露地表；</w:t>
                  </w:r>
                </w:p>
                <w:p w14:paraId="15F21220">
                  <w:pPr>
                    <w:pStyle w:val="54"/>
                    <w:adjustRightInd w:val="0"/>
                    <w:snapToGrid w:val="0"/>
                    <w:spacing w:beforeLines="0"/>
                    <w:jc w:val="both"/>
                    <w:rPr>
                      <w:rFonts w:ascii="Arial" w:hAnsi="Arial" w:eastAsia="宋体" w:cs="Arial"/>
                      <w:szCs w:val="21"/>
                    </w:rPr>
                  </w:pPr>
                  <w:r>
                    <w:rPr>
                      <w:rFonts w:hint="eastAsia" w:ascii="宋体" w:hAnsi="宋体" w:eastAsia="宋体" w:cs="宋体"/>
                      <w:szCs w:val="21"/>
                    </w:rPr>
                    <w:t>④</w:t>
                  </w:r>
                  <w:r>
                    <w:rPr>
                      <w:rFonts w:ascii="Arial" w:hAnsi="Arial" w:eastAsia="宋体" w:cs="Arial"/>
                      <w:szCs w:val="21"/>
                    </w:rPr>
                    <w:t>定期洒水，冲洗地面；</w:t>
                  </w:r>
                </w:p>
                <w:p w14:paraId="634C11B0">
                  <w:pPr>
                    <w:pStyle w:val="54"/>
                    <w:spacing w:beforeLines="0"/>
                    <w:jc w:val="both"/>
                    <w:rPr>
                      <w:rFonts w:hint="eastAsia" w:eastAsia="宋体"/>
                      <w:color w:val="auto"/>
                      <w:szCs w:val="21"/>
                      <w:lang w:eastAsia="zh-CN"/>
                    </w:rPr>
                  </w:pPr>
                  <w:r>
                    <w:rPr>
                      <w:rFonts w:hint="eastAsia" w:ascii="宋体" w:hAnsi="宋体" w:eastAsia="宋体" w:cs="宋体"/>
                      <w:szCs w:val="21"/>
                    </w:rPr>
                    <w:t>⑤</w:t>
                  </w:r>
                  <w:r>
                    <w:rPr>
                      <w:rFonts w:ascii="Arial" w:hAnsi="Arial" w:eastAsia="宋体" w:cs="Arial"/>
                      <w:szCs w:val="21"/>
                    </w:rPr>
                    <w:t>场地出入口设置洗车平台</w:t>
                  </w:r>
                  <w:r>
                    <w:rPr>
                      <w:rFonts w:hint="eastAsia" w:ascii="Arial" w:hAnsi="Arial" w:eastAsia="宋体" w:cs="Arial"/>
                      <w:szCs w:val="21"/>
                      <w:lang w:eastAsia="zh-CN"/>
                    </w:rPr>
                    <w:t>。</w:t>
                  </w:r>
                </w:p>
              </w:tc>
            </w:tr>
            <w:tr w14:paraId="49C6C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6" w:type="pct"/>
                  <w:vAlign w:val="center"/>
                </w:tcPr>
                <w:p w14:paraId="5E00FF22">
                  <w:pPr>
                    <w:jc w:val="center"/>
                    <w:rPr>
                      <w:bCs/>
                      <w:color w:val="auto"/>
                      <w:spacing w:val="-6"/>
                      <w:szCs w:val="21"/>
                    </w:rPr>
                  </w:pPr>
                  <w:r>
                    <w:rPr>
                      <w:bCs/>
                      <w:color w:val="auto"/>
                      <w:spacing w:val="-6"/>
                      <w:szCs w:val="21"/>
                    </w:rPr>
                    <w:t>噪声</w:t>
                  </w:r>
                </w:p>
              </w:tc>
              <w:tc>
                <w:tcPr>
                  <w:tcW w:w="4444" w:type="pct"/>
                  <w:vAlign w:val="center"/>
                </w:tcPr>
                <w:p w14:paraId="038AC94E">
                  <w:pPr>
                    <w:pStyle w:val="54"/>
                    <w:spacing w:beforeLines="0"/>
                    <w:jc w:val="both"/>
                    <w:rPr>
                      <w:rFonts w:hint="eastAsia" w:ascii="宋体" w:hAnsi="宋体"/>
                      <w:bCs/>
                      <w:color w:val="auto"/>
                      <w:szCs w:val="21"/>
                    </w:rPr>
                  </w:pPr>
                  <w:r>
                    <w:rPr>
                      <w:rFonts w:hint="eastAsia" w:ascii="宋体" w:hAnsi="宋体"/>
                      <w:color w:val="auto"/>
                      <w:szCs w:val="21"/>
                    </w:rPr>
                    <w:t>①</w:t>
                  </w:r>
                  <w:r>
                    <w:rPr>
                      <w:rFonts w:hint="eastAsia" w:ascii="宋体" w:hAnsi="宋体"/>
                      <w:bCs/>
                      <w:color w:val="auto"/>
                      <w:szCs w:val="21"/>
                    </w:rPr>
                    <w:t>距离衰减，场地设置围墙；</w:t>
                  </w:r>
                </w:p>
                <w:p w14:paraId="175D0D98">
                  <w:pPr>
                    <w:pStyle w:val="54"/>
                    <w:spacing w:beforeLines="0"/>
                    <w:jc w:val="both"/>
                    <w:rPr>
                      <w:rFonts w:eastAsia="宋体"/>
                      <w:color w:val="auto"/>
                      <w:szCs w:val="21"/>
                    </w:rPr>
                  </w:pPr>
                  <w:r>
                    <w:rPr>
                      <w:rFonts w:hint="eastAsia" w:ascii="宋体" w:hAnsi="宋体" w:eastAsia="宋体" w:cs="宋体"/>
                      <w:szCs w:val="21"/>
                    </w:rPr>
                    <w:t>②</w:t>
                  </w:r>
                  <w:r>
                    <w:rPr>
                      <w:rFonts w:hint="eastAsia" w:ascii="宋体" w:hAnsi="宋体"/>
                      <w:bCs/>
                      <w:color w:val="auto"/>
                      <w:szCs w:val="21"/>
                    </w:rPr>
                    <w:t>合理组织、调度及管理材料运输和工程施工车辆，进出施工场地的物料运输车辆须限制其行驶速度，并禁鸣喇叭。</w:t>
                  </w:r>
                </w:p>
              </w:tc>
            </w:tr>
            <w:tr w14:paraId="7C1B9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6" w:type="pct"/>
                  <w:vAlign w:val="center"/>
                </w:tcPr>
                <w:p w14:paraId="79B73125">
                  <w:pPr>
                    <w:jc w:val="center"/>
                    <w:rPr>
                      <w:bCs/>
                      <w:color w:val="auto"/>
                      <w:spacing w:val="-6"/>
                      <w:szCs w:val="21"/>
                    </w:rPr>
                  </w:pPr>
                  <w:r>
                    <w:rPr>
                      <w:bCs/>
                      <w:color w:val="auto"/>
                      <w:spacing w:val="-6"/>
                      <w:szCs w:val="21"/>
                    </w:rPr>
                    <w:t>固废</w:t>
                  </w:r>
                </w:p>
              </w:tc>
              <w:tc>
                <w:tcPr>
                  <w:tcW w:w="4444" w:type="pct"/>
                  <w:vAlign w:val="center"/>
                </w:tcPr>
                <w:p w14:paraId="6ED65A03">
                  <w:pPr>
                    <w:rPr>
                      <w:rFonts w:hint="eastAsia" w:eastAsia="宋体"/>
                      <w:color w:val="auto"/>
                      <w:szCs w:val="21"/>
                      <w:lang w:eastAsia="zh-CN"/>
                    </w:rPr>
                  </w:pPr>
                  <w:r>
                    <w:rPr>
                      <w:bCs/>
                      <w:color w:val="auto"/>
                      <w:szCs w:val="21"/>
                    </w:rPr>
                    <w:t>建筑垃圾运到政府部门指定场所填埋；</w:t>
                  </w:r>
                  <w:r>
                    <w:rPr>
                      <w:color w:val="auto"/>
                      <w:szCs w:val="21"/>
                    </w:rPr>
                    <w:t>生活垃圾由环卫部门统一清运处理</w:t>
                  </w:r>
                  <w:r>
                    <w:rPr>
                      <w:rFonts w:hint="eastAsia"/>
                      <w:color w:val="auto"/>
                      <w:szCs w:val="21"/>
                      <w:lang w:eastAsia="zh-CN"/>
                    </w:rPr>
                    <w:t>。</w:t>
                  </w:r>
                </w:p>
              </w:tc>
            </w:tr>
          </w:tbl>
          <w:p w14:paraId="36CAAEB3">
            <w:pPr>
              <w:spacing w:line="500" w:lineRule="exact"/>
              <w:rPr>
                <w:rFonts w:hAnsi="宋体"/>
                <w:sz w:val="24"/>
              </w:rPr>
            </w:pPr>
          </w:p>
        </w:tc>
      </w:tr>
      <w:tr w14:paraId="078A3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trPr>
        <w:tc>
          <w:tcPr>
            <w:tcW w:w="746" w:type="dxa"/>
            <w:tcMar>
              <w:left w:w="28" w:type="dxa"/>
              <w:right w:w="28" w:type="dxa"/>
            </w:tcMar>
            <w:vAlign w:val="center"/>
          </w:tcPr>
          <w:p w14:paraId="7BA62061">
            <w:pPr>
              <w:adjustRightInd w:val="0"/>
              <w:snapToGrid w:val="0"/>
              <w:jc w:val="center"/>
              <w:rPr>
                <w:rFonts w:ascii="宋体" w:hAnsi="宋体" w:cs="宋体"/>
                <w:bCs/>
                <w:szCs w:val="21"/>
              </w:rPr>
            </w:pPr>
            <w:r>
              <w:rPr>
                <w:rFonts w:hint="eastAsia" w:ascii="宋体" w:hAnsi="宋体" w:cs="宋体"/>
                <w:bCs/>
                <w:szCs w:val="21"/>
              </w:rPr>
              <w:t>运营</w:t>
            </w:r>
          </w:p>
          <w:p w14:paraId="1D4B5718">
            <w:pPr>
              <w:adjustRightInd w:val="0"/>
              <w:snapToGrid w:val="0"/>
              <w:jc w:val="center"/>
              <w:rPr>
                <w:rFonts w:ascii="宋体" w:hAnsi="宋体" w:cs="宋体"/>
                <w:bCs/>
                <w:szCs w:val="21"/>
              </w:rPr>
            </w:pPr>
            <w:r>
              <w:rPr>
                <w:rFonts w:hint="eastAsia" w:ascii="宋体" w:hAnsi="宋体" w:cs="宋体"/>
                <w:bCs/>
                <w:szCs w:val="21"/>
              </w:rPr>
              <w:t>期环</w:t>
            </w:r>
          </w:p>
          <w:p w14:paraId="62E4CB77">
            <w:pPr>
              <w:adjustRightInd w:val="0"/>
              <w:snapToGrid w:val="0"/>
              <w:jc w:val="center"/>
              <w:rPr>
                <w:rFonts w:ascii="宋体" w:hAnsi="宋体" w:cs="宋体"/>
                <w:bCs/>
                <w:szCs w:val="21"/>
              </w:rPr>
            </w:pPr>
            <w:r>
              <w:rPr>
                <w:rFonts w:hint="eastAsia" w:ascii="宋体" w:hAnsi="宋体" w:cs="宋体"/>
                <w:bCs/>
                <w:szCs w:val="21"/>
              </w:rPr>
              <w:t>境影</w:t>
            </w:r>
          </w:p>
          <w:p w14:paraId="7C015046">
            <w:pPr>
              <w:adjustRightInd w:val="0"/>
              <w:snapToGrid w:val="0"/>
              <w:jc w:val="center"/>
              <w:rPr>
                <w:rFonts w:ascii="宋体" w:hAnsi="宋体" w:cs="宋体"/>
                <w:bCs/>
                <w:szCs w:val="21"/>
              </w:rPr>
            </w:pPr>
            <w:r>
              <w:rPr>
                <w:rFonts w:hint="eastAsia" w:ascii="宋体" w:hAnsi="宋体" w:cs="宋体"/>
                <w:bCs/>
                <w:szCs w:val="21"/>
              </w:rPr>
              <w:t>响和</w:t>
            </w:r>
          </w:p>
          <w:p w14:paraId="55804CB5">
            <w:pPr>
              <w:adjustRightInd w:val="0"/>
              <w:snapToGrid w:val="0"/>
              <w:jc w:val="center"/>
              <w:rPr>
                <w:rFonts w:ascii="宋体" w:hAnsi="宋体" w:cs="宋体"/>
                <w:bCs/>
                <w:szCs w:val="21"/>
              </w:rPr>
            </w:pPr>
            <w:r>
              <w:rPr>
                <w:rFonts w:hint="eastAsia" w:ascii="宋体" w:hAnsi="宋体" w:cs="宋体"/>
                <w:bCs/>
                <w:szCs w:val="21"/>
              </w:rPr>
              <w:t>保护</w:t>
            </w:r>
          </w:p>
          <w:p w14:paraId="27862C7B">
            <w:pPr>
              <w:adjustRightInd w:val="0"/>
              <w:snapToGrid w:val="0"/>
              <w:jc w:val="center"/>
              <w:rPr>
                <w:rFonts w:ascii="宋体" w:hAnsi="宋体" w:cs="宋体"/>
                <w:bCs/>
                <w:szCs w:val="21"/>
              </w:rPr>
            </w:pPr>
            <w:r>
              <w:rPr>
                <w:rFonts w:hint="eastAsia" w:ascii="宋体" w:hAnsi="宋体" w:cs="宋体"/>
                <w:bCs/>
                <w:szCs w:val="21"/>
              </w:rPr>
              <w:t>措施</w:t>
            </w:r>
          </w:p>
        </w:tc>
        <w:tc>
          <w:tcPr>
            <w:tcW w:w="8162" w:type="dxa"/>
            <w:vAlign w:val="center"/>
          </w:tcPr>
          <w:p w14:paraId="3DCA0082">
            <w:pPr>
              <w:spacing w:line="500" w:lineRule="exact"/>
              <w:ind w:firstLine="472" w:firstLineChars="196"/>
              <w:rPr>
                <w:b/>
                <w:kern w:val="0"/>
                <w:sz w:val="24"/>
              </w:rPr>
            </w:pPr>
            <w:r>
              <w:rPr>
                <w:rFonts w:hint="eastAsia"/>
                <w:b/>
                <w:kern w:val="0"/>
                <w:sz w:val="24"/>
              </w:rPr>
              <w:t>一、废水环境影响及治理措施</w:t>
            </w:r>
          </w:p>
          <w:p w14:paraId="2803C64D">
            <w:pPr>
              <w:spacing w:line="500" w:lineRule="exact"/>
              <w:ind w:firstLine="472" w:firstLineChars="196"/>
              <w:rPr>
                <w:rFonts w:hAnsi="宋体"/>
                <w:b/>
                <w:sz w:val="24"/>
              </w:rPr>
            </w:pPr>
            <w:r>
              <w:rPr>
                <w:rFonts w:hint="eastAsia" w:hAnsi="宋体"/>
                <w:b/>
                <w:sz w:val="24"/>
              </w:rPr>
              <w:t>1、项目废水产排情况</w:t>
            </w:r>
          </w:p>
          <w:p w14:paraId="56C9AD92">
            <w:pPr>
              <w:spacing w:line="500" w:lineRule="exact"/>
              <w:ind w:firstLine="470" w:firstLineChars="196"/>
              <w:rPr>
                <w:rFonts w:hint="eastAsia" w:hAnsi="宋体"/>
                <w:b/>
                <w:sz w:val="24"/>
              </w:rPr>
            </w:pPr>
            <w:r>
              <w:rPr>
                <w:rFonts w:hint="eastAsia" w:hAnsi="宋体"/>
                <w:sz w:val="24"/>
              </w:rPr>
              <w:t>本项目不新增职工，从公司现有职工中调配，无新增职工生活用水。本项目废水主要为循环冷却系统排污水</w:t>
            </w:r>
            <w:r>
              <w:rPr>
                <w:rFonts w:hint="eastAsia" w:hAnsi="宋体"/>
                <w:sz w:val="24"/>
                <w:lang w:eastAsia="zh-CN"/>
              </w:rPr>
              <w:t>、</w:t>
            </w:r>
            <w:r>
              <w:rPr>
                <w:rFonts w:hint="eastAsia" w:hAnsi="宋体"/>
                <w:sz w:val="24"/>
                <w:lang w:val="en-US" w:eastAsia="zh-CN"/>
              </w:rPr>
              <w:t>余热锅炉</w:t>
            </w:r>
            <w:r>
              <w:rPr>
                <w:rFonts w:hint="eastAsia" w:hAnsi="宋体"/>
                <w:sz w:val="24"/>
              </w:rPr>
              <w:t>排污水和</w:t>
            </w:r>
            <w:r>
              <w:rPr>
                <w:rFonts w:hint="eastAsia" w:hAnsi="宋体"/>
                <w:sz w:val="24"/>
                <w:lang w:val="en-US" w:eastAsia="zh-CN"/>
              </w:rPr>
              <w:t>软水制备系统排水</w:t>
            </w:r>
            <w:r>
              <w:rPr>
                <w:rFonts w:hint="eastAsia" w:hAnsi="宋体"/>
                <w:sz w:val="24"/>
              </w:rPr>
              <w:t>。</w:t>
            </w:r>
          </w:p>
          <w:p w14:paraId="50D0CBBA">
            <w:pPr>
              <w:spacing w:line="500" w:lineRule="exact"/>
              <w:ind w:firstLine="472" w:firstLineChars="196"/>
              <w:rPr>
                <w:rFonts w:hint="default" w:hAnsi="宋体"/>
                <w:b/>
                <w:sz w:val="24"/>
                <w:lang w:val="en-US"/>
              </w:rPr>
            </w:pPr>
            <w:r>
              <w:rPr>
                <w:rFonts w:hint="eastAsia" w:hAnsi="宋体"/>
                <w:b/>
                <w:sz w:val="24"/>
              </w:rPr>
              <w:t>（1）生产废水</w:t>
            </w:r>
          </w:p>
          <w:p w14:paraId="7ED7BD2B">
            <w:pPr>
              <w:spacing w:line="500" w:lineRule="exact"/>
              <w:ind w:firstLine="472" w:firstLineChars="196"/>
              <w:rPr>
                <w:rFonts w:ascii="宋体" w:hAnsi="宋体"/>
                <w:b/>
                <w:bCs w:val="0"/>
                <w:sz w:val="24"/>
              </w:rPr>
            </w:pPr>
            <w:r>
              <w:rPr>
                <w:rFonts w:hint="eastAsia" w:ascii="宋体" w:hAnsi="宋体"/>
                <w:b/>
                <w:bCs w:val="0"/>
                <w:sz w:val="24"/>
              </w:rPr>
              <w:t>①</w:t>
            </w:r>
            <w:r>
              <w:rPr>
                <w:rFonts w:hint="eastAsia" w:hAnsi="宋体"/>
                <w:b/>
                <w:bCs w:val="0"/>
                <w:sz w:val="24"/>
              </w:rPr>
              <w:t>循环冷却系统排污水</w:t>
            </w:r>
          </w:p>
          <w:p w14:paraId="6ED7220A">
            <w:pPr>
              <w:spacing w:line="500" w:lineRule="exact"/>
              <w:ind w:firstLine="470" w:firstLineChars="196"/>
              <w:rPr>
                <w:rFonts w:hint="eastAsia" w:eastAsia="宋体"/>
                <w:sz w:val="24"/>
                <w:lang w:val="en-US" w:eastAsia="zh-CN"/>
              </w:rPr>
            </w:pPr>
            <w:r>
              <w:rPr>
                <w:rFonts w:hint="eastAsia"/>
                <w:sz w:val="24"/>
                <w:lang w:val="en-US" w:eastAsia="zh-CN"/>
              </w:rPr>
              <w:t>根据建设单位提供资料及前文水平衡计算，循环冷却系统排污水量为12t/d，3720t/a，该部分废水均排入</w:t>
            </w:r>
            <w:r>
              <w:rPr>
                <w:rFonts w:hint="eastAsia" w:hAnsi="宋体"/>
                <w:sz w:val="24"/>
              </w:rPr>
              <w:t>盛隆厂区3#废水处理站处理</w:t>
            </w:r>
            <w:r>
              <w:rPr>
                <w:rFonts w:hint="eastAsia" w:hAnsi="宋体"/>
                <w:sz w:val="24"/>
                <w:lang w:val="en-US" w:eastAsia="zh-CN"/>
              </w:rPr>
              <w:t>后回用于</w:t>
            </w:r>
            <w:r>
              <w:rPr>
                <w:rFonts w:hint="eastAsia" w:eastAsia="宋体"/>
                <w:color w:val="auto"/>
                <w:spacing w:val="10"/>
                <w:sz w:val="24"/>
              </w:rPr>
              <w:t>高炉冲渣，不外排</w:t>
            </w:r>
            <w:r>
              <w:rPr>
                <w:sz w:val="24"/>
              </w:rPr>
              <w:t>。</w:t>
            </w:r>
            <w:r>
              <w:rPr>
                <w:rFonts w:hint="eastAsia"/>
                <w:sz w:val="24"/>
                <w:lang w:val="en-US" w:eastAsia="zh-CN"/>
              </w:rPr>
              <w:t xml:space="preserve"> </w:t>
            </w:r>
          </w:p>
          <w:p w14:paraId="4AC2C7C8">
            <w:pPr>
              <w:spacing w:line="500" w:lineRule="exact"/>
              <w:ind w:firstLine="472" w:firstLineChars="196"/>
              <w:rPr>
                <w:rFonts w:hAnsi="宋体"/>
                <w:b/>
                <w:sz w:val="24"/>
              </w:rPr>
            </w:pPr>
            <w:r>
              <w:rPr>
                <w:rFonts w:hint="eastAsia" w:ascii="宋体" w:hAnsi="宋体"/>
                <w:b/>
                <w:sz w:val="24"/>
              </w:rPr>
              <w:t>②</w:t>
            </w:r>
            <w:r>
              <w:rPr>
                <w:rFonts w:hint="eastAsia" w:hAnsi="宋体"/>
                <w:b/>
                <w:sz w:val="24"/>
              </w:rPr>
              <w:t>余热锅炉排污水</w:t>
            </w:r>
          </w:p>
          <w:p w14:paraId="313138C8">
            <w:pPr>
              <w:spacing w:line="500" w:lineRule="exact"/>
              <w:ind w:firstLine="470" w:firstLineChars="196"/>
              <w:rPr>
                <w:sz w:val="24"/>
              </w:rPr>
            </w:pPr>
            <w:r>
              <w:rPr>
                <w:rFonts w:hint="eastAsia"/>
                <w:sz w:val="24"/>
                <w:lang w:val="en-US" w:eastAsia="zh-CN"/>
              </w:rPr>
              <w:t>根据建设单位提供资料及前文水平衡计算，余热锅炉排污水量为43t/d，13400t/a，该部分废水均排入</w:t>
            </w:r>
            <w:r>
              <w:rPr>
                <w:rFonts w:hint="eastAsia" w:hAnsi="宋体"/>
                <w:sz w:val="24"/>
              </w:rPr>
              <w:t>盛隆厂区3#废水处理站处理</w:t>
            </w:r>
            <w:r>
              <w:rPr>
                <w:rFonts w:hint="eastAsia" w:hAnsi="宋体"/>
                <w:sz w:val="24"/>
                <w:lang w:val="en-US" w:eastAsia="zh-CN"/>
              </w:rPr>
              <w:t>后回用于</w:t>
            </w:r>
            <w:r>
              <w:rPr>
                <w:rFonts w:hint="eastAsia" w:eastAsia="宋体"/>
                <w:color w:val="auto"/>
                <w:spacing w:val="10"/>
                <w:sz w:val="24"/>
              </w:rPr>
              <w:t>高炉冲渣，不外排</w:t>
            </w:r>
            <w:r>
              <w:rPr>
                <w:sz w:val="24"/>
              </w:rPr>
              <w:t>。</w:t>
            </w:r>
          </w:p>
          <w:p w14:paraId="15BC807C">
            <w:pPr>
              <w:spacing w:line="500" w:lineRule="exact"/>
              <w:ind w:firstLine="472" w:firstLineChars="196"/>
              <w:rPr>
                <w:rFonts w:hint="eastAsia" w:ascii="Times New Roman" w:hAnsi="宋体" w:eastAsia="宋体" w:cs="Times New Roman"/>
                <w:b/>
                <w:bCs/>
                <w:sz w:val="24"/>
              </w:rPr>
            </w:pPr>
            <w:r>
              <w:rPr>
                <w:rFonts w:hint="eastAsia" w:ascii="宋体" w:hAnsi="宋体" w:eastAsia="宋体" w:cs="宋体"/>
                <w:b/>
                <w:bCs/>
                <w:sz w:val="24"/>
              </w:rPr>
              <w:t>③</w:t>
            </w:r>
            <w:r>
              <w:rPr>
                <w:rFonts w:hint="eastAsia" w:ascii="Times New Roman" w:hAnsi="宋体" w:eastAsia="宋体" w:cs="Times New Roman"/>
                <w:b/>
                <w:bCs/>
                <w:sz w:val="24"/>
              </w:rPr>
              <w:t>软水制备系统排</w:t>
            </w:r>
            <w:r>
              <w:rPr>
                <w:rFonts w:hint="eastAsia" w:ascii="Times New Roman" w:hAnsi="宋体" w:eastAsia="宋体" w:cs="Times New Roman"/>
                <w:b/>
                <w:bCs/>
                <w:sz w:val="24"/>
                <w:lang w:val="en-US" w:eastAsia="zh-CN"/>
              </w:rPr>
              <w:t>污</w:t>
            </w:r>
            <w:r>
              <w:rPr>
                <w:rFonts w:hint="eastAsia" w:ascii="Times New Roman" w:hAnsi="宋体" w:eastAsia="宋体" w:cs="Times New Roman"/>
                <w:b/>
                <w:bCs/>
                <w:sz w:val="24"/>
              </w:rPr>
              <w:t>水</w:t>
            </w:r>
          </w:p>
          <w:p w14:paraId="5F88F1C9">
            <w:pPr>
              <w:spacing w:line="500" w:lineRule="exact"/>
              <w:ind w:firstLine="470" w:firstLineChars="196"/>
              <w:rPr>
                <w:sz w:val="24"/>
              </w:rPr>
            </w:pPr>
            <w:r>
              <w:rPr>
                <w:rFonts w:hint="eastAsia"/>
                <w:sz w:val="24"/>
                <w:lang w:val="en-US" w:eastAsia="zh-CN"/>
              </w:rPr>
              <w:t>根据建设单位提供资料及前文水平衡计算，软水制备系统排污水量为45t/d，13950t/a，该部分废水均排入</w:t>
            </w:r>
            <w:r>
              <w:rPr>
                <w:rFonts w:hint="eastAsia" w:hAnsi="宋体"/>
                <w:sz w:val="24"/>
              </w:rPr>
              <w:t>盛隆厂区3#废水处理站处理</w:t>
            </w:r>
            <w:r>
              <w:rPr>
                <w:rFonts w:hint="eastAsia" w:hAnsi="宋体"/>
                <w:sz w:val="24"/>
                <w:lang w:val="en-US" w:eastAsia="zh-CN"/>
              </w:rPr>
              <w:t>后回用于</w:t>
            </w:r>
            <w:r>
              <w:rPr>
                <w:rFonts w:hint="eastAsia" w:eastAsia="宋体"/>
                <w:color w:val="auto"/>
                <w:spacing w:val="10"/>
                <w:sz w:val="24"/>
              </w:rPr>
              <w:t>高炉冲渣，不外排</w:t>
            </w:r>
            <w:r>
              <w:rPr>
                <w:sz w:val="24"/>
              </w:rPr>
              <w:t>。</w:t>
            </w:r>
          </w:p>
          <w:p w14:paraId="6884EE3D">
            <w:pPr>
              <w:spacing w:line="500" w:lineRule="exact"/>
              <w:ind w:firstLine="472" w:firstLineChars="196"/>
              <w:rPr>
                <w:rFonts w:hAnsi="宋体"/>
                <w:b/>
                <w:sz w:val="24"/>
              </w:rPr>
            </w:pPr>
            <w:r>
              <w:rPr>
                <w:rFonts w:hint="eastAsia" w:hAnsi="宋体"/>
                <w:b/>
                <w:sz w:val="24"/>
              </w:rPr>
              <w:t>（2）生活污水</w:t>
            </w:r>
          </w:p>
          <w:p w14:paraId="0ACB6EF4">
            <w:pPr>
              <w:spacing w:line="500" w:lineRule="exact"/>
              <w:ind w:firstLine="470" w:firstLineChars="196"/>
              <w:rPr>
                <w:rFonts w:hAnsi="宋体"/>
                <w:bCs/>
                <w:sz w:val="24"/>
              </w:rPr>
            </w:pPr>
            <w:r>
              <w:rPr>
                <w:rFonts w:hint="eastAsia" w:hAnsi="宋体"/>
                <w:sz w:val="24"/>
              </w:rPr>
              <w:t>本项目不新增职工，从公司现有职工中调配，无新增职工生活用水。</w:t>
            </w:r>
          </w:p>
          <w:p w14:paraId="72DE12D2">
            <w:pPr>
              <w:spacing w:line="500" w:lineRule="exact"/>
              <w:ind w:firstLine="472" w:firstLineChars="196"/>
              <w:rPr>
                <w:rFonts w:hAnsi="宋体"/>
                <w:b/>
                <w:sz w:val="24"/>
              </w:rPr>
            </w:pPr>
            <w:r>
              <w:rPr>
                <w:rFonts w:hint="eastAsia" w:hAnsi="宋体"/>
                <w:b/>
                <w:sz w:val="24"/>
              </w:rPr>
              <w:t xml:space="preserve">2、废水治理措施可行性分析          </w:t>
            </w:r>
          </w:p>
          <w:p w14:paraId="1A5A152D">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r>
              <w:rPr>
                <w:rFonts w:hint="eastAsia" w:eastAsia="宋体"/>
                <w:color w:val="auto"/>
                <w:spacing w:val="10"/>
                <w:sz w:val="24"/>
              </w:rPr>
              <w:t>本项目</w:t>
            </w:r>
            <w:r>
              <w:rPr>
                <w:rFonts w:hint="eastAsia"/>
                <w:color w:val="auto"/>
                <w:spacing w:val="10"/>
                <w:sz w:val="24"/>
                <w:lang w:val="en-US" w:eastAsia="zh-CN"/>
              </w:rPr>
              <w:t>生产</w:t>
            </w:r>
            <w:r>
              <w:rPr>
                <w:rFonts w:hint="eastAsia" w:eastAsia="宋体"/>
                <w:color w:val="auto"/>
                <w:spacing w:val="10"/>
                <w:sz w:val="24"/>
              </w:rPr>
              <w:t>废水</w:t>
            </w:r>
            <w:r>
              <w:rPr>
                <w:rFonts w:hint="eastAsia"/>
                <w:color w:val="auto"/>
                <w:spacing w:val="10"/>
                <w:sz w:val="24"/>
                <w:lang w:val="en-US" w:eastAsia="zh-CN"/>
              </w:rPr>
              <w:t>均</w:t>
            </w:r>
            <w:r>
              <w:rPr>
                <w:rFonts w:hint="eastAsia" w:eastAsia="宋体"/>
                <w:color w:val="auto"/>
                <w:spacing w:val="10"/>
                <w:sz w:val="24"/>
              </w:rPr>
              <w:t>依托原有3#焦化废水处理站</w:t>
            </w:r>
            <w:r>
              <w:rPr>
                <w:rFonts w:hint="eastAsia"/>
                <w:color w:val="auto"/>
                <w:spacing w:val="10"/>
                <w:sz w:val="24"/>
                <w:lang w:eastAsia="zh-CN"/>
              </w:rPr>
              <w:t>，</w:t>
            </w:r>
            <w:r>
              <w:rPr>
                <w:rFonts w:hint="eastAsia"/>
                <w:color w:val="auto"/>
                <w:spacing w:val="10"/>
                <w:sz w:val="24"/>
                <w:lang w:val="en-US" w:eastAsia="zh-CN"/>
              </w:rPr>
              <w:t>处理能力为</w:t>
            </w:r>
            <w:r>
              <w:rPr>
                <w:rFonts w:eastAsia="宋体"/>
                <w:color w:val="auto"/>
                <w:spacing w:val="10"/>
                <w:sz w:val="24"/>
              </w:rPr>
              <w:t>150m</w:t>
            </w:r>
            <w:r>
              <w:rPr>
                <w:rFonts w:eastAsia="宋体"/>
                <w:color w:val="auto"/>
                <w:spacing w:val="10"/>
                <w:sz w:val="24"/>
                <w:vertAlign w:val="superscript"/>
              </w:rPr>
              <w:t>3</w:t>
            </w:r>
            <w:r>
              <w:rPr>
                <w:rFonts w:eastAsia="宋体"/>
                <w:color w:val="auto"/>
                <w:spacing w:val="10"/>
                <w:sz w:val="24"/>
              </w:rPr>
              <w:t>/h</w:t>
            </w:r>
            <w:r>
              <w:rPr>
                <w:rFonts w:hint="eastAsia" w:eastAsia="宋体"/>
                <w:color w:val="auto"/>
                <w:spacing w:val="10"/>
                <w:sz w:val="24"/>
              </w:rPr>
              <w:t>，采用“AS强化预处理+A/O生物脱氮+HOK生物流化床一级深度处理”工艺。生产工艺废水通过管道送至3#焦化废水处理站生化处理单元的预处理段。满足《炼焦化学工业污染物排放标准》（GB16171-2012）表1中相应的间接排放限值要求，出水全部回用于高炉冲渣，不外排</w:t>
            </w:r>
            <w:r>
              <w:rPr>
                <w:rFonts w:hint="eastAsia"/>
                <w:color w:val="auto"/>
                <w:spacing w:val="10"/>
                <w:sz w:val="24"/>
                <w:lang w:eastAsia="zh-CN"/>
              </w:rPr>
              <w:t>，</w:t>
            </w:r>
            <w:r>
              <w:rPr>
                <w:rFonts w:hint="eastAsia" w:eastAsia="宋体"/>
                <w:color w:val="auto"/>
                <w:spacing w:val="10"/>
                <w:sz w:val="24"/>
              </w:rPr>
              <w:t>废水处理工艺流程见图4-1。</w:t>
            </w:r>
          </w:p>
          <w:p w14:paraId="5B3E27D5">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04609C76">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505C53C8">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3F13F6D0">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20974BAC">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2C74A8F7">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783ED4C1">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54451C3D">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332EE700">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0760C21F">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5C4B6F4E">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0E039DCC">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0AB1E7A1">
            <w:pPr>
              <w:keepNext w:val="0"/>
              <w:keepLines w:val="0"/>
              <w:pageBreakBefore w:val="0"/>
              <w:widowControl w:val="0"/>
              <w:kinsoku/>
              <w:wordWrap w:val="0"/>
              <w:overflowPunct/>
              <w:topLinePunct w:val="0"/>
              <w:autoSpaceDE/>
              <w:autoSpaceDN/>
              <w:bidi w:val="0"/>
              <w:adjustRightInd/>
              <w:snapToGrid/>
              <w:spacing w:line="500" w:lineRule="exact"/>
              <w:ind w:firstLine="520" w:firstLineChars="200"/>
              <w:textAlignment w:val="auto"/>
              <w:rPr>
                <w:rFonts w:hint="eastAsia" w:eastAsia="宋体"/>
                <w:color w:val="auto"/>
                <w:spacing w:val="10"/>
                <w:sz w:val="24"/>
              </w:rPr>
            </w:pPr>
          </w:p>
          <w:p w14:paraId="4121E96D">
            <w:pPr>
              <w:jc w:val="center"/>
              <w:rPr>
                <w:rFonts w:eastAsia="宋体"/>
                <w:color w:val="auto"/>
                <w:spacing w:val="10"/>
                <w:sz w:val="24"/>
              </w:rPr>
            </w:pPr>
            <w:r>
              <w:rPr>
                <w:color w:val="auto"/>
              </w:rPr>
              <w:drawing>
                <wp:inline distT="0" distB="0" distL="0" distR="0">
                  <wp:extent cx="5165725" cy="5744845"/>
                  <wp:effectExtent l="0" t="0" r="1587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5165725" cy="5744845"/>
                          </a:xfrm>
                          <a:prstGeom prst="rect">
                            <a:avLst/>
                          </a:prstGeom>
                        </pic:spPr>
                      </pic:pic>
                    </a:graphicData>
                  </a:graphic>
                </wp:inline>
              </w:drawing>
            </w:r>
          </w:p>
          <w:p w14:paraId="2E101531">
            <w:pPr>
              <w:spacing w:line="500" w:lineRule="exact"/>
              <w:ind w:firstLine="522" w:firstLineChars="200"/>
              <w:jc w:val="center"/>
              <w:rPr>
                <w:rFonts w:eastAsia="宋体"/>
                <w:b/>
                <w:color w:val="auto"/>
                <w:spacing w:val="10"/>
                <w:sz w:val="24"/>
              </w:rPr>
            </w:pPr>
            <w:r>
              <w:rPr>
                <w:rFonts w:hint="eastAsia" w:eastAsia="宋体"/>
                <w:b/>
                <w:color w:val="auto"/>
                <w:spacing w:val="10"/>
                <w:sz w:val="24"/>
              </w:rPr>
              <w:t>图4-1  废水处理站处理工艺流程图</w:t>
            </w:r>
          </w:p>
          <w:p w14:paraId="692A7F2A">
            <w:pPr>
              <w:spacing w:line="500" w:lineRule="exact"/>
              <w:ind w:firstLine="480"/>
              <w:rPr>
                <w:rFonts w:hint="eastAsia" w:hAnsi="宋体"/>
                <w:sz w:val="24"/>
              </w:rPr>
            </w:pPr>
            <w:r>
              <w:rPr>
                <w:rFonts w:hint="eastAsia" w:hAnsi="宋体"/>
                <w:color w:val="auto"/>
                <w:sz w:val="24"/>
              </w:rPr>
              <w:t>本项目废水排放量为</w:t>
            </w:r>
            <w:r>
              <w:rPr>
                <w:rFonts w:hint="eastAsia" w:hAnsi="宋体"/>
                <w:color w:val="auto"/>
                <w:sz w:val="24"/>
                <w:lang w:val="en-US" w:eastAsia="zh-CN"/>
              </w:rPr>
              <w:t>4.17</w:t>
            </w:r>
            <w:r>
              <w:rPr>
                <w:rFonts w:hint="eastAsia" w:hAnsi="宋体"/>
                <w:color w:val="auto"/>
                <w:sz w:val="24"/>
              </w:rPr>
              <w:t>m</w:t>
            </w:r>
            <w:r>
              <w:rPr>
                <w:rFonts w:hint="eastAsia" w:hAnsi="宋体"/>
                <w:color w:val="auto"/>
                <w:sz w:val="24"/>
                <w:vertAlign w:val="superscript"/>
              </w:rPr>
              <w:t>3</w:t>
            </w:r>
            <w:r>
              <w:rPr>
                <w:rFonts w:hint="eastAsia" w:hAnsi="宋体"/>
                <w:color w:val="auto"/>
                <w:sz w:val="24"/>
              </w:rPr>
              <w:t>/h，废水排放量较小，原有</w:t>
            </w:r>
            <w:r>
              <w:rPr>
                <w:rFonts w:hint="eastAsia" w:hAnsi="宋体"/>
                <w:color w:val="auto"/>
                <w:sz w:val="24"/>
                <w:lang w:val="en-US" w:eastAsia="zh-CN"/>
              </w:rPr>
              <w:t>3#焦化废水处理站的富余量约为30m</w:t>
            </w:r>
            <w:r>
              <w:rPr>
                <w:rFonts w:hint="eastAsia" w:hAnsi="宋体"/>
                <w:color w:val="auto"/>
                <w:sz w:val="24"/>
                <w:vertAlign w:val="superscript"/>
                <w:lang w:val="en-US" w:eastAsia="zh-CN"/>
              </w:rPr>
              <w:t>3</w:t>
            </w:r>
            <w:r>
              <w:rPr>
                <w:rFonts w:hint="eastAsia" w:hAnsi="宋体"/>
                <w:color w:val="auto"/>
                <w:sz w:val="24"/>
                <w:lang w:val="en-US" w:eastAsia="zh-CN"/>
              </w:rPr>
              <w:t>/h，能容纳本项目的废水排放量</w:t>
            </w:r>
            <w:r>
              <w:rPr>
                <w:rFonts w:hint="eastAsia" w:hAnsi="宋体"/>
                <w:color w:val="auto"/>
                <w:sz w:val="24"/>
                <w:lang w:eastAsia="zh-CN"/>
              </w:rPr>
              <w:t>，</w:t>
            </w:r>
            <w:r>
              <w:rPr>
                <w:rFonts w:hint="eastAsia" w:hAnsi="宋体"/>
                <w:color w:val="auto"/>
                <w:sz w:val="24"/>
              </w:rPr>
              <w:t>因此本项目废水水量不会对废水处理系统造成影响，原有</w:t>
            </w:r>
            <w:r>
              <w:rPr>
                <w:rFonts w:hint="eastAsia" w:hAnsi="宋体"/>
                <w:color w:val="auto"/>
                <w:sz w:val="24"/>
                <w:lang w:val="en-US" w:eastAsia="zh-CN"/>
              </w:rPr>
              <w:t>3#焦化废水处理站</w:t>
            </w:r>
            <w:r>
              <w:rPr>
                <w:rFonts w:hint="eastAsia" w:hAnsi="宋体"/>
                <w:color w:val="auto"/>
                <w:sz w:val="24"/>
              </w:rPr>
              <w:t>处理能力满足废水处理要求。</w:t>
            </w:r>
          </w:p>
          <w:p w14:paraId="190FBDB6">
            <w:pPr>
              <w:spacing w:line="500" w:lineRule="exact"/>
              <w:ind w:firstLine="472" w:firstLineChars="196"/>
              <w:rPr>
                <w:rFonts w:hAnsi="宋体"/>
                <w:b/>
                <w:sz w:val="24"/>
              </w:rPr>
            </w:pPr>
            <w:r>
              <w:rPr>
                <w:rFonts w:hint="eastAsia" w:hAnsi="宋体"/>
                <w:b/>
                <w:sz w:val="24"/>
              </w:rPr>
              <w:t>3、项目废水排放口及自行监测要求</w:t>
            </w:r>
          </w:p>
          <w:p w14:paraId="5EAE3F3B">
            <w:pPr>
              <w:spacing w:line="500" w:lineRule="exact"/>
              <w:ind w:firstLine="470" w:firstLineChars="196"/>
              <w:rPr>
                <w:rFonts w:hAnsi="宋体"/>
                <w:sz w:val="24"/>
              </w:rPr>
            </w:pPr>
            <w:r>
              <w:rPr>
                <w:rFonts w:hint="eastAsia" w:hAnsi="宋体"/>
                <w:sz w:val="24"/>
              </w:rPr>
              <w:t>项目产生的废水均经处理后回用，不外排，因此本项目不设废水排放口，无废水自行监测要求。</w:t>
            </w:r>
          </w:p>
          <w:p w14:paraId="1A2D1CC4">
            <w:pPr>
              <w:spacing w:line="500" w:lineRule="exact"/>
              <w:ind w:firstLine="482" w:firstLineChars="200"/>
              <w:rPr>
                <w:b/>
                <w:kern w:val="0"/>
                <w:sz w:val="24"/>
              </w:rPr>
            </w:pPr>
            <w:r>
              <w:rPr>
                <w:rFonts w:hint="eastAsia"/>
                <w:b/>
                <w:kern w:val="0"/>
                <w:sz w:val="24"/>
              </w:rPr>
              <w:t>二、废气环境影响及治理措施</w:t>
            </w:r>
          </w:p>
          <w:p w14:paraId="5B5F666C">
            <w:pPr>
              <w:spacing w:line="500" w:lineRule="exact"/>
              <w:ind w:firstLine="482" w:firstLineChars="200"/>
              <w:rPr>
                <w:rFonts w:hint="default" w:eastAsia="宋体"/>
                <w:b/>
                <w:sz w:val="24"/>
                <w:lang w:val="en-US" w:eastAsia="zh-CN"/>
              </w:rPr>
            </w:pPr>
            <w:r>
              <w:rPr>
                <w:rFonts w:hint="eastAsia"/>
                <w:b/>
                <w:sz w:val="24"/>
                <w:lang w:val="en-US" w:eastAsia="zh-CN"/>
              </w:rPr>
              <w:t>1、废气源强</w:t>
            </w:r>
          </w:p>
          <w:p w14:paraId="62C1640E">
            <w:pPr>
              <w:spacing w:line="500" w:lineRule="exact"/>
              <w:ind w:firstLine="482" w:firstLineChars="200"/>
              <w:rPr>
                <w:rFonts w:hint="default"/>
                <w:b/>
                <w:sz w:val="24"/>
                <w:lang w:val="en-US"/>
              </w:rPr>
            </w:pPr>
            <w:r>
              <w:rPr>
                <w:rFonts w:hint="eastAsia"/>
                <w:b/>
                <w:sz w:val="24"/>
                <w:lang w:eastAsia="zh-CN"/>
              </w:rPr>
              <w:t>（</w:t>
            </w:r>
            <w:r>
              <w:rPr>
                <w:rFonts w:hint="eastAsia"/>
                <w:b/>
                <w:sz w:val="24"/>
                <w:lang w:val="en-US" w:eastAsia="zh-CN"/>
              </w:rPr>
              <w:t>1</w:t>
            </w:r>
            <w:r>
              <w:rPr>
                <w:rFonts w:hint="eastAsia"/>
                <w:b/>
                <w:sz w:val="24"/>
                <w:lang w:eastAsia="zh-CN"/>
              </w:rPr>
              <w:t>）</w:t>
            </w:r>
            <w:r>
              <w:rPr>
                <w:rFonts w:hint="eastAsia"/>
                <w:b/>
                <w:sz w:val="24"/>
                <w:lang w:val="en-US" w:eastAsia="zh-CN"/>
              </w:rPr>
              <w:t>配料（上料、搅拌、造球）、窑头窑尾粉尘</w:t>
            </w:r>
          </w:p>
          <w:p w14:paraId="519C95CD">
            <w:pPr>
              <w:spacing w:line="500" w:lineRule="exact"/>
              <w:ind w:firstLine="600" w:firstLineChars="250"/>
              <w:rPr>
                <w:rFonts w:hint="eastAsia"/>
                <w:bCs/>
                <w:sz w:val="24"/>
              </w:rPr>
            </w:pPr>
            <w:r>
              <w:rPr>
                <w:rFonts w:hint="eastAsia"/>
                <w:bCs/>
                <w:sz w:val="24"/>
              </w:rPr>
              <w:t>项目原料由汽车密闭输送</w:t>
            </w:r>
            <w:r>
              <w:rPr>
                <w:rFonts w:hint="eastAsia"/>
                <w:bCs/>
                <w:sz w:val="24"/>
                <w:lang w:val="en-US" w:eastAsia="zh-CN"/>
              </w:rPr>
              <w:t>至料密闭仓内</w:t>
            </w:r>
            <w:r>
              <w:rPr>
                <w:rFonts w:hint="eastAsia"/>
                <w:bCs/>
                <w:sz w:val="24"/>
              </w:rPr>
              <w:t>，原料输送及存储过</w:t>
            </w:r>
            <w:r>
              <w:rPr>
                <w:rFonts w:hint="eastAsia"/>
                <w:bCs/>
                <w:sz w:val="24"/>
                <w:lang w:eastAsia="zh-CN"/>
              </w:rPr>
              <w:t>程中</w:t>
            </w:r>
            <w:r>
              <w:rPr>
                <w:rFonts w:hint="eastAsia"/>
                <w:bCs/>
                <w:sz w:val="24"/>
              </w:rPr>
              <w:t>产生的废气很少，本次环评不再对此过程进行分析。</w:t>
            </w:r>
          </w:p>
          <w:p w14:paraId="3DDD8309">
            <w:pPr>
              <w:spacing w:line="500" w:lineRule="exact"/>
              <w:ind w:firstLine="600" w:firstLineChars="250"/>
              <w:rPr>
                <w:rFonts w:hint="eastAsia"/>
                <w:bCs/>
                <w:sz w:val="24"/>
                <w:lang w:val="en-US" w:eastAsia="zh-CN"/>
              </w:rPr>
            </w:pPr>
            <w:r>
              <w:rPr>
                <w:rFonts w:hint="eastAsia"/>
                <w:bCs/>
                <w:sz w:val="24"/>
              </w:rPr>
              <w:t>生产时</w:t>
            </w:r>
            <w:r>
              <w:rPr>
                <w:rFonts w:hint="eastAsia"/>
                <w:bCs/>
                <w:sz w:val="24"/>
                <w:lang w:val="en-US" w:eastAsia="zh-CN"/>
              </w:rPr>
              <w:t>配料过程中物料</w:t>
            </w:r>
            <w:r>
              <w:rPr>
                <w:rFonts w:hint="eastAsia"/>
                <w:bCs/>
                <w:sz w:val="24"/>
              </w:rPr>
              <w:t>在上料专用设备上，上料至</w:t>
            </w:r>
            <w:r>
              <w:rPr>
                <w:rFonts w:hint="eastAsia"/>
                <w:bCs/>
                <w:sz w:val="24"/>
                <w:lang w:val="en-US" w:eastAsia="zh-CN"/>
              </w:rPr>
              <w:t>混合</w:t>
            </w:r>
            <w:r>
              <w:rPr>
                <w:rFonts w:hint="eastAsia"/>
                <w:bCs/>
                <w:sz w:val="24"/>
              </w:rPr>
              <w:t>机内密闭</w:t>
            </w:r>
            <w:r>
              <w:rPr>
                <w:rFonts w:hint="eastAsia"/>
                <w:bCs/>
                <w:sz w:val="24"/>
                <w:lang w:val="en-US" w:eastAsia="zh-CN"/>
              </w:rPr>
              <w:t>混合</w:t>
            </w:r>
            <w:r>
              <w:rPr>
                <w:rFonts w:hint="eastAsia"/>
                <w:bCs/>
                <w:sz w:val="24"/>
              </w:rPr>
              <w:t>搅拌</w:t>
            </w:r>
            <w:r>
              <w:rPr>
                <w:rFonts w:hint="eastAsia"/>
                <w:bCs/>
                <w:sz w:val="24"/>
                <w:lang w:eastAsia="zh-CN"/>
              </w:rPr>
              <w:t>、</w:t>
            </w:r>
            <w:r>
              <w:rPr>
                <w:rFonts w:hint="eastAsia"/>
                <w:bCs/>
                <w:sz w:val="24"/>
                <w:lang w:val="en-US" w:eastAsia="zh-CN"/>
              </w:rPr>
              <w:t>造球</w:t>
            </w:r>
            <w:r>
              <w:rPr>
                <w:rFonts w:hint="eastAsia"/>
                <w:bCs/>
                <w:sz w:val="24"/>
              </w:rPr>
              <w:t>，</w:t>
            </w:r>
            <w:r>
              <w:rPr>
                <w:rFonts w:hint="eastAsia"/>
                <w:bCs/>
                <w:sz w:val="24"/>
                <w:lang w:val="en-US" w:eastAsia="zh-CN"/>
              </w:rPr>
              <w:t>且物料均加水混合造球，配料过程会产生少量粉尘；回转窑窑头窑尾处于未完全封闭状态，回转窑在运行过程中在窑头窑尾会有粉尘产生。</w:t>
            </w:r>
          </w:p>
          <w:p w14:paraId="0A52514F">
            <w:pPr>
              <w:spacing w:line="500" w:lineRule="exact"/>
              <w:ind w:firstLine="600" w:firstLineChars="250"/>
              <w:rPr>
                <w:rFonts w:hint="eastAsia"/>
                <w:bCs/>
                <w:sz w:val="24"/>
              </w:rPr>
            </w:pPr>
            <w:r>
              <w:rPr>
                <w:rFonts w:hint="eastAsia"/>
                <w:bCs/>
                <w:sz w:val="24"/>
              </w:rPr>
              <w:t>参考《逸散性工业粉尘控制技术》</w:t>
            </w:r>
            <w:r>
              <w:rPr>
                <w:rFonts w:hint="eastAsia"/>
                <w:bCs/>
                <w:sz w:val="24"/>
                <w:lang w:val="en-US" w:eastAsia="zh-CN"/>
              </w:rPr>
              <w:t>及</w:t>
            </w:r>
            <w:r>
              <w:rPr>
                <w:rFonts w:hint="eastAsia"/>
                <w:bCs/>
                <w:sz w:val="24"/>
              </w:rPr>
              <w:t>按照</w:t>
            </w:r>
            <w:r>
              <w:rPr>
                <w:rFonts w:hint="eastAsia"/>
                <w:bCs/>
                <w:sz w:val="24"/>
                <w:lang w:val="en-US" w:eastAsia="zh-CN"/>
              </w:rPr>
              <w:t>建设单位</w:t>
            </w:r>
            <w:r>
              <w:rPr>
                <w:rFonts w:hint="eastAsia"/>
                <w:bCs/>
                <w:sz w:val="24"/>
              </w:rPr>
              <w:t>设计经验，颗粒物产尘量按物料总量的万分之一计，约为</w:t>
            </w:r>
            <w:r>
              <w:rPr>
                <w:rFonts w:hint="eastAsia"/>
                <w:bCs/>
                <w:sz w:val="24"/>
                <w:lang w:val="en-US" w:eastAsia="zh-CN"/>
              </w:rPr>
              <w:t>20</w:t>
            </w:r>
            <w:r>
              <w:rPr>
                <w:rFonts w:hint="eastAsia"/>
                <w:bCs/>
                <w:sz w:val="24"/>
              </w:rPr>
              <w:t>t</w:t>
            </w:r>
            <w:r>
              <w:rPr>
                <w:rFonts w:hint="eastAsia"/>
                <w:bCs/>
                <w:sz w:val="24"/>
                <w:lang w:val="en-US" w:eastAsia="zh-CN"/>
              </w:rPr>
              <w:t>/</w:t>
            </w:r>
            <w:r>
              <w:rPr>
                <w:rFonts w:hint="eastAsia"/>
                <w:bCs/>
                <w:sz w:val="24"/>
              </w:rPr>
              <w:t>a。</w:t>
            </w:r>
          </w:p>
          <w:p w14:paraId="64428268">
            <w:pPr>
              <w:spacing w:line="500" w:lineRule="exact"/>
              <w:ind w:firstLine="600" w:firstLineChars="250"/>
              <w:rPr>
                <w:rFonts w:hint="default" w:eastAsia="宋体"/>
                <w:bCs/>
                <w:sz w:val="24"/>
                <w:lang w:val="en-US" w:eastAsia="zh-CN"/>
              </w:rPr>
            </w:pPr>
            <w:r>
              <w:rPr>
                <w:rFonts w:hint="eastAsia"/>
                <w:bCs/>
                <w:sz w:val="24"/>
              </w:rPr>
              <w:t>项目设置一套除尘设备</w:t>
            </w:r>
            <w:r>
              <w:rPr>
                <w:rFonts w:hint="eastAsia"/>
                <w:bCs/>
                <w:sz w:val="24"/>
                <w:lang w:val="en-US" w:eastAsia="zh-CN"/>
              </w:rPr>
              <w:t>对配料和窑头窑尾粉尘进行收集由布袋除尘器处理后由26</w:t>
            </w:r>
            <w:r>
              <w:rPr>
                <w:rFonts w:hint="eastAsia"/>
                <w:bCs/>
                <w:sz w:val="24"/>
              </w:rPr>
              <w:t>m高排气</w:t>
            </w:r>
            <w:r>
              <w:rPr>
                <w:rFonts w:hint="eastAsia"/>
                <w:bCs/>
                <w:sz w:val="24"/>
                <w:lang w:val="en-US" w:eastAsia="zh-CN"/>
              </w:rPr>
              <w:t>筒</w:t>
            </w:r>
            <w:r>
              <w:rPr>
                <w:rFonts w:hint="eastAsia"/>
                <w:bCs/>
                <w:sz w:val="24"/>
              </w:rPr>
              <w:t>排放。集气罩收集效率&gt;80%，布袋除尘效率&gt;99%，风机风量为</w:t>
            </w:r>
            <w:r>
              <w:rPr>
                <w:rFonts w:hint="eastAsia"/>
                <w:bCs/>
                <w:sz w:val="24"/>
                <w:lang w:val="en-US" w:eastAsia="zh-CN"/>
              </w:rPr>
              <w:t>180000</w:t>
            </w:r>
            <w:r>
              <w:rPr>
                <w:rFonts w:hint="eastAsia"/>
                <w:bCs/>
                <w:sz w:val="24"/>
              </w:rPr>
              <w:t>m</w:t>
            </w:r>
            <w:r>
              <w:rPr>
                <w:rFonts w:hint="eastAsia"/>
                <w:bCs/>
                <w:sz w:val="24"/>
                <w:vertAlign w:val="superscript"/>
              </w:rPr>
              <w:t>3</w:t>
            </w:r>
            <w:r>
              <w:rPr>
                <w:rFonts w:hint="eastAsia"/>
                <w:bCs/>
                <w:sz w:val="24"/>
                <w:lang w:val="en-US" w:eastAsia="zh-CN"/>
              </w:rPr>
              <w:t>/</w:t>
            </w:r>
            <w:r>
              <w:rPr>
                <w:rFonts w:hint="eastAsia"/>
                <w:bCs/>
                <w:sz w:val="24"/>
              </w:rPr>
              <w:t>h</w:t>
            </w:r>
            <w:r>
              <w:rPr>
                <w:rFonts w:hint="eastAsia"/>
                <w:bCs/>
                <w:sz w:val="24"/>
                <w:lang w:eastAsia="zh-CN"/>
              </w:rPr>
              <w:t>，</w:t>
            </w:r>
            <w:r>
              <w:rPr>
                <w:rFonts w:hint="eastAsia"/>
                <w:bCs/>
                <w:sz w:val="24"/>
                <w:lang w:val="en-US" w:eastAsia="zh-CN"/>
              </w:rPr>
              <w:t>则配料、窑头窑尾废气产排情况详见表4-2。</w:t>
            </w:r>
          </w:p>
          <w:p w14:paraId="5319CC19">
            <w:pPr>
              <w:pStyle w:val="48"/>
              <w:numPr>
                <w:ilvl w:val="2"/>
                <w:numId w:val="4"/>
              </w:numPr>
              <w:spacing w:line="500" w:lineRule="atLeast"/>
              <w:ind w:firstLineChars="0"/>
              <w:jc w:val="center"/>
              <w:rPr>
                <w:b/>
                <w:sz w:val="24"/>
              </w:rPr>
            </w:pPr>
            <w:r>
              <w:rPr>
                <w:rFonts w:hint="eastAsia"/>
                <w:b/>
                <w:sz w:val="24"/>
              </w:rPr>
              <w:t>废气产排情况一览表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741"/>
              <w:gridCol w:w="555"/>
              <w:gridCol w:w="780"/>
              <w:gridCol w:w="825"/>
              <w:gridCol w:w="720"/>
              <w:gridCol w:w="765"/>
              <w:gridCol w:w="945"/>
              <w:gridCol w:w="855"/>
              <w:gridCol w:w="840"/>
              <w:gridCol w:w="561"/>
            </w:tblGrid>
            <w:tr w14:paraId="7954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vMerge w:val="restart"/>
                  <w:shd w:val="clear" w:color="auto" w:fill="auto"/>
                  <w:vAlign w:val="center"/>
                </w:tcPr>
                <w:p w14:paraId="1F70B7C1">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污染源</w:t>
                  </w:r>
                </w:p>
              </w:tc>
              <w:tc>
                <w:tcPr>
                  <w:tcW w:w="741" w:type="dxa"/>
                  <w:vMerge w:val="restart"/>
                  <w:shd w:val="clear" w:color="auto" w:fill="auto"/>
                  <w:vAlign w:val="center"/>
                </w:tcPr>
                <w:p w14:paraId="3474EB09">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排气量（m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/a）</w:t>
                  </w:r>
                </w:p>
              </w:tc>
              <w:tc>
                <w:tcPr>
                  <w:tcW w:w="5445" w:type="dxa"/>
                  <w:gridSpan w:val="7"/>
                  <w:vAlign w:val="center"/>
                </w:tcPr>
                <w:p w14:paraId="54865ED4">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污染物产生情况</w:t>
                  </w:r>
                </w:p>
              </w:tc>
              <w:tc>
                <w:tcPr>
                  <w:tcW w:w="840" w:type="dxa"/>
                  <w:vMerge w:val="restart"/>
                  <w:vAlign w:val="center"/>
                </w:tcPr>
                <w:p w14:paraId="2EE5F355">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标准限值</w:t>
                  </w:r>
                  <w:r>
                    <w:rPr>
                      <w:rFonts w:hint="eastAsia" w:ascii="Times New Roman" w:hAnsi="Times New Roman" w:eastAsia="宋体"/>
                      <w:color w:val="auto"/>
                      <w:spacing w:val="0"/>
                      <w:sz w:val="21"/>
                      <w:szCs w:val="21"/>
                    </w:rPr>
                    <w:t>（mg/m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w:t>
                  </w:r>
                </w:p>
              </w:tc>
              <w:tc>
                <w:tcPr>
                  <w:tcW w:w="561" w:type="dxa"/>
                  <w:vMerge w:val="restart"/>
                  <w:vAlign w:val="center"/>
                </w:tcPr>
                <w:p w14:paraId="16B65991">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达标情况</w:t>
                  </w:r>
                </w:p>
              </w:tc>
            </w:tr>
            <w:tr w14:paraId="18ED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vMerge w:val="continue"/>
                  <w:shd w:val="clear" w:color="auto" w:fill="auto"/>
                  <w:vAlign w:val="center"/>
                </w:tcPr>
                <w:p w14:paraId="11901710">
                  <w:pPr>
                    <w:spacing w:line="240" w:lineRule="exact"/>
                    <w:jc w:val="center"/>
                    <w:rPr>
                      <w:rFonts w:ascii="Times New Roman" w:hAnsi="Times New Roman" w:eastAsia="宋体"/>
                      <w:color w:val="auto"/>
                      <w:spacing w:val="0"/>
                      <w:sz w:val="21"/>
                      <w:szCs w:val="21"/>
                    </w:rPr>
                  </w:pPr>
                </w:p>
              </w:tc>
              <w:tc>
                <w:tcPr>
                  <w:tcW w:w="741" w:type="dxa"/>
                  <w:vMerge w:val="continue"/>
                  <w:shd w:val="clear" w:color="auto" w:fill="auto"/>
                  <w:vAlign w:val="center"/>
                </w:tcPr>
                <w:p w14:paraId="0DC47FD9">
                  <w:pPr>
                    <w:spacing w:line="240" w:lineRule="exact"/>
                    <w:jc w:val="center"/>
                    <w:rPr>
                      <w:rFonts w:ascii="Times New Roman" w:hAnsi="Times New Roman" w:eastAsia="宋体"/>
                      <w:color w:val="auto"/>
                      <w:spacing w:val="0"/>
                      <w:sz w:val="21"/>
                      <w:szCs w:val="21"/>
                    </w:rPr>
                  </w:pPr>
                </w:p>
              </w:tc>
              <w:tc>
                <w:tcPr>
                  <w:tcW w:w="555" w:type="dxa"/>
                  <w:shd w:val="clear" w:color="auto" w:fill="auto"/>
                  <w:vAlign w:val="center"/>
                </w:tcPr>
                <w:p w14:paraId="43612986">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污染因子</w:t>
                  </w:r>
                </w:p>
              </w:tc>
              <w:tc>
                <w:tcPr>
                  <w:tcW w:w="780" w:type="dxa"/>
                  <w:shd w:val="clear" w:color="auto" w:fill="auto"/>
                  <w:vAlign w:val="center"/>
                </w:tcPr>
                <w:p w14:paraId="72C49D2A">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产生量（t/a）</w:t>
                  </w:r>
                </w:p>
              </w:tc>
              <w:tc>
                <w:tcPr>
                  <w:tcW w:w="825" w:type="dxa"/>
                  <w:vAlign w:val="center"/>
                </w:tcPr>
                <w:p w14:paraId="463EF4F5">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产生浓度（mg/m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w:t>
                  </w:r>
                </w:p>
              </w:tc>
              <w:tc>
                <w:tcPr>
                  <w:tcW w:w="720" w:type="dxa"/>
                  <w:vAlign w:val="center"/>
                </w:tcPr>
                <w:p w14:paraId="7AC6AAD0">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处理措施</w:t>
                  </w:r>
                </w:p>
              </w:tc>
              <w:tc>
                <w:tcPr>
                  <w:tcW w:w="765" w:type="dxa"/>
                  <w:vAlign w:val="center"/>
                </w:tcPr>
                <w:p w14:paraId="3F74CFB2">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处理效率（%）</w:t>
                  </w:r>
                </w:p>
              </w:tc>
              <w:tc>
                <w:tcPr>
                  <w:tcW w:w="945" w:type="dxa"/>
                  <w:vAlign w:val="center"/>
                </w:tcPr>
                <w:p w14:paraId="59DB8AFF">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排放量（t/a）</w:t>
                  </w:r>
                </w:p>
              </w:tc>
              <w:tc>
                <w:tcPr>
                  <w:tcW w:w="855" w:type="dxa"/>
                  <w:vAlign w:val="center"/>
                </w:tcPr>
                <w:p w14:paraId="0DB1610D">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排放浓度（mg/m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w:t>
                  </w:r>
                </w:p>
              </w:tc>
              <w:tc>
                <w:tcPr>
                  <w:tcW w:w="840" w:type="dxa"/>
                  <w:vMerge w:val="continue"/>
                  <w:vAlign w:val="center"/>
                </w:tcPr>
                <w:p w14:paraId="6DEBFE7D">
                  <w:pPr>
                    <w:spacing w:line="240" w:lineRule="exact"/>
                    <w:jc w:val="center"/>
                    <w:rPr>
                      <w:rFonts w:hint="default" w:ascii="Times New Roman" w:hAnsi="Times New Roman" w:eastAsia="宋体"/>
                      <w:color w:val="auto"/>
                      <w:spacing w:val="0"/>
                      <w:sz w:val="21"/>
                      <w:szCs w:val="21"/>
                      <w:lang w:val="en-US" w:eastAsia="zh-CN"/>
                    </w:rPr>
                  </w:pPr>
                </w:p>
              </w:tc>
              <w:tc>
                <w:tcPr>
                  <w:tcW w:w="561" w:type="dxa"/>
                  <w:vMerge w:val="continue"/>
                  <w:vAlign w:val="center"/>
                </w:tcPr>
                <w:p w14:paraId="4FEE3D07">
                  <w:pPr>
                    <w:spacing w:line="240" w:lineRule="exact"/>
                    <w:jc w:val="center"/>
                    <w:rPr>
                      <w:rFonts w:hint="default" w:ascii="Times New Roman" w:hAnsi="Times New Roman" w:eastAsia="宋体"/>
                      <w:color w:val="auto"/>
                      <w:spacing w:val="0"/>
                      <w:sz w:val="21"/>
                      <w:szCs w:val="21"/>
                      <w:lang w:val="en-US" w:eastAsia="zh-CN"/>
                    </w:rPr>
                  </w:pPr>
                </w:p>
              </w:tc>
            </w:tr>
            <w:tr w14:paraId="5803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6" w:type="dxa"/>
                  <w:gridSpan w:val="11"/>
                  <w:shd w:val="clear" w:color="auto" w:fill="auto"/>
                  <w:vAlign w:val="center"/>
                </w:tcPr>
                <w:p w14:paraId="7AF7F3BF">
                  <w:pPr>
                    <w:spacing w:line="240" w:lineRule="exact"/>
                    <w:jc w:val="center"/>
                    <w:rPr>
                      <w:rFonts w:hint="eastAsia"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有组织</w:t>
                  </w:r>
                </w:p>
              </w:tc>
            </w:tr>
            <w:tr w14:paraId="59CA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shd w:val="clear" w:color="auto" w:fill="auto"/>
                  <w:vAlign w:val="center"/>
                </w:tcPr>
                <w:p w14:paraId="78453093">
                  <w:pPr>
                    <w:spacing w:line="240" w:lineRule="exact"/>
                    <w:jc w:val="center"/>
                    <w:rPr>
                      <w:rFonts w:hint="default"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配料</w:t>
                  </w:r>
                  <w:r>
                    <w:rPr>
                      <w:rFonts w:hint="eastAsia"/>
                      <w:color w:val="auto"/>
                      <w:spacing w:val="0"/>
                      <w:sz w:val="21"/>
                      <w:szCs w:val="21"/>
                      <w:lang w:val="en-US" w:eastAsia="zh-CN"/>
                    </w:rPr>
                    <w:t>、窑头窑尾</w:t>
                  </w:r>
                </w:p>
              </w:tc>
              <w:tc>
                <w:tcPr>
                  <w:tcW w:w="741" w:type="dxa"/>
                  <w:shd w:val="clear" w:color="auto" w:fill="auto"/>
                  <w:vAlign w:val="center"/>
                </w:tcPr>
                <w:p w14:paraId="11D66E8D">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lang w:val="en-US" w:eastAsia="zh-CN"/>
                    </w:rPr>
                    <w:t>133920</w:t>
                  </w:r>
                  <w:r>
                    <w:rPr>
                      <w:rFonts w:hint="eastAsia" w:ascii="Times New Roman" w:hAnsi="Times New Roman" w:eastAsia="宋体"/>
                      <w:color w:val="auto"/>
                      <w:spacing w:val="0"/>
                      <w:sz w:val="21"/>
                      <w:szCs w:val="21"/>
                    </w:rPr>
                    <w:t>万m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/a</w:t>
                  </w:r>
                </w:p>
              </w:tc>
              <w:tc>
                <w:tcPr>
                  <w:tcW w:w="555" w:type="dxa"/>
                  <w:shd w:val="clear" w:color="auto" w:fill="auto"/>
                  <w:vAlign w:val="center"/>
                </w:tcPr>
                <w:p w14:paraId="15196CE1">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颗粒物</w:t>
                  </w:r>
                </w:p>
              </w:tc>
              <w:tc>
                <w:tcPr>
                  <w:tcW w:w="780" w:type="dxa"/>
                  <w:shd w:val="clear" w:color="auto" w:fill="auto"/>
                  <w:vAlign w:val="center"/>
                </w:tcPr>
                <w:p w14:paraId="1BD5000A">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16</w:t>
                  </w:r>
                </w:p>
              </w:tc>
              <w:tc>
                <w:tcPr>
                  <w:tcW w:w="825" w:type="dxa"/>
                  <w:vAlign w:val="center"/>
                </w:tcPr>
                <w:p w14:paraId="32A24271">
                  <w:pPr>
                    <w:spacing w:line="240" w:lineRule="exact"/>
                    <w:jc w:val="center"/>
                    <w:rPr>
                      <w:rFonts w:hint="default"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11.95</w:t>
                  </w:r>
                </w:p>
              </w:tc>
              <w:tc>
                <w:tcPr>
                  <w:tcW w:w="720" w:type="dxa"/>
                  <w:vAlign w:val="center"/>
                </w:tcPr>
                <w:p w14:paraId="7B601D23">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袋式除尘器</w:t>
                  </w:r>
                </w:p>
              </w:tc>
              <w:tc>
                <w:tcPr>
                  <w:tcW w:w="765" w:type="dxa"/>
                  <w:vAlign w:val="center"/>
                </w:tcPr>
                <w:p w14:paraId="6A453508">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99</w:t>
                  </w:r>
                </w:p>
              </w:tc>
              <w:tc>
                <w:tcPr>
                  <w:tcW w:w="945" w:type="dxa"/>
                  <w:vAlign w:val="center"/>
                </w:tcPr>
                <w:p w14:paraId="37045947">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0.16</w:t>
                  </w:r>
                </w:p>
              </w:tc>
              <w:tc>
                <w:tcPr>
                  <w:tcW w:w="855" w:type="dxa"/>
                  <w:vAlign w:val="center"/>
                </w:tcPr>
                <w:p w14:paraId="4D8E3485">
                  <w:pPr>
                    <w:spacing w:line="240" w:lineRule="exact"/>
                    <w:jc w:val="center"/>
                    <w:rPr>
                      <w:rFonts w:hint="default"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0.12</w:t>
                  </w:r>
                </w:p>
              </w:tc>
              <w:tc>
                <w:tcPr>
                  <w:tcW w:w="840" w:type="dxa"/>
                  <w:vAlign w:val="center"/>
                </w:tcPr>
                <w:p w14:paraId="2D12480A">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120</w:t>
                  </w:r>
                </w:p>
              </w:tc>
              <w:tc>
                <w:tcPr>
                  <w:tcW w:w="561" w:type="dxa"/>
                  <w:vAlign w:val="center"/>
                </w:tcPr>
                <w:p w14:paraId="3A77AB5D">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达标</w:t>
                  </w:r>
                </w:p>
              </w:tc>
            </w:tr>
            <w:tr w14:paraId="061D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6" w:type="dxa"/>
                  <w:gridSpan w:val="11"/>
                  <w:shd w:val="clear" w:color="auto" w:fill="auto"/>
                  <w:vAlign w:val="center"/>
                </w:tcPr>
                <w:p w14:paraId="01481FAF">
                  <w:pPr>
                    <w:spacing w:line="240" w:lineRule="exact"/>
                    <w:jc w:val="center"/>
                    <w:rPr>
                      <w:rFonts w:hint="eastAsia"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无</w:t>
                  </w:r>
                  <w:r>
                    <w:rPr>
                      <w:rFonts w:hint="eastAsia"/>
                      <w:color w:val="auto"/>
                      <w:spacing w:val="0"/>
                      <w:sz w:val="21"/>
                      <w:szCs w:val="21"/>
                      <w:lang w:val="en-US" w:eastAsia="zh-CN"/>
                    </w:rPr>
                    <w:t>组织</w:t>
                  </w:r>
                </w:p>
              </w:tc>
            </w:tr>
            <w:tr w14:paraId="2237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shd w:val="clear" w:color="auto" w:fill="auto"/>
                  <w:vAlign w:val="center"/>
                </w:tcPr>
                <w:p w14:paraId="40F9EB74">
                  <w:pPr>
                    <w:spacing w:line="240" w:lineRule="exact"/>
                    <w:jc w:val="center"/>
                    <w:rPr>
                      <w:rFonts w:hint="eastAsia"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配料</w:t>
                  </w:r>
                  <w:r>
                    <w:rPr>
                      <w:rFonts w:hint="eastAsia"/>
                      <w:color w:val="auto"/>
                      <w:spacing w:val="0"/>
                      <w:sz w:val="21"/>
                      <w:szCs w:val="21"/>
                      <w:lang w:val="en-US" w:eastAsia="zh-CN"/>
                    </w:rPr>
                    <w:t>、窑头窑尾</w:t>
                  </w:r>
                </w:p>
              </w:tc>
              <w:tc>
                <w:tcPr>
                  <w:tcW w:w="741" w:type="dxa"/>
                  <w:shd w:val="clear" w:color="auto" w:fill="auto"/>
                  <w:vAlign w:val="center"/>
                </w:tcPr>
                <w:p w14:paraId="32C62EF4">
                  <w:pPr>
                    <w:spacing w:line="240" w:lineRule="exact"/>
                    <w:jc w:val="center"/>
                    <w:rPr>
                      <w:rFonts w:hint="eastAsia"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w:t>
                  </w:r>
                </w:p>
              </w:tc>
              <w:tc>
                <w:tcPr>
                  <w:tcW w:w="555" w:type="dxa"/>
                  <w:shd w:val="clear" w:color="auto" w:fill="auto"/>
                  <w:vAlign w:val="center"/>
                </w:tcPr>
                <w:p w14:paraId="2FE2854D">
                  <w:pPr>
                    <w:spacing w:line="240" w:lineRule="exact"/>
                    <w:jc w:val="center"/>
                    <w:rPr>
                      <w:rFonts w:hint="eastAsia"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颗粒物</w:t>
                  </w:r>
                </w:p>
              </w:tc>
              <w:tc>
                <w:tcPr>
                  <w:tcW w:w="780" w:type="dxa"/>
                  <w:shd w:val="clear" w:color="auto" w:fill="auto"/>
                  <w:vAlign w:val="center"/>
                </w:tcPr>
                <w:p w14:paraId="0BE7976D">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4</w:t>
                  </w:r>
                </w:p>
              </w:tc>
              <w:tc>
                <w:tcPr>
                  <w:tcW w:w="825" w:type="dxa"/>
                  <w:vAlign w:val="center"/>
                </w:tcPr>
                <w:p w14:paraId="271B6012">
                  <w:pPr>
                    <w:spacing w:line="240" w:lineRule="exact"/>
                    <w:jc w:val="center"/>
                    <w:rPr>
                      <w:rFonts w:hint="default"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w:t>
                  </w:r>
                </w:p>
              </w:tc>
              <w:tc>
                <w:tcPr>
                  <w:tcW w:w="720" w:type="dxa"/>
                  <w:vAlign w:val="center"/>
                </w:tcPr>
                <w:p w14:paraId="26700B86">
                  <w:pPr>
                    <w:spacing w:line="240" w:lineRule="exact"/>
                    <w:jc w:val="center"/>
                    <w:rPr>
                      <w:rFonts w:hint="eastAsia"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w:t>
                  </w:r>
                </w:p>
              </w:tc>
              <w:tc>
                <w:tcPr>
                  <w:tcW w:w="765" w:type="dxa"/>
                  <w:vAlign w:val="center"/>
                </w:tcPr>
                <w:p w14:paraId="7AF9FC81">
                  <w:pPr>
                    <w:spacing w:line="240" w:lineRule="exact"/>
                    <w:jc w:val="center"/>
                    <w:rPr>
                      <w:rFonts w:hint="eastAsia"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0</w:t>
                  </w:r>
                </w:p>
              </w:tc>
              <w:tc>
                <w:tcPr>
                  <w:tcW w:w="945" w:type="dxa"/>
                  <w:shd w:val="clear" w:color="auto" w:fill="auto"/>
                  <w:vAlign w:val="center"/>
                </w:tcPr>
                <w:p w14:paraId="1A39F47F">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4</w:t>
                  </w:r>
                </w:p>
              </w:tc>
              <w:tc>
                <w:tcPr>
                  <w:tcW w:w="855" w:type="dxa"/>
                  <w:shd w:val="clear" w:color="auto" w:fill="auto"/>
                  <w:vAlign w:val="center"/>
                </w:tcPr>
                <w:p w14:paraId="4372BDED">
                  <w:pPr>
                    <w:spacing w:line="240" w:lineRule="exact"/>
                    <w:jc w:val="center"/>
                    <w:rPr>
                      <w:rFonts w:hint="default" w:ascii="Times New Roman" w:hAnsi="Times New Roman" w:eastAsia="宋体"/>
                      <w:color w:val="auto"/>
                      <w:spacing w:val="0"/>
                      <w:sz w:val="21"/>
                      <w:szCs w:val="21"/>
                      <w:lang w:val="en-US" w:eastAsia="zh-CN"/>
                    </w:rPr>
                  </w:pPr>
                  <w:r>
                    <w:rPr>
                      <w:rFonts w:hint="eastAsia" w:ascii="Times New Roman" w:hAnsi="Times New Roman" w:eastAsia="宋体"/>
                      <w:color w:val="auto"/>
                      <w:spacing w:val="0"/>
                      <w:sz w:val="21"/>
                      <w:szCs w:val="21"/>
                      <w:lang w:val="en-US" w:eastAsia="zh-CN"/>
                    </w:rPr>
                    <w:t>/</w:t>
                  </w:r>
                </w:p>
              </w:tc>
              <w:tc>
                <w:tcPr>
                  <w:tcW w:w="840" w:type="dxa"/>
                  <w:shd w:val="clear" w:color="auto" w:fill="auto"/>
                  <w:vAlign w:val="center"/>
                </w:tcPr>
                <w:p w14:paraId="0457C6DB">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w:t>
                  </w:r>
                </w:p>
              </w:tc>
              <w:tc>
                <w:tcPr>
                  <w:tcW w:w="561" w:type="dxa"/>
                  <w:shd w:val="clear" w:color="auto" w:fill="auto"/>
                  <w:vAlign w:val="center"/>
                </w:tcPr>
                <w:p w14:paraId="663EC0AB">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w:t>
                  </w:r>
                </w:p>
              </w:tc>
            </w:tr>
          </w:tbl>
          <w:p w14:paraId="6DD102B0">
            <w:pPr>
              <w:spacing w:line="500" w:lineRule="exact"/>
              <w:ind w:firstLine="602" w:firstLineChars="250"/>
              <w:rPr>
                <w:rFonts w:hint="eastAsia"/>
                <w:b/>
                <w:bCs/>
                <w:sz w:val="24"/>
              </w:rPr>
            </w:pPr>
          </w:p>
          <w:p w14:paraId="1E54BA3D">
            <w:pPr>
              <w:spacing w:line="500" w:lineRule="exact"/>
              <w:ind w:firstLine="602" w:firstLineChars="250"/>
              <w:rPr>
                <w:rFonts w:hint="default" w:eastAsia="宋体"/>
                <w:b/>
                <w:bCs/>
                <w:sz w:val="24"/>
                <w:lang w:val="en-US" w:eastAsia="zh-CN"/>
              </w:rPr>
            </w:pPr>
            <w:r>
              <w:rPr>
                <w:rFonts w:hint="eastAsia"/>
                <w:b/>
                <w:bCs/>
                <w:sz w:val="24"/>
              </w:rPr>
              <w:t>（2）</w:t>
            </w:r>
            <w:r>
              <w:rPr>
                <w:rFonts w:hint="eastAsia"/>
                <w:b/>
                <w:bCs/>
                <w:sz w:val="24"/>
                <w:lang w:val="en-US" w:eastAsia="zh-CN"/>
              </w:rPr>
              <w:t>回转窑烟气</w:t>
            </w:r>
          </w:p>
          <w:p w14:paraId="073CF24F">
            <w:pPr>
              <w:spacing w:line="500" w:lineRule="exact"/>
              <w:ind w:firstLine="600" w:firstLineChars="250"/>
              <w:rPr>
                <w:rFonts w:hint="default" w:ascii="宋体" w:hAnsi="宋体" w:eastAsia="宋体" w:cs="宋体"/>
                <w:bCs/>
                <w:sz w:val="24"/>
                <w:lang w:val="en-US" w:eastAsia="zh-CN"/>
              </w:rPr>
            </w:pPr>
            <w:r>
              <w:rPr>
                <w:rFonts w:hint="eastAsia" w:ascii="宋体" w:hAnsi="宋体" w:eastAsia="宋体" w:cs="宋体"/>
                <w:bCs/>
                <w:sz w:val="24"/>
              </w:rPr>
              <w:t>①</w:t>
            </w:r>
            <w:r>
              <w:rPr>
                <w:rFonts w:hint="eastAsia" w:ascii="宋体" w:hAnsi="宋体" w:eastAsia="宋体" w:cs="宋体"/>
                <w:bCs/>
                <w:sz w:val="24"/>
                <w:lang w:val="en-US" w:eastAsia="zh-CN"/>
              </w:rPr>
              <w:t>焦粉燃烧废气</w:t>
            </w:r>
          </w:p>
          <w:p w14:paraId="433318CE">
            <w:pPr>
              <w:spacing w:line="500" w:lineRule="exact"/>
              <w:ind w:firstLine="600" w:firstLineChars="250"/>
              <w:rPr>
                <w:rFonts w:hint="eastAsia"/>
                <w:bCs/>
                <w:sz w:val="24"/>
                <w:lang w:val="en-US" w:eastAsia="zh-CN"/>
              </w:rPr>
            </w:pPr>
            <w:r>
              <w:rPr>
                <w:rFonts w:hint="eastAsia"/>
                <w:bCs/>
                <w:sz w:val="24"/>
                <w:lang w:val="en-US" w:eastAsia="zh-CN"/>
              </w:rPr>
              <w:t>焦粉</w:t>
            </w:r>
            <w:r>
              <w:rPr>
                <w:rFonts w:hint="eastAsia"/>
                <w:bCs/>
                <w:sz w:val="24"/>
              </w:rPr>
              <w:t>产生污染物参考《排放源统计调查产排污核算方法和系数手册-4430工业锅炉（热力供应）行业系数手册》中“</w:t>
            </w:r>
            <w:r>
              <w:rPr>
                <w:rFonts w:hint="eastAsia"/>
                <w:bCs/>
                <w:sz w:val="24"/>
                <w:lang w:val="en-US" w:eastAsia="zh-CN"/>
              </w:rPr>
              <w:t>层燃</w:t>
            </w:r>
            <w:r>
              <w:rPr>
                <w:rFonts w:hint="eastAsia"/>
                <w:bCs/>
                <w:sz w:val="24"/>
              </w:rPr>
              <w:t>炉-</w:t>
            </w:r>
            <w:r>
              <w:rPr>
                <w:rFonts w:hint="eastAsia"/>
                <w:bCs/>
                <w:sz w:val="24"/>
                <w:lang w:val="en-US" w:eastAsia="zh-CN"/>
              </w:rPr>
              <w:t>无</w:t>
            </w:r>
            <w:r>
              <w:rPr>
                <w:rFonts w:hint="eastAsia"/>
                <w:bCs/>
                <w:sz w:val="24"/>
              </w:rPr>
              <w:t>烟煤”的污染物排放系数</w:t>
            </w:r>
            <w:r>
              <w:rPr>
                <w:rFonts w:hint="eastAsia"/>
                <w:bCs/>
                <w:sz w:val="24"/>
                <w:lang w:eastAsia="zh-CN"/>
              </w:rPr>
              <w:t>，</w:t>
            </w:r>
            <w:r>
              <w:rPr>
                <w:rFonts w:hint="eastAsia"/>
                <w:bCs/>
                <w:sz w:val="24"/>
                <w:lang w:val="en-US" w:eastAsia="zh-CN"/>
              </w:rPr>
              <w:t>产污系数详见表4-3</w:t>
            </w:r>
            <w:r>
              <w:rPr>
                <w:rFonts w:hint="eastAsia"/>
                <w:bCs/>
                <w:sz w:val="24"/>
              </w:rPr>
              <w:t>，</w:t>
            </w:r>
            <w:r>
              <w:rPr>
                <w:rFonts w:hint="eastAsia"/>
                <w:bCs/>
                <w:sz w:val="24"/>
                <w:lang w:val="en-US" w:eastAsia="zh-CN"/>
              </w:rPr>
              <w:t>焦粉</w:t>
            </w:r>
            <w:r>
              <w:rPr>
                <w:rFonts w:hint="eastAsia"/>
                <w:bCs/>
                <w:sz w:val="24"/>
              </w:rPr>
              <w:t>使用量为</w:t>
            </w:r>
            <w:r>
              <w:rPr>
                <w:rFonts w:hint="eastAsia"/>
                <w:bCs/>
                <w:sz w:val="24"/>
                <w:lang w:val="en-US" w:eastAsia="zh-CN"/>
              </w:rPr>
              <w:t>8000</w:t>
            </w:r>
            <w:r>
              <w:rPr>
                <w:rFonts w:hint="eastAsia"/>
                <w:bCs/>
                <w:sz w:val="24"/>
              </w:rPr>
              <w:t>t/a，</w:t>
            </w:r>
            <w:r>
              <w:rPr>
                <w:rFonts w:hint="eastAsia"/>
                <w:bCs/>
                <w:sz w:val="24"/>
                <w:lang w:val="en-US" w:eastAsia="zh-CN"/>
              </w:rPr>
              <w:t>参考《基于回转窑直接还原工艺处理含锌尘泥过程数值模拟》（江西冶金第42卷 第五期），通过数值模拟，焦粉在作为还原剂+热源双功能原料，其固定碳的消耗分配受回转窑还原气氛控制、焙烧温度、配风方式等影响，参与还原反应量约68%～72%，参与燃烧量约28%～32%，本次评价按30%计，即2400t/a焦粉参与燃烧，</w:t>
            </w:r>
            <w:r>
              <w:rPr>
                <w:rFonts w:hint="eastAsia"/>
                <w:bCs/>
                <w:sz w:val="24"/>
              </w:rPr>
              <w:t>则</w:t>
            </w:r>
            <w:r>
              <w:rPr>
                <w:rFonts w:hint="eastAsia"/>
                <w:bCs/>
                <w:sz w:val="24"/>
                <w:lang w:val="en-US" w:eastAsia="zh-CN"/>
              </w:rPr>
              <w:t>焦粉</w:t>
            </w:r>
            <w:r>
              <w:rPr>
                <w:rFonts w:hint="eastAsia"/>
                <w:bCs/>
                <w:sz w:val="24"/>
              </w:rPr>
              <w:t>燃烧废气产排情况详见表</w:t>
            </w:r>
            <w:r>
              <w:rPr>
                <w:rFonts w:hint="eastAsia"/>
                <w:bCs/>
                <w:sz w:val="24"/>
                <w:lang w:val="en-US" w:eastAsia="zh-CN"/>
              </w:rPr>
              <w:t>4-4。</w:t>
            </w:r>
          </w:p>
          <w:p w14:paraId="55353B09">
            <w:pPr>
              <w:pStyle w:val="48"/>
              <w:numPr>
                <w:ilvl w:val="2"/>
                <w:numId w:val="4"/>
              </w:numPr>
              <w:spacing w:line="500" w:lineRule="atLeast"/>
              <w:ind w:firstLineChars="0"/>
              <w:jc w:val="center"/>
              <w:rPr>
                <w:rFonts w:hint="eastAsia"/>
                <w:bCs/>
                <w:sz w:val="24"/>
              </w:rPr>
            </w:pPr>
            <w:r>
              <w:rPr>
                <w:rFonts w:hint="eastAsia" w:ascii="Times New Roman" w:hAnsi="Times New Roman" w:eastAsia="宋体" w:cs="Times New Roman"/>
                <w:b/>
                <w:sz w:val="24"/>
              </w:rPr>
              <w:t>燃烧废气产污系数一览表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3"/>
              <w:gridCol w:w="1133"/>
              <w:gridCol w:w="1134"/>
              <w:gridCol w:w="1134"/>
              <w:gridCol w:w="1134"/>
            </w:tblGrid>
            <w:tr w14:paraId="0867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Align w:val="center"/>
                </w:tcPr>
                <w:p w14:paraId="455A7F80">
                  <w:pPr>
                    <w:jc w:val="center"/>
                    <w:rPr>
                      <w:rFonts w:cs="宋体"/>
                      <w:color w:val="000000"/>
                      <w:szCs w:val="21"/>
                    </w:rPr>
                  </w:pPr>
                  <w:r>
                    <w:rPr>
                      <w:rFonts w:hint="eastAsia" w:cs="宋体"/>
                      <w:color w:val="000000"/>
                      <w:szCs w:val="21"/>
                    </w:rPr>
                    <w:t>产品名称</w:t>
                  </w:r>
                </w:p>
              </w:tc>
              <w:tc>
                <w:tcPr>
                  <w:tcW w:w="1134" w:type="dxa"/>
                  <w:vAlign w:val="center"/>
                </w:tcPr>
                <w:p w14:paraId="0AADDB66">
                  <w:pPr>
                    <w:jc w:val="center"/>
                    <w:rPr>
                      <w:rFonts w:cs="宋体"/>
                      <w:color w:val="000000"/>
                      <w:szCs w:val="21"/>
                    </w:rPr>
                  </w:pPr>
                  <w:r>
                    <w:rPr>
                      <w:rFonts w:hint="eastAsia" w:cs="宋体"/>
                      <w:color w:val="000000"/>
                      <w:szCs w:val="21"/>
                    </w:rPr>
                    <w:t>原料名称</w:t>
                  </w:r>
                </w:p>
              </w:tc>
              <w:tc>
                <w:tcPr>
                  <w:tcW w:w="1133" w:type="dxa"/>
                  <w:vAlign w:val="center"/>
                </w:tcPr>
                <w:p w14:paraId="1B94F078">
                  <w:pPr>
                    <w:jc w:val="center"/>
                    <w:rPr>
                      <w:rFonts w:cs="宋体"/>
                      <w:color w:val="000000"/>
                      <w:szCs w:val="21"/>
                    </w:rPr>
                  </w:pPr>
                  <w:r>
                    <w:rPr>
                      <w:rFonts w:hint="eastAsia" w:cs="宋体"/>
                      <w:color w:val="000000"/>
                      <w:szCs w:val="21"/>
                    </w:rPr>
                    <w:t>工艺</w:t>
                  </w:r>
                </w:p>
              </w:tc>
              <w:tc>
                <w:tcPr>
                  <w:tcW w:w="1133" w:type="dxa"/>
                  <w:vAlign w:val="center"/>
                </w:tcPr>
                <w:p w14:paraId="452ABBBA">
                  <w:pPr>
                    <w:jc w:val="center"/>
                    <w:rPr>
                      <w:rFonts w:cs="宋体"/>
                      <w:color w:val="000000"/>
                      <w:szCs w:val="21"/>
                    </w:rPr>
                  </w:pPr>
                  <w:r>
                    <w:rPr>
                      <w:rFonts w:hint="eastAsia" w:cs="宋体"/>
                      <w:color w:val="000000"/>
                      <w:szCs w:val="21"/>
                    </w:rPr>
                    <w:t>规模等级</w:t>
                  </w:r>
                </w:p>
              </w:tc>
              <w:tc>
                <w:tcPr>
                  <w:tcW w:w="1134" w:type="dxa"/>
                  <w:vAlign w:val="center"/>
                </w:tcPr>
                <w:p w14:paraId="15810F13">
                  <w:pPr>
                    <w:jc w:val="center"/>
                    <w:rPr>
                      <w:rFonts w:cs="宋体"/>
                      <w:color w:val="000000"/>
                      <w:szCs w:val="21"/>
                    </w:rPr>
                  </w:pPr>
                  <w:r>
                    <w:rPr>
                      <w:rFonts w:hint="eastAsia" w:cs="宋体"/>
                      <w:color w:val="000000"/>
                      <w:szCs w:val="21"/>
                    </w:rPr>
                    <w:t>污染物指标</w:t>
                  </w:r>
                </w:p>
              </w:tc>
              <w:tc>
                <w:tcPr>
                  <w:tcW w:w="1134" w:type="dxa"/>
                  <w:vAlign w:val="center"/>
                </w:tcPr>
                <w:p w14:paraId="77FAE992">
                  <w:pPr>
                    <w:jc w:val="center"/>
                    <w:rPr>
                      <w:rFonts w:cs="宋体"/>
                      <w:color w:val="000000"/>
                      <w:szCs w:val="21"/>
                    </w:rPr>
                  </w:pPr>
                  <w:r>
                    <w:rPr>
                      <w:rFonts w:hint="eastAsia" w:cs="宋体"/>
                      <w:color w:val="000000"/>
                      <w:szCs w:val="21"/>
                    </w:rPr>
                    <w:t>单位</w:t>
                  </w:r>
                </w:p>
              </w:tc>
              <w:tc>
                <w:tcPr>
                  <w:tcW w:w="1134" w:type="dxa"/>
                  <w:vAlign w:val="center"/>
                </w:tcPr>
                <w:p w14:paraId="6F748731">
                  <w:pPr>
                    <w:jc w:val="center"/>
                    <w:rPr>
                      <w:rFonts w:cs="宋体"/>
                      <w:color w:val="000000"/>
                      <w:szCs w:val="21"/>
                    </w:rPr>
                  </w:pPr>
                  <w:r>
                    <w:rPr>
                      <w:rFonts w:hint="eastAsia" w:cs="宋体"/>
                      <w:color w:val="000000"/>
                      <w:szCs w:val="21"/>
                    </w:rPr>
                    <w:t>产污系数</w:t>
                  </w:r>
                </w:p>
              </w:tc>
            </w:tr>
            <w:tr w14:paraId="3D95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vAlign w:val="center"/>
                </w:tcPr>
                <w:p w14:paraId="57B5CFD7">
                  <w:pPr>
                    <w:jc w:val="center"/>
                    <w:rPr>
                      <w:rFonts w:cs="宋体"/>
                      <w:color w:val="000000"/>
                      <w:szCs w:val="21"/>
                    </w:rPr>
                  </w:pPr>
                  <w:r>
                    <w:rPr>
                      <w:rFonts w:hint="eastAsia" w:cs="宋体"/>
                      <w:color w:val="000000"/>
                      <w:szCs w:val="21"/>
                    </w:rPr>
                    <w:t>蒸汽/热水/</w:t>
                  </w:r>
                  <w:r>
                    <w:rPr>
                      <w:rFonts w:hint="eastAsia" w:cs="宋体"/>
                      <w:color w:val="000000"/>
                      <w:szCs w:val="21"/>
                      <w:lang w:eastAsia="zh-CN"/>
                    </w:rPr>
                    <w:t>其他</w:t>
                  </w:r>
                </w:p>
              </w:tc>
              <w:tc>
                <w:tcPr>
                  <w:tcW w:w="1134" w:type="dxa"/>
                  <w:vMerge w:val="restart"/>
                  <w:vAlign w:val="center"/>
                </w:tcPr>
                <w:p w14:paraId="6EF3B76C">
                  <w:pPr>
                    <w:jc w:val="center"/>
                    <w:rPr>
                      <w:rFonts w:hint="default" w:eastAsia="宋体" w:cs="宋体"/>
                      <w:color w:val="000000"/>
                      <w:szCs w:val="21"/>
                      <w:lang w:val="en-US" w:eastAsia="zh-CN"/>
                    </w:rPr>
                  </w:pPr>
                  <w:r>
                    <w:rPr>
                      <w:rFonts w:hint="eastAsia" w:cs="宋体"/>
                      <w:color w:val="000000"/>
                      <w:szCs w:val="21"/>
                      <w:lang w:val="en-US" w:eastAsia="zh-CN"/>
                    </w:rPr>
                    <w:t>无烟煤</w:t>
                  </w:r>
                </w:p>
              </w:tc>
              <w:tc>
                <w:tcPr>
                  <w:tcW w:w="1133" w:type="dxa"/>
                  <w:vMerge w:val="restart"/>
                  <w:vAlign w:val="center"/>
                </w:tcPr>
                <w:p w14:paraId="5B475E35">
                  <w:pPr>
                    <w:jc w:val="center"/>
                    <w:rPr>
                      <w:rFonts w:hint="eastAsia" w:eastAsia="宋体" w:cs="宋体"/>
                      <w:color w:val="000000"/>
                      <w:szCs w:val="21"/>
                      <w:lang w:eastAsia="zh-CN"/>
                    </w:rPr>
                  </w:pPr>
                  <w:r>
                    <w:rPr>
                      <w:rFonts w:hint="eastAsia" w:cs="宋体"/>
                      <w:color w:val="000000"/>
                      <w:szCs w:val="21"/>
                      <w:lang w:val="en-US" w:eastAsia="zh-CN"/>
                    </w:rPr>
                    <w:t>层燃炉</w:t>
                  </w:r>
                </w:p>
              </w:tc>
              <w:tc>
                <w:tcPr>
                  <w:tcW w:w="1133" w:type="dxa"/>
                  <w:vMerge w:val="restart"/>
                  <w:vAlign w:val="center"/>
                </w:tcPr>
                <w:p w14:paraId="6C5DA636">
                  <w:pPr>
                    <w:jc w:val="center"/>
                    <w:rPr>
                      <w:rFonts w:cs="宋体"/>
                      <w:color w:val="000000"/>
                      <w:szCs w:val="21"/>
                    </w:rPr>
                  </w:pPr>
                  <w:r>
                    <w:rPr>
                      <w:rFonts w:hint="eastAsia" w:cs="宋体"/>
                      <w:color w:val="000000"/>
                      <w:szCs w:val="21"/>
                    </w:rPr>
                    <w:t>所有规模</w:t>
                  </w:r>
                </w:p>
              </w:tc>
              <w:tc>
                <w:tcPr>
                  <w:tcW w:w="1134" w:type="dxa"/>
                  <w:vAlign w:val="center"/>
                </w:tcPr>
                <w:p w14:paraId="6BC1C8CD">
                  <w:pPr>
                    <w:jc w:val="center"/>
                    <w:rPr>
                      <w:rFonts w:cs="宋体"/>
                      <w:color w:val="000000"/>
                      <w:szCs w:val="21"/>
                    </w:rPr>
                  </w:pPr>
                  <w:r>
                    <w:rPr>
                      <w:rFonts w:hint="eastAsia" w:cs="宋体"/>
                      <w:color w:val="000000"/>
                      <w:szCs w:val="21"/>
                    </w:rPr>
                    <w:t>颗粒物</w:t>
                  </w:r>
                </w:p>
              </w:tc>
              <w:tc>
                <w:tcPr>
                  <w:tcW w:w="1134" w:type="dxa"/>
                  <w:vMerge w:val="restart"/>
                  <w:vAlign w:val="center"/>
                </w:tcPr>
                <w:p w14:paraId="4113BFBE">
                  <w:pPr>
                    <w:jc w:val="center"/>
                    <w:rPr>
                      <w:rFonts w:cs="宋体"/>
                      <w:color w:val="000000"/>
                      <w:szCs w:val="21"/>
                    </w:rPr>
                  </w:pPr>
                  <w:r>
                    <w:rPr>
                      <w:rFonts w:hint="eastAsia" w:cs="宋体"/>
                      <w:color w:val="000000"/>
                      <w:szCs w:val="21"/>
                    </w:rPr>
                    <w:t>千克/</w:t>
                  </w:r>
                  <w:r>
                    <w:rPr>
                      <w:rFonts w:hint="eastAsia" w:cs="宋体"/>
                      <w:color w:val="000000"/>
                      <w:szCs w:val="21"/>
                      <w:lang w:val="en-US" w:eastAsia="zh-CN"/>
                    </w:rPr>
                    <w:t>t</w:t>
                  </w:r>
                  <w:r>
                    <w:rPr>
                      <w:rFonts w:hint="eastAsia" w:cs="宋体"/>
                      <w:color w:val="000000"/>
                      <w:szCs w:val="21"/>
                    </w:rPr>
                    <w:t>—原料</w:t>
                  </w:r>
                </w:p>
              </w:tc>
              <w:tc>
                <w:tcPr>
                  <w:tcW w:w="1134" w:type="dxa"/>
                  <w:vAlign w:val="center"/>
                </w:tcPr>
                <w:p w14:paraId="578358DA">
                  <w:pPr>
                    <w:jc w:val="center"/>
                    <w:rPr>
                      <w:rFonts w:hint="default" w:eastAsia="宋体" w:cs="宋体"/>
                      <w:color w:val="000000"/>
                      <w:szCs w:val="21"/>
                      <w:lang w:val="en-US" w:eastAsia="zh-CN"/>
                    </w:rPr>
                  </w:pPr>
                  <w:r>
                    <w:rPr>
                      <w:rFonts w:hint="eastAsia" w:cs="宋体"/>
                      <w:color w:val="000000"/>
                      <w:szCs w:val="21"/>
                      <w:lang w:val="en-US" w:eastAsia="zh-CN"/>
                    </w:rPr>
                    <w:t>1.8A（A=13.08）</w:t>
                  </w:r>
                </w:p>
              </w:tc>
            </w:tr>
            <w:tr w14:paraId="5FEB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14:paraId="41CF6F90">
                  <w:pPr>
                    <w:jc w:val="center"/>
                    <w:rPr>
                      <w:rFonts w:cs="宋体"/>
                      <w:color w:val="000000"/>
                      <w:szCs w:val="21"/>
                    </w:rPr>
                  </w:pPr>
                </w:p>
              </w:tc>
              <w:tc>
                <w:tcPr>
                  <w:tcW w:w="1134" w:type="dxa"/>
                  <w:vMerge w:val="continue"/>
                  <w:vAlign w:val="center"/>
                </w:tcPr>
                <w:p w14:paraId="2A062375">
                  <w:pPr>
                    <w:jc w:val="center"/>
                    <w:rPr>
                      <w:rFonts w:cs="宋体"/>
                      <w:color w:val="000000"/>
                      <w:szCs w:val="21"/>
                    </w:rPr>
                  </w:pPr>
                </w:p>
              </w:tc>
              <w:tc>
                <w:tcPr>
                  <w:tcW w:w="1133" w:type="dxa"/>
                  <w:vMerge w:val="continue"/>
                  <w:vAlign w:val="center"/>
                </w:tcPr>
                <w:p w14:paraId="19771FEF">
                  <w:pPr>
                    <w:jc w:val="center"/>
                    <w:rPr>
                      <w:rFonts w:cs="宋体"/>
                      <w:color w:val="000000"/>
                      <w:szCs w:val="21"/>
                    </w:rPr>
                  </w:pPr>
                </w:p>
              </w:tc>
              <w:tc>
                <w:tcPr>
                  <w:tcW w:w="1133" w:type="dxa"/>
                  <w:vMerge w:val="continue"/>
                  <w:vAlign w:val="center"/>
                </w:tcPr>
                <w:p w14:paraId="5D89E453">
                  <w:pPr>
                    <w:jc w:val="center"/>
                    <w:rPr>
                      <w:rFonts w:cs="宋体"/>
                      <w:color w:val="000000"/>
                      <w:szCs w:val="21"/>
                    </w:rPr>
                  </w:pPr>
                </w:p>
              </w:tc>
              <w:tc>
                <w:tcPr>
                  <w:tcW w:w="1134" w:type="dxa"/>
                  <w:vAlign w:val="center"/>
                </w:tcPr>
                <w:p w14:paraId="47547314">
                  <w:pPr>
                    <w:jc w:val="center"/>
                    <w:rPr>
                      <w:rFonts w:cs="宋体"/>
                      <w:color w:val="000000"/>
                      <w:szCs w:val="21"/>
                    </w:rPr>
                  </w:pPr>
                  <w:r>
                    <w:rPr>
                      <w:rFonts w:hint="eastAsia" w:cs="宋体"/>
                      <w:color w:val="000000"/>
                      <w:szCs w:val="21"/>
                    </w:rPr>
                    <w:t>二氧化硫</w:t>
                  </w:r>
                </w:p>
              </w:tc>
              <w:tc>
                <w:tcPr>
                  <w:tcW w:w="1134" w:type="dxa"/>
                  <w:vMerge w:val="continue"/>
                  <w:vAlign w:val="center"/>
                </w:tcPr>
                <w:p w14:paraId="5DAE9509">
                  <w:pPr>
                    <w:jc w:val="center"/>
                    <w:rPr>
                      <w:rFonts w:cs="宋体"/>
                      <w:color w:val="000000"/>
                      <w:szCs w:val="21"/>
                    </w:rPr>
                  </w:pPr>
                </w:p>
              </w:tc>
              <w:tc>
                <w:tcPr>
                  <w:tcW w:w="1134" w:type="dxa"/>
                  <w:vAlign w:val="center"/>
                </w:tcPr>
                <w:p w14:paraId="505D7D25">
                  <w:pPr>
                    <w:jc w:val="center"/>
                    <w:rPr>
                      <w:rFonts w:cs="宋体"/>
                      <w:color w:val="000000"/>
                      <w:szCs w:val="21"/>
                    </w:rPr>
                  </w:pPr>
                  <w:r>
                    <w:rPr>
                      <w:rFonts w:hint="eastAsia" w:cs="宋体"/>
                      <w:color w:val="000000"/>
                      <w:szCs w:val="21"/>
                      <w:lang w:val="en-US" w:eastAsia="zh-CN"/>
                    </w:rPr>
                    <w:t>16</w:t>
                  </w:r>
                  <w:r>
                    <w:rPr>
                      <w:rFonts w:hint="eastAsia" w:cs="宋体"/>
                      <w:color w:val="000000"/>
                      <w:szCs w:val="21"/>
                    </w:rPr>
                    <w:t>S（S</w:t>
                  </w:r>
                  <w:r>
                    <w:rPr>
                      <w:rFonts w:hint="eastAsia" w:cs="宋体"/>
                      <w:color w:val="000000"/>
                      <w:szCs w:val="21"/>
                      <w:lang w:val="en-US" w:eastAsia="zh-CN"/>
                    </w:rPr>
                    <w:t>=0.7</w:t>
                  </w:r>
                  <w:r>
                    <w:rPr>
                      <w:rFonts w:hint="eastAsia" w:cs="宋体"/>
                      <w:color w:val="000000"/>
                      <w:szCs w:val="21"/>
                    </w:rPr>
                    <w:t>）</w:t>
                  </w:r>
                </w:p>
              </w:tc>
            </w:tr>
            <w:tr w14:paraId="2CE3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14:paraId="2B70A2CE">
                  <w:pPr>
                    <w:jc w:val="center"/>
                    <w:rPr>
                      <w:rFonts w:cs="宋体"/>
                      <w:color w:val="000000"/>
                      <w:szCs w:val="21"/>
                    </w:rPr>
                  </w:pPr>
                </w:p>
              </w:tc>
              <w:tc>
                <w:tcPr>
                  <w:tcW w:w="1134" w:type="dxa"/>
                  <w:vMerge w:val="continue"/>
                  <w:vAlign w:val="center"/>
                </w:tcPr>
                <w:p w14:paraId="33AF7931">
                  <w:pPr>
                    <w:jc w:val="center"/>
                    <w:rPr>
                      <w:rFonts w:cs="宋体"/>
                      <w:color w:val="000000"/>
                      <w:szCs w:val="21"/>
                    </w:rPr>
                  </w:pPr>
                </w:p>
              </w:tc>
              <w:tc>
                <w:tcPr>
                  <w:tcW w:w="1133" w:type="dxa"/>
                  <w:vMerge w:val="continue"/>
                  <w:vAlign w:val="center"/>
                </w:tcPr>
                <w:p w14:paraId="6AFAD611">
                  <w:pPr>
                    <w:jc w:val="center"/>
                    <w:rPr>
                      <w:rFonts w:cs="宋体"/>
                      <w:color w:val="000000"/>
                      <w:szCs w:val="21"/>
                    </w:rPr>
                  </w:pPr>
                </w:p>
              </w:tc>
              <w:tc>
                <w:tcPr>
                  <w:tcW w:w="1133" w:type="dxa"/>
                  <w:vMerge w:val="continue"/>
                  <w:vAlign w:val="center"/>
                </w:tcPr>
                <w:p w14:paraId="12E2FB56">
                  <w:pPr>
                    <w:jc w:val="center"/>
                    <w:rPr>
                      <w:rFonts w:cs="宋体"/>
                      <w:color w:val="000000"/>
                      <w:szCs w:val="21"/>
                    </w:rPr>
                  </w:pPr>
                </w:p>
              </w:tc>
              <w:tc>
                <w:tcPr>
                  <w:tcW w:w="1134" w:type="dxa"/>
                  <w:vAlign w:val="center"/>
                </w:tcPr>
                <w:p w14:paraId="00C3E849">
                  <w:pPr>
                    <w:jc w:val="center"/>
                    <w:rPr>
                      <w:rFonts w:cs="宋体"/>
                      <w:color w:val="000000"/>
                      <w:szCs w:val="21"/>
                    </w:rPr>
                  </w:pPr>
                  <w:r>
                    <w:rPr>
                      <w:rFonts w:hint="eastAsia" w:cs="宋体"/>
                      <w:color w:val="000000"/>
                      <w:szCs w:val="21"/>
                    </w:rPr>
                    <w:t>氮氧化物</w:t>
                  </w:r>
                </w:p>
              </w:tc>
              <w:tc>
                <w:tcPr>
                  <w:tcW w:w="1134" w:type="dxa"/>
                  <w:vMerge w:val="continue"/>
                  <w:vAlign w:val="center"/>
                </w:tcPr>
                <w:p w14:paraId="284598F4">
                  <w:pPr>
                    <w:jc w:val="center"/>
                    <w:rPr>
                      <w:rFonts w:cs="宋体"/>
                      <w:color w:val="000000"/>
                      <w:szCs w:val="21"/>
                    </w:rPr>
                  </w:pPr>
                </w:p>
              </w:tc>
              <w:tc>
                <w:tcPr>
                  <w:tcW w:w="1134" w:type="dxa"/>
                  <w:vAlign w:val="center"/>
                </w:tcPr>
                <w:p w14:paraId="0F0AA093">
                  <w:pPr>
                    <w:jc w:val="center"/>
                    <w:rPr>
                      <w:rFonts w:hint="default" w:eastAsia="宋体" w:cs="宋体"/>
                      <w:color w:val="000000"/>
                      <w:szCs w:val="21"/>
                      <w:lang w:val="en-US" w:eastAsia="zh-CN"/>
                    </w:rPr>
                  </w:pPr>
                  <w:r>
                    <w:rPr>
                      <w:rFonts w:hint="eastAsia" w:cs="宋体"/>
                      <w:color w:val="000000"/>
                      <w:szCs w:val="21"/>
                      <w:lang w:val="en-US" w:eastAsia="zh-CN"/>
                    </w:rPr>
                    <w:t>2.7</w:t>
                  </w:r>
                </w:p>
              </w:tc>
            </w:tr>
          </w:tbl>
          <w:p w14:paraId="64C3D73C">
            <w:pPr>
              <w:pStyle w:val="48"/>
              <w:numPr>
                <w:ilvl w:val="2"/>
                <w:numId w:val="4"/>
              </w:numPr>
              <w:spacing w:line="500" w:lineRule="atLeast"/>
              <w:ind w:firstLineChars="0"/>
              <w:jc w:val="center"/>
              <w:rPr>
                <w:b/>
                <w:sz w:val="24"/>
              </w:rPr>
            </w:pPr>
            <w:r>
              <w:rPr>
                <w:rFonts w:hint="eastAsia"/>
                <w:b/>
                <w:sz w:val="24"/>
                <w:lang w:val="en-US" w:eastAsia="zh-CN"/>
              </w:rPr>
              <w:t>焦粉</w:t>
            </w:r>
            <w:r>
              <w:rPr>
                <w:rFonts w:hint="eastAsia"/>
                <w:b/>
                <w:sz w:val="24"/>
              </w:rPr>
              <w:t>燃烧废气产排情况一览表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322"/>
              <w:gridCol w:w="1323"/>
              <w:gridCol w:w="1323"/>
              <w:gridCol w:w="1323"/>
              <w:gridCol w:w="1323"/>
            </w:tblGrid>
            <w:tr w14:paraId="09BD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2" w:type="dxa"/>
                  <w:vAlign w:val="center"/>
                </w:tcPr>
                <w:p w14:paraId="7B764865">
                  <w:pPr>
                    <w:jc w:val="center"/>
                    <w:rPr>
                      <w:rFonts w:cs="宋体"/>
                      <w:color w:val="000000"/>
                      <w:szCs w:val="21"/>
                    </w:rPr>
                  </w:pPr>
                  <w:r>
                    <w:rPr>
                      <w:rFonts w:hint="eastAsia" w:cs="宋体"/>
                      <w:color w:val="000000"/>
                      <w:szCs w:val="21"/>
                    </w:rPr>
                    <w:t>产污工序</w:t>
                  </w:r>
                </w:p>
              </w:tc>
              <w:tc>
                <w:tcPr>
                  <w:tcW w:w="1322" w:type="dxa"/>
                  <w:vAlign w:val="center"/>
                </w:tcPr>
                <w:p w14:paraId="714DAA38">
                  <w:pPr>
                    <w:jc w:val="center"/>
                    <w:rPr>
                      <w:rFonts w:cs="宋体"/>
                      <w:color w:val="000000"/>
                      <w:szCs w:val="21"/>
                    </w:rPr>
                  </w:pPr>
                  <w:r>
                    <w:rPr>
                      <w:rFonts w:hint="eastAsia" w:cs="宋体"/>
                      <w:color w:val="000000"/>
                      <w:szCs w:val="21"/>
                    </w:rPr>
                    <w:t>污染源</w:t>
                  </w:r>
                </w:p>
              </w:tc>
              <w:tc>
                <w:tcPr>
                  <w:tcW w:w="1323" w:type="dxa"/>
                  <w:vAlign w:val="center"/>
                </w:tcPr>
                <w:p w14:paraId="42D4B521">
                  <w:pPr>
                    <w:jc w:val="center"/>
                    <w:rPr>
                      <w:rFonts w:cs="宋体"/>
                      <w:color w:val="000000"/>
                      <w:szCs w:val="21"/>
                    </w:rPr>
                  </w:pPr>
                  <w:r>
                    <w:rPr>
                      <w:rFonts w:hint="eastAsia" w:cs="宋体"/>
                      <w:color w:val="000000"/>
                      <w:szCs w:val="21"/>
                    </w:rPr>
                    <w:t>产生量（t/a）</w:t>
                  </w:r>
                </w:p>
              </w:tc>
              <w:tc>
                <w:tcPr>
                  <w:tcW w:w="1323" w:type="dxa"/>
                  <w:vAlign w:val="center"/>
                </w:tcPr>
                <w:p w14:paraId="619BC414">
                  <w:pPr>
                    <w:jc w:val="center"/>
                    <w:rPr>
                      <w:rFonts w:cs="宋体"/>
                      <w:color w:val="000000"/>
                      <w:szCs w:val="21"/>
                    </w:rPr>
                  </w:pPr>
                  <w:r>
                    <w:rPr>
                      <w:rFonts w:hint="eastAsia" w:cs="宋体"/>
                      <w:color w:val="000000"/>
                      <w:szCs w:val="21"/>
                    </w:rPr>
                    <w:t>处理措施</w:t>
                  </w:r>
                </w:p>
              </w:tc>
              <w:tc>
                <w:tcPr>
                  <w:tcW w:w="1323" w:type="dxa"/>
                  <w:vAlign w:val="center"/>
                </w:tcPr>
                <w:p w14:paraId="2E564D94">
                  <w:pPr>
                    <w:jc w:val="center"/>
                    <w:rPr>
                      <w:rFonts w:cs="宋体"/>
                      <w:color w:val="000000"/>
                      <w:szCs w:val="21"/>
                    </w:rPr>
                  </w:pPr>
                  <w:r>
                    <w:rPr>
                      <w:rFonts w:hint="eastAsia" w:cs="宋体"/>
                      <w:color w:val="000000"/>
                      <w:szCs w:val="21"/>
                    </w:rPr>
                    <w:t>处理效率（%）</w:t>
                  </w:r>
                </w:p>
              </w:tc>
              <w:tc>
                <w:tcPr>
                  <w:tcW w:w="1323" w:type="dxa"/>
                  <w:vAlign w:val="center"/>
                </w:tcPr>
                <w:p w14:paraId="07810443">
                  <w:pPr>
                    <w:jc w:val="center"/>
                    <w:rPr>
                      <w:rFonts w:cs="宋体"/>
                      <w:color w:val="000000"/>
                      <w:szCs w:val="21"/>
                    </w:rPr>
                  </w:pPr>
                  <w:r>
                    <w:rPr>
                      <w:rFonts w:hint="eastAsia" w:cs="宋体"/>
                      <w:color w:val="000000"/>
                      <w:szCs w:val="21"/>
                    </w:rPr>
                    <w:t>排放量（t/a）</w:t>
                  </w:r>
                </w:p>
              </w:tc>
            </w:tr>
            <w:tr w14:paraId="4BD5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6" w:type="dxa"/>
                  <w:gridSpan w:val="6"/>
                  <w:vAlign w:val="center"/>
                </w:tcPr>
                <w:p w14:paraId="0091B377">
                  <w:pPr>
                    <w:jc w:val="center"/>
                    <w:rPr>
                      <w:rFonts w:cs="宋体"/>
                      <w:color w:val="000000"/>
                      <w:szCs w:val="21"/>
                    </w:rPr>
                  </w:pPr>
                  <w:r>
                    <w:rPr>
                      <w:rFonts w:hint="eastAsia" w:cs="宋体"/>
                      <w:color w:val="000000"/>
                      <w:szCs w:val="21"/>
                    </w:rPr>
                    <w:t>有组织</w:t>
                  </w:r>
                </w:p>
              </w:tc>
            </w:tr>
            <w:tr w14:paraId="76A0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2" w:type="dxa"/>
                  <w:vMerge w:val="restart"/>
                  <w:vAlign w:val="center"/>
                </w:tcPr>
                <w:p w14:paraId="7576CB27">
                  <w:pPr>
                    <w:jc w:val="center"/>
                    <w:rPr>
                      <w:rFonts w:hint="default" w:eastAsia="宋体" w:cs="宋体"/>
                      <w:color w:val="000000"/>
                      <w:szCs w:val="21"/>
                      <w:lang w:val="en-US" w:eastAsia="zh-CN"/>
                    </w:rPr>
                  </w:pPr>
                  <w:r>
                    <w:rPr>
                      <w:rFonts w:hint="eastAsia" w:cs="宋体"/>
                      <w:color w:val="000000"/>
                      <w:szCs w:val="21"/>
                      <w:lang w:val="en-US" w:eastAsia="zh-CN"/>
                    </w:rPr>
                    <w:t>焦粉燃烧废气</w:t>
                  </w:r>
                </w:p>
              </w:tc>
              <w:tc>
                <w:tcPr>
                  <w:tcW w:w="1322" w:type="dxa"/>
                  <w:vAlign w:val="center"/>
                </w:tcPr>
                <w:p w14:paraId="58604480">
                  <w:pPr>
                    <w:jc w:val="center"/>
                    <w:rPr>
                      <w:rFonts w:cs="宋体"/>
                      <w:color w:val="000000"/>
                      <w:szCs w:val="21"/>
                    </w:rPr>
                  </w:pPr>
                  <w:r>
                    <w:rPr>
                      <w:rFonts w:hint="eastAsia" w:cs="宋体"/>
                      <w:color w:val="000000"/>
                      <w:szCs w:val="21"/>
                    </w:rPr>
                    <w:t>颗粒物</w:t>
                  </w:r>
                </w:p>
              </w:tc>
              <w:tc>
                <w:tcPr>
                  <w:tcW w:w="1323" w:type="dxa"/>
                  <w:vAlign w:val="center"/>
                </w:tcPr>
                <w:p w14:paraId="572ED104">
                  <w:pPr>
                    <w:jc w:val="center"/>
                    <w:rPr>
                      <w:rFonts w:hint="default" w:eastAsia="宋体" w:cs="宋体"/>
                      <w:color w:val="000000"/>
                      <w:szCs w:val="21"/>
                      <w:lang w:val="en-US" w:eastAsia="zh-CN"/>
                    </w:rPr>
                  </w:pPr>
                  <w:r>
                    <w:rPr>
                      <w:rFonts w:hint="eastAsia" w:cs="宋体"/>
                      <w:color w:val="000000"/>
                      <w:szCs w:val="21"/>
                      <w:lang w:val="en-US" w:eastAsia="zh-CN"/>
                    </w:rPr>
                    <w:t>56.51</w:t>
                  </w:r>
                </w:p>
              </w:tc>
              <w:tc>
                <w:tcPr>
                  <w:tcW w:w="1323" w:type="dxa"/>
                  <w:vMerge w:val="restart"/>
                  <w:vAlign w:val="center"/>
                </w:tcPr>
                <w:p w14:paraId="68934876">
                  <w:pPr>
                    <w:jc w:val="center"/>
                    <w:rPr>
                      <w:rFonts w:cs="宋体"/>
                      <w:color w:val="000000"/>
                      <w:szCs w:val="21"/>
                    </w:rPr>
                  </w:pPr>
                  <w:r>
                    <w:rPr>
                      <w:rFonts w:hint="eastAsia" w:cs="宋体"/>
                      <w:color w:val="000000"/>
                      <w:szCs w:val="21"/>
                    </w:rPr>
                    <w:t>布袋除尘器</w:t>
                  </w:r>
                </w:p>
              </w:tc>
              <w:tc>
                <w:tcPr>
                  <w:tcW w:w="1323" w:type="dxa"/>
                  <w:vAlign w:val="center"/>
                </w:tcPr>
                <w:p w14:paraId="2000DC72">
                  <w:pPr>
                    <w:jc w:val="center"/>
                    <w:rPr>
                      <w:rFonts w:hint="default" w:eastAsia="宋体" w:cs="宋体"/>
                      <w:color w:val="000000"/>
                      <w:szCs w:val="21"/>
                      <w:lang w:val="en-US" w:eastAsia="zh-CN"/>
                    </w:rPr>
                  </w:pPr>
                  <w:r>
                    <w:rPr>
                      <w:rFonts w:hint="eastAsia" w:cs="宋体"/>
                      <w:color w:val="000000"/>
                      <w:szCs w:val="21"/>
                      <w:lang w:val="en-US" w:eastAsia="zh-CN"/>
                    </w:rPr>
                    <w:t>99</w:t>
                  </w:r>
                </w:p>
              </w:tc>
              <w:tc>
                <w:tcPr>
                  <w:tcW w:w="1323" w:type="dxa"/>
                  <w:vAlign w:val="center"/>
                </w:tcPr>
                <w:p w14:paraId="4D524AF0">
                  <w:pPr>
                    <w:jc w:val="center"/>
                    <w:rPr>
                      <w:rFonts w:hint="default" w:eastAsia="宋体" w:cs="宋体"/>
                      <w:color w:val="000000"/>
                      <w:szCs w:val="21"/>
                      <w:lang w:val="en-US" w:eastAsia="zh-CN"/>
                    </w:rPr>
                  </w:pPr>
                  <w:r>
                    <w:rPr>
                      <w:rFonts w:hint="eastAsia" w:cs="宋体"/>
                      <w:color w:val="000000"/>
                      <w:szCs w:val="21"/>
                      <w:lang w:val="en-US" w:eastAsia="zh-CN"/>
                    </w:rPr>
                    <w:t>0.57</w:t>
                  </w:r>
                </w:p>
              </w:tc>
            </w:tr>
            <w:tr w14:paraId="2C8C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2" w:type="dxa"/>
                  <w:vMerge w:val="continue"/>
                  <w:vAlign w:val="center"/>
                </w:tcPr>
                <w:p w14:paraId="1F276448">
                  <w:pPr>
                    <w:jc w:val="center"/>
                    <w:rPr>
                      <w:rFonts w:cs="宋体"/>
                      <w:color w:val="000000"/>
                      <w:szCs w:val="21"/>
                    </w:rPr>
                  </w:pPr>
                </w:p>
              </w:tc>
              <w:tc>
                <w:tcPr>
                  <w:tcW w:w="1322" w:type="dxa"/>
                  <w:vAlign w:val="center"/>
                </w:tcPr>
                <w:p w14:paraId="231C81AC">
                  <w:pPr>
                    <w:jc w:val="center"/>
                    <w:rPr>
                      <w:rFonts w:cs="宋体"/>
                      <w:color w:val="000000"/>
                      <w:szCs w:val="21"/>
                    </w:rPr>
                  </w:pPr>
                  <w:r>
                    <w:rPr>
                      <w:rFonts w:hint="eastAsia" w:cs="宋体"/>
                      <w:color w:val="000000"/>
                      <w:szCs w:val="21"/>
                    </w:rPr>
                    <w:t>二氧化硫</w:t>
                  </w:r>
                </w:p>
              </w:tc>
              <w:tc>
                <w:tcPr>
                  <w:tcW w:w="1323" w:type="dxa"/>
                  <w:vAlign w:val="center"/>
                </w:tcPr>
                <w:p w14:paraId="675FD50D">
                  <w:pPr>
                    <w:jc w:val="center"/>
                    <w:rPr>
                      <w:rFonts w:hint="default" w:eastAsia="宋体" w:cs="宋体"/>
                      <w:color w:val="000000"/>
                      <w:szCs w:val="21"/>
                      <w:lang w:val="en-US" w:eastAsia="zh-CN"/>
                    </w:rPr>
                  </w:pPr>
                  <w:r>
                    <w:rPr>
                      <w:rFonts w:hint="eastAsia" w:cs="宋体"/>
                      <w:color w:val="000000"/>
                      <w:szCs w:val="21"/>
                      <w:lang w:val="en-US" w:eastAsia="zh-CN"/>
                    </w:rPr>
                    <w:t>26.88</w:t>
                  </w:r>
                </w:p>
              </w:tc>
              <w:tc>
                <w:tcPr>
                  <w:tcW w:w="1323" w:type="dxa"/>
                  <w:vMerge w:val="continue"/>
                  <w:vAlign w:val="center"/>
                </w:tcPr>
                <w:p w14:paraId="32F61D1D">
                  <w:pPr>
                    <w:jc w:val="center"/>
                    <w:rPr>
                      <w:rFonts w:cs="宋体"/>
                      <w:color w:val="000000"/>
                      <w:szCs w:val="21"/>
                    </w:rPr>
                  </w:pPr>
                </w:p>
              </w:tc>
              <w:tc>
                <w:tcPr>
                  <w:tcW w:w="1323" w:type="dxa"/>
                  <w:vAlign w:val="center"/>
                </w:tcPr>
                <w:p w14:paraId="5DBDFB93">
                  <w:pPr>
                    <w:jc w:val="center"/>
                    <w:rPr>
                      <w:rFonts w:cs="宋体"/>
                      <w:color w:val="000000"/>
                      <w:szCs w:val="21"/>
                    </w:rPr>
                  </w:pPr>
                  <w:r>
                    <w:rPr>
                      <w:rFonts w:hint="eastAsia" w:cs="宋体"/>
                      <w:color w:val="000000"/>
                      <w:szCs w:val="21"/>
                    </w:rPr>
                    <w:t>0</w:t>
                  </w:r>
                </w:p>
              </w:tc>
              <w:tc>
                <w:tcPr>
                  <w:tcW w:w="1323" w:type="dxa"/>
                  <w:shd w:val="clear" w:color="auto" w:fill="auto"/>
                  <w:vAlign w:val="center"/>
                </w:tcPr>
                <w:p w14:paraId="25421044">
                  <w:pPr>
                    <w:jc w:val="center"/>
                    <w:rPr>
                      <w:rFonts w:hint="default" w:ascii="Times New Roman" w:hAnsi="Times New Roman" w:eastAsia="宋体" w:cs="宋体"/>
                      <w:color w:val="000000"/>
                      <w:kern w:val="2"/>
                      <w:sz w:val="21"/>
                      <w:szCs w:val="21"/>
                      <w:lang w:val="en-US" w:eastAsia="zh-CN" w:bidi="ar-SA"/>
                    </w:rPr>
                  </w:pPr>
                  <w:r>
                    <w:rPr>
                      <w:rFonts w:hint="eastAsia" w:cs="宋体"/>
                      <w:color w:val="000000"/>
                      <w:szCs w:val="21"/>
                      <w:lang w:val="en-US" w:eastAsia="zh-CN"/>
                    </w:rPr>
                    <w:t>26.88</w:t>
                  </w:r>
                </w:p>
              </w:tc>
            </w:tr>
            <w:tr w14:paraId="2A9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2" w:type="dxa"/>
                  <w:vMerge w:val="continue"/>
                  <w:vAlign w:val="center"/>
                </w:tcPr>
                <w:p w14:paraId="6F028C72">
                  <w:pPr>
                    <w:jc w:val="center"/>
                    <w:rPr>
                      <w:rFonts w:cs="宋体"/>
                      <w:color w:val="000000"/>
                      <w:szCs w:val="21"/>
                    </w:rPr>
                  </w:pPr>
                </w:p>
              </w:tc>
              <w:tc>
                <w:tcPr>
                  <w:tcW w:w="1322" w:type="dxa"/>
                  <w:vAlign w:val="center"/>
                </w:tcPr>
                <w:p w14:paraId="45C3FA45">
                  <w:pPr>
                    <w:jc w:val="center"/>
                    <w:rPr>
                      <w:rFonts w:cs="宋体"/>
                      <w:color w:val="000000"/>
                      <w:szCs w:val="21"/>
                    </w:rPr>
                  </w:pPr>
                  <w:r>
                    <w:rPr>
                      <w:rFonts w:hint="eastAsia" w:cs="宋体"/>
                      <w:color w:val="000000"/>
                      <w:szCs w:val="21"/>
                    </w:rPr>
                    <w:t>氮氧化物</w:t>
                  </w:r>
                </w:p>
              </w:tc>
              <w:tc>
                <w:tcPr>
                  <w:tcW w:w="1323" w:type="dxa"/>
                  <w:vAlign w:val="center"/>
                </w:tcPr>
                <w:p w14:paraId="0CB14CF7">
                  <w:pPr>
                    <w:jc w:val="center"/>
                    <w:rPr>
                      <w:rFonts w:hint="default" w:eastAsia="宋体" w:cs="宋体"/>
                      <w:color w:val="000000"/>
                      <w:szCs w:val="21"/>
                      <w:lang w:val="en-US" w:eastAsia="zh-CN"/>
                    </w:rPr>
                  </w:pPr>
                  <w:r>
                    <w:rPr>
                      <w:rFonts w:hint="eastAsia" w:cs="宋体"/>
                      <w:color w:val="000000"/>
                      <w:szCs w:val="21"/>
                      <w:lang w:val="en-US" w:eastAsia="zh-CN"/>
                    </w:rPr>
                    <w:t>6.48</w:t>
                  </w:r>
                </w:p>
              </w:tc>
              <w:tc>
                <w:tcPr>
                  <w:tcW w:w="1323" w:type="dxa"/>
                  <w:vMerge w:val="continue"/>
                  <w:vAlign w:val="center"/>
                </w:tcPr>
                <w:p w14:paraId="266DA13E">
                  <w:pPr>
                    <w:jc w:val="center"/>
                    <w:rPr>
                      <w:rFonts w:cs="宋体"/>
                      <w:color w:val="000000"/>
                      <w:szCs w:val="21"/>
                    </w:rPr>
                  </w:pPr>
                </w:p>
              </w:tc>
              <w:tc>
                <w:tcPr>
                  <w:tcW w:w="1323" w:type="dxa"/>
                  <w:vAlign w:val="center"/>
                </w:tcPr>
                <w:p w14:paraId="59F0A41C">
                  <w:pPr>
                    <w:jc w:val="center"/>
                    <w:rPr>
                      <w:rFonts w:cs="宋体"/>
                      <w:color w:val="000000"/>
                      <w:szCs w:val="21"/>
                    </w:rPr>
                  </w:pPr>
                  <w:r>
                    <w:rPr>
                      <w:rFonts w:hint="eastAsia" w:cs="宋体"/>
                      <w:color w:val="000000"/>
                      <w:szCs w:val="21"/>
                    </w:rPr>
                    <w:t>0</w:t>
                  </w:r>
                </w:p>
              </w:tc>
              <w:tc>
                <w:tcPr>
                  <w:tcW w:w="1323" w:type="dxa"/>
                  <w:shd w:val="clear" w:color="auto" w:fill="auto"/>
                  <w:vAlign w:val="center"/>
                </w:tcPr>
                <w:p w14:paraId="604F3538">
                  <w:pPr>
                    <w:jc w:val="center"/>
                    <w:rPr>
                      <w:rFonts w:hint="default" w:ascii="Times New Roman" w:hAnsi="Times New Roman" w:eastAsia="宋体" w:cs="宋体"/>
                      <w:color w:val="000000"/>
                      <w:kern w:val="2"/>
                      <w:sz w:val="21"/>
                      <w:szCs w:val="21"/>
                      <w:lang w:val="en-US" w:eastAsia="zh-CN" w:bidi="ar-SA"/>
                    </w:rPr>
                  </w:pPr>
                  <w:r>
                    <w:rPr>
                      <w:rFonts w:hint="eastAsia" w:cs="宋体"/>
                      <w:color w:val="000000"/>
                      <w:szCs w:val="21"/>
                      <w:lang w:val="en-US" w:eastAsia="zh-CN"/>
                    </w:rPr>
                    <w:t>6.48</w:t>
                  </w:r>
                </w:p>
              </w:tc>
            </w:tr>
          </w:tbl>
          <w:p w14:paraId="6C68D91D">
            <w:pPr>
              <w:spacing w:line="500" w:lineRule="exact"/>
              <w:ind w:firstLine="600" w:firstLineChars="250"/>
              <w:rPr>
                <w:rFonts w:hint="eastAsia" w:ascii="宋体" w:hAnsi="宋体" w:cs="宋体"/>
                <w:bCs/>
                <w:sz w:val="24"/>
                <w:lang w:val="en-US" w:eastAsia="zh-CN"/>
              </w:rPr>
            </w:pPr>
            <w:r>
              <w:rPr>
                <w:rFonts w:hint="eastAsia" w:ascii="宋体" w:hAnsi="宋体" w:eastAsia="宋体" w:cs="宋体"/>
                <w:bCs/>
                <w:sz w:val="24"/>
                <w:lang w:val="en-US" w:eastAsia="zh-CN"/>
              </w:rPr>
              <w:t>②</w:t>
            </w:r>
            <w:r>
              <w:rPr>
                <w:rFonts w:hint="eastAsia" w:ascii="宋体" w:hAnsi="宋体" w:cs="宋体"/>
                <w:bCs/>
                <w:sz w:val="24"/>
                <w:lang w:val="en-US" w:eastAsia="zh-CN"/>
              </w:rPr>
              <w:t>氟化物废气</w:t>
            </w:r>
          </w:p>
          <w:p w14:paraId="6906A058">
            <w:pPr>
              <w:spacing w:line="500" w:lineRule="exact"/>
              <w:ind w:firstLine="600" w:firstLineChars="250"/>
              <w:rPr>
                <w:rFonts w:hint="default" w:ascii="宋体" w:hAnsi="宋体" w:eastAsia="宋体" w:cs="宋体"/>
                <w:bCs/>
                <w:sz w:val="24"/>
                <w:lang w:val="en-US"/>
              </w:rPr>
            </w:pPr>
            <w:r>
              <w:rPr>
                <w:rFonts w:hint="default" w:ascii="Times New Roman" w:hAnsi="Times New Roman" w:cs="Times New Roman"/>
                <w:bCs/>
                <w:sz w:val="24"/>
                <w:lang w:val="en-US" w:eastAsia="zh-CN"/>
              </w:rPr>
              <w:t>参考《氧化锌富集物属性鉴别探讨》（中国口岸科学技术，2024）：指出利用电炉炼钢烟尘等含锌物料生产的氧化锌富集物中氟含量在0.06%～3.0%之间，本次评价按</w:t>
            </w:r>
            <w:r>
              <w:rPr>
                <w:rFonts w:hint="eastAsia" w:ascii="Times New Roman" w:hAnsi="Times New Roman" w:cs="Times New Roman"/>
                <w:bCs/>
                <w:sz w:val="24"/>
                <w:lang w:val="en-US" w:eastAsia="zh-CN"/>
              </w:rPr>
              <w:t>0.06</w:t>
            </w:r>
            <w:r>
              <w:rPr>
                <w:rFonts w:hint="default" w:ascii="Times New Roman" w:hAnsi="Times New Roman" w:cs="Times New Roman"/>
                <w:bCs/>
                <w:sz w:val="24"/>
                <w:lang w:val="en-US" w:eastAsia="zh-CN"/>
              </w:rPr>
              <w:t>%计</w:t>
            </w:r>
            <w:r>
              <w:rPr>
                <w:rFonts w:hint="eastAsia" w:ascii="Times New Roman" w:hAnsi="Times New Roman" w:cs="Times New Roman"/>
                <w:bCs/>
                <w:sz w:val="24"/>
                <w:lang w:val="en-US" w:eastAsia="zh-CN"/>
              </w:rPr>
              <w:t>。项目原料进入回转窑高温过程中，氟的转化以生成稳定颗粒态氟化物保留在窑渣中为主，仅少量生成气态氟化氢（HF） 进入烟气，另有少量氟化物随锌</w:t>
            </w:r>
            <w:r>
              <w:rPr>
                <w:rFonts w:hint="eastAsia" w:cs="Times New Roman"/>
                <w:bCs/>
                <w:sz w:val="24"/>
                <w:lang w:val="en-US" w:eastAsia="zh-CN"/>
              </w:rPr>
              <w:t>蒸气</w:t>
            </w:r>
            <w:r>
              <w:rPr>
                <w:rFonts w:hint="eastAsia" w:ascii="Times New Roman" w:hAnsi="Times New Roman" w:cs="Times New Roman"/>
                <w:bCs/>
                <w:sz w:val="24"/>
                <w:lang w:val="en-US" w:eastAsia="zh-CN"/>
              </w:rPr>
              <w:t>挥发后附着在氧化锌烟尘颗粒上（仍为颗粒态），整体氟的固渣率</w:t>
            </w:r>
            <w:r>
              <w:rPr>
                <w:rFonts w:hint="eastAsia" w:cs="Times New Roman"/>
                <w:bCs/>
                <w:sz w:val="24"/>
                <w:lang w:val="en-US" w:eastAsia="zh-CN"/>
              </w:rPr>
              <w:t>95</w:t>
            </w:r>
            <w:r>
              <w:rPr>
                <w:rFonts w:hint="eastAsia" w:ascii="Times New Roman" w:hAnsi="Times New Roman" w:cs="Times New Roman"/>
                <w:bCs/>
                <w:sz w:val="24"/>
                <w:lang w:val="en-US" w:eastAsia="zh-CN"/>
              </w:rPr>
              <w:t>%以上</w:t>
            </w:r>
            <w:r>
              <w:rPr>
                <w:rFonts w:hint="eastAsia" w:cs="Times New Roman"/>
                <w:bCs/>
                <w:sz w:val="24"/>
                <w:lang w:val="en-US" w:eastAsia="zh-CN"/>
              </w:rPr>
              <w:t>，本次评价按95%计</w:t>
            </w:r>
            <w:r>
              <w:rPr>
                <w:rFonts w:hint="default" w:ascii="Times New Roman" w:hAnsi="Times New Roman" w:cs="Times New Roman"/>
                <w:bCs/>
                <w:sz w:val="24"/>
                <w:lang w:val="en-US" w:eastAsia="zh-CN"/>
              </w:rPr>
              <w:t>，本项</w:t>
            </w:r>
            <w:r>
              <w:rPr>
                <w:rFonts w:hint="eastAsia" w:ascii="Times New Roman" w:hAnsi="Times New Roman" w:cs="Times New Roman"/>
                <w:bCs/>
                <w:sz w:val="24"/>
                <w:lang w:val="en-US" w:eastAsia="zh-CN"/>
              </w:rPr>
              <w:t>高炉重力灰、转炉除尘灰</w:t>
            </w:r>
            <w:r>
              <w:rPr>
                <w:rFonts w:hint="default" w:ascii="Times New Roman" w:hAnsi="Times New Roman" w:cs="Times New Roman"/>
                <w:bCs/>
                <w:sz w:val="24"/>
                <w:lang w:val="en-US" w:eastAsia="zh-CN"/>
              </w:rPr>
              <w:t>使用量为</w:t>
            </w:r>
            <w:r>
              <w:rPr>
                <w:rFonts w:hint="eastAsia" w:ascii="Times New Roman" w:hAnsi="Times New Roman" w:cs="Times New Roman"/>
                <w:bCs/>
                <w:sz w:val="24"/>
                <w:lang w:val="en-US" w:eastAsia="zh-CN"/>
              </w:rPr>
              <w:t>192000</w:t>
            </w:r>
            <w:r>
              <w:rPr>
                <w:rFonts w:hint="default" w:ascii="Times New Roman" w:hAnsi="Times New Roman" w:cs="Times New Roman"/>
                <w:bCs/>
                <w:sz w:val="24"/>
                <w:lang w:val="en-US" w:eastAsia="zh-CN"/>
              </w:rPr>
              <w:t>t/a，则</w:t>
            </w:r>
            <w:r>
              <w:rPr>
                <w:rFonts w:hint="eastAsia" w:ascii="Times New Roman" w:hAnsi="Times New Roman" w:cs="Times New Roman"/>
                <w:bCs/>
                <w:sz w:val="24"/>
                <w:lang w:val="en-US" w:eastAsia="zh-CN"/>
              </w:rPr>
              <w:t>气态</w:t>
            </w:r>
            <w:r>
              <w:rPr>
                <w:rFonts w:hint="default" w:ascii="Times New Roman" w:hAnsi="Times New Roman" w:cs="Times New Roman"/>
                <w:bCs/>
                <w:sz w:val="24"/>
                <w:lang w:val="en-US" w:eastAsia="zh-CN"/>
              </w:rPr>
              <w:t>氟化物的产生量为</w:t>
            </w:r>
            <w:r>
              <w:rPr>
                <w:rFonts w:hint="eastAsia" w:cs="Times New Roman"/>
                <w:bCs/>
                <w:sz w:val="24"/>
                <w:lang w:val="en-US" w:eastAsia="zh-CN"/>
              </w:rPr>
              <w:t>5.76</w:t>
            </w:r>
            <w:r>
              <w:rPr>
                <w:rFonts w:hint="eastAsia" w:ascii="Times New Roman" w:hAnsi="Times New Roman" w:cs="Times New Roman"/>
                <w:bCs/>
                <w:sz w:val="24"/>
                <w:lang w:val="en-US" w:eastAsia="zh-CN"/>
              </w:rPr>
              <w:t>t/a</w:t>
            </w:r>
            <w:r>
              <w:rPr>
                <w:rFonts w:hint="default" w:ascii="Times New Roman" w:hAnsi="Times New Roman" w:cs="Times New Roman"/>
                <w:bCs/>
                <w:sz w:val="24"/>
                <w:lang w:val="en-US" w:eastAsia="zh-CN"/>
              </w:rPr>
              <w:t>。</w:t>
            </w:r>
            <w:r>
              <w:rPr>
                <w:rFonts w:hint="eastAsia" w:cs="Times New Roman"/>
                <w:bCs/>
                <w:sz w:val="24"/>
                <w:lang w:val="en-US" w:eastAsia="zh-CN"/>
              </w:rPr>
              <w:t xml:space="preserve"> </w:t>
            </w:r>
          </w:p>
          <w:p w14:paraId="4D4B2BF7">
            <w:pPr>
              <w:spacing w:line="500" w:lineRule="exact"/>
              <w:ind w:firstLine="600" w:firstLineChars="250"/>
              <w:rPr>
                <w:rFonts w:hint="default" w:ascii="宋体" w:hAnsi="宋体" w:eastAsia="宋体" w:cs="宋体"/>
                <w:bCs/>
                <w:sz w:val="24"/>
                <w:lang w:val="en-US" w:eastAsia="zh-CN"/>
              </w:rPr>
            </w:pPr>
            <w:r>
              <w:rPr>
                <w:rFonts w:hint="eastAsia" w:ascii="宋体" w:hAnsi="宋体" w:eastAsia="宋体" w:cs="宋体"/>
                <w:bCs/>
                <w:sz w:val="24"/>
                <w:lang w:val="en-US" w:eastAsia="zh-CN"/>
              </w:rPr>
              <w:t>③高炉煤气燃烧废气</w:t>
            </w:r>
          </w:p>
          <w:p w14:paraId="66A55A70">
            <w:pPr>
              <w:spacing w:line="500" w:lineRule="exact"/>
              <w:ind w:firstLine="600" w:firstLineChars="250"/>
              <w:rPr>
                <w:rFonts w:hint="eastAsia"/>
                <w:bCs/>
                <w:sz w:val="24"/>
                <w:lang w:val="en-US" w:eastAsia="zh-CN"/>
              </w:rPr>
            </w:pPr>
            <w:r>
              <w:rPr>
                <w:rFonts w:hint="eastAsia"/>
                <w:bCs/>
                <w:sz w:val="24"/>
              </w:rPr>
              <w:t>根据业主提供资料，本项目高炉煤气使用量为</w:t>
            </w:r>
            <w:r>
              <w:rPr>
                <w:rFonts w:hint="eastAsia"/>
                <w:bCs/>
                <w:sz w:val="24"/>
                <w:lang w:val="en-US" w:eastAsia="zh-CN"/>
              </w:rPr>
              <w:t>11160万</w:t>
            </w:r>
            <w:r>
              <w:rPr>
                <w:rFonts w:hint="eastAsia"/>
                <w:bCs/>
                <w:sz w:val="24"/>
              </w:rPr>
              <w:t>m</w:t>
            </w:r>
            <w:r>
              <w:rPr>
                <w:rFonts w:hint="eastAsia"/>
                <w:bCs/>
                <w:sz w:val="24"/>
                <w:vertAlign w:val="superscript"/>
              </w:rPr>
              <w:t>3</w:t>
            </w:r>
            <w:r>
              <w:rPr>
                <w:rFonts w:hint="eastAsia"/>
                <w:bCs/>
                <w:sz w:val="24"/>
              </w:rPr>
              <w:t>/</w:t>
            </w:r>
            <w:r>
              <w:rPr>
                <w:rFonts w:hint="eastAsia"/>
                <w:bCs/>
                <w:sz w:val="24"/>
                <w:lang w:val="en-US" w:eastAsia="zh-CN"/>
              </w:rPr>
              <w:t>a</w:t>
            </w:r>
            <w:r>
              <w:rPr>
                <w:rFonts w:hint="eastAsia"/>
                <w:bCs/>
                <w:sz w:val="24"/>
              </w:rPr>
              <w:t>。燃烧产生的SO</w:t>
            </w:r>
            <w:r>
              <w:rPr>
                <w:rFonts w:hint="eastAsia"/>
                <w:bCs/>
                <w:sz w:val="24"/>
                <w:vertAlign w:val="subscript"/>
              </w:rPr>
              <w:t>2</w:t>
            </w:r>
            <w:r>
              <w:rPr>
                <w:rFonts w:hint="eastAsia"/>
                <w:bCs/>
                <w:sz w:val="24"/>
              </w:rPr>
              <w:t>、NO</w:t>
            </w:r>
            <w:r>
              <w:rPr>
                <w:rFonts w:hint="eastAsia"/>
                <w:bCs/>
                <w:sz w:val="24"/>
                <w:vertAlign w:val="subscript"/>
              </w:rPr>
              <w:t>X</w:t>
            </w:r>
            <w:r>
              <w:rPr>
                <w:rFonts w:hint="eastAsia"/>
                <w:bCs/>
                <w:sz w:val="24"/>
              </w:rPr>
              <w:t>根据《排放源统计调查产排污核算方法和系数手册》中《4430 工业锅炉（热力供应）系数手册》中高炉煤气室燃炉的核算</w:t>
            </w:r>
            <w:r>
              <w:rPr>
                <w:rFonts w:hint="eastAsia"/>
                <w:bCs/>
                <w:sz w:val="24"/>
                <w:lang w:eastAsia="zh-CN"/>
              </w:rPr>
              <w:t>；</w:t>
            </w:r>
            <w:r>
              <w:rPr>
                <w:rFonts w:hint="eastAsia"/>
                <w:bCs/>
                <w:sz w:val="24"/>
              </w:rPr>
              <w:t>因《锅炉产污量核算系数手册-4430工业锅炉（热力生产和供应行业）产污系数表-燃气工业锅炉》中无颗粒物产污系数，因此本次评价参考《4411火力发电行业产排污系数使用手册》中，“高炉煤气的工业废气量产、排污系数采用天然气工业废气量产、排污系数除以15，氮氧化物的产、排污系数采用天然气的产、排污系数除以4，</w:t>
            </w:r>
            <w:r>
              <w:rPr>
                <w:rFonts w:hint="eastAsia"/>
                <w:bCs/>
                <w:sz w:val="24"/>
                <w:lang w:eastAsia="zh-CN"/>
              </w:rPr>
              <w:t>其他</w:t>
            </w:r>
            <w:r>
              <w:rPr>
                <w:rFonts w:hint="eastAsia"/>
                <w:bCs/>
                <w:sz w:val="24"/>
              </w:rPr>
              <w:t>系数直接采用”，则本项目高炉煤气燃烧的颗粒物产污系数参考按照《33-37</w:t>
            </w:r>
            <w:r>
              <w:rPr>
                <w:rFonts w:hint="eastAsia"/>
                <w:bCs/>
                <w:sz w:val="24"/>
                <w:lang w:eastAsia="zh-CN"/>
              </w:rPr>
              <w:t>，</w:t>
            </w:r>
            <w:r>
              <w:rPr>
                <w:rFonts w:hint="eastAsia"/>
                <w:bCs/>
                <w:sz w:val="24"/>
              </w:rPr>
              <w:t>431-4343机械行业系数手册》中天然气工业炉窑中的颗粒物产污系数（0.000286kg/m</w:t>
            </w:r>
            <w:r>
              <w:rPr>
                <w:rFonts w:hint="eastAsia"/>
                <w:bCs/>
                <w:sz w:val="24"/>
                <w:vertAlign w:val="superscript"/>
              </w:rPr>
              <w:t>3</w:t>
            </w:r>
            <w:r>
              <w:rPr>
                <w:rFonts w:hint="eastAsia"/>
                <w:bCs/>
                <w:sz w:val="24"/>
              </w:rPr>
              <w:t>-原料）计算。</w:t>
            </w:r>
            <w:r>
              <w:rPr>
                <w:rFonts w:hint="eastAsia"/>
                <w:bCs/>
                <w:sz w:val="24"/>
                <w:lang w:val="en-US" w:eastAsia="zh-CN"/>
              </w:rPr>
              <w:t>产污系数详见表4-5</w:t>
            </w:r>
            <w:r>
              <w:rPr>
                <w:rFonts w:hint="eastAsia"/>
                <w:bCs/>
                <w:sz w:val="24"/>
              </w:rPr>
              <w:t>，</w:t>
            </w:r>
            <w:r>
              <w:rPr>
                <w:rFonts w:hint="eastAsia"/>
                <w:bCs/>
                <w:sz w:val="24"/>
                <w:lang w:val="en-US" w:eastAsia="zh-CN"/>
              </w:rPr>
              <w:t>高炉煤气</w:t>
            </w:r>
            <w:r>
              <w:rPr>
                <w:rFonts w:hint="eastAsia"/>
                <w:bCs/>
                <w:sz w:val="24"/>
              </w:rPr>
              <w:t>燃烧废气产排情况详见表</w:t>
            </w:r>
            <w:r>
              <w:rPr>
                <w:rFonts w:hint="eastAsia"/>
                <w:bCs/>
                <w:sz w:val="24"/>
                <w:lang w:val="en-US" w:eastAsia="zh-CN"/>
              </w:rPr>
              <w:t>4-6。</w:t>
            </w:r>
          </w:p>
          <w:p w14:paraId="729594C1">
            <w:pPr>
              <w:pStyle w:val="48"/>
              <w:numPr>
                <w:ilvl w:val="2"/>
                <w:numId w:val="4"/>
              </w:numPr>
              <w:spacing w:line="500" w:lineRule="atLeast"/>
              <w:ind w:firstLineChars="0"/>
              <w:jc w:val="center"/>
              <w:rPr>
                <w:b/>
                <w:sz w:val="24"/>
              </w:rPr>
            </w:pPr>
            <w:r>
              <w:rPr>
                <w:rFonts w:hint="eastAsia"/>
                <w:b/>
                <w:sz w:val="24"/>
              </w:rPr>
              <w:t>高炉煤气燃烧废气产污系数一览表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3"/>
              <w:gridCol w:w="1133"/>
              <w:gridCol w:w="1134"/>
              <w:gridCol w:w="1134"/>
              <w:gridCol w:w="1134"/>
            </w:tblGrid>
            <w:tr w14:paraId="2D42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Align w:val="center"/>
                </w:tcPr>
                <w:p w14:paraId="4387A0A0">
                  <w:pPr>
                    <w:jc w:val="center"/>
                    <w:rPr>
                      <w:rFonts w:cs="宋体"/>
                      <w:color w:val="000000"/>
                      <w:szCs w:val="21"/>
                    </w:rPr>
                  </w:pPr>
                  <w:r>
                    <w:rPr>
                      <w:rFonts w:hint="eastAsia" w:cs="宋体"/>
                      <w:color w:val="000000"/>
                      <w:szCs w:val="21"/>
                    </w:rPr>
                    <w:t>产品名称</w:t>
                  </w:r>
                </w:p>
              </w:tc>
              <w:tc>
                <w:tcPr>
                  <w:tcW w:w="1134" w:type="dxa"/>
                  <w:vAlign w:val="center"/>
                </w:tcPr>
                <w:p w14:paraId="70EC00D6">
                  <w:pPr>
                    <w:jc w:val="center"/>
                    <w:rPr>
                      <w:rFonts w:cs="宋体"/>
                      <w:color w:val="000000"/>
                      <w:szCs w:val="21"/>
                    </w:rPr>
                  </w:pPr>
                  <w:r>
                    <w:rPr>
                      <w:rFonts w:hint="eastAsia" w:cs="宋体"/>
                      <w:color w:val="000000"/>
                      <w:szCs w:val="21"/>
                    </w:rPr>
                    <w:t>原料名称</w:t>
                  </w:r>
                </w:p>
              </w:tc>
              <w:tc>
                <w:tcPr>
                  <w:tcW w:w="1133" w:type="dxa"/>
                  <w:vAlign w:val="center"/>
                </w:tcPr>
                <w:p w14:paraId="66154ECA">
                  <w:pPr>
                    <w:jc w:val="center"/>
                    <w:rPr>
                      <w:rFonts w:cs="宋体"/>
                      <w:color w:val="000000"/>
                      <w:szCs w:val="21"/>
                    </w:rPr>
                  </w:pPr>
                  <w:r>
                    <w:rPr>
                      <w:rFonts w:hint="eastAsia" w:cs="宋体"/>
                      <w:color w:val="000000"/>
                      <w:szCs w:val="21"/>
                    </w:rPr>
                    <w:t>工艺</w:t>
                  </w:r>
                </w:p>
              </w:tc>
              <w:tc>
                <w:tcPr>
                  <w:tcW w:w="1133" w:type="dxa"/>
                  <w:vAlign w:val="center"/>
                </w:tcPr>
                <w:p w14:paraId="45707589">
                  <w:pPr>
                    <w:jc w:val="center"/>
                    <w:rPr>
                      <w:rFonts w:cs="宋体"/>
                      <w:color w:val="000000"/>
                      <w:szCs w:val="21"/>
                    </w:rPr>
                  </w:pPr>
                  <w:r>
                    <w:rPr>
                      <w:rFonts w:hint="eastAsia" w:cs="宋体"/>
                      <w:color w:val="000000"/>
                      <w:szCs w:val="21"/>
                    </w:rPr>
                    <w:t>规模等级</w:t>
                  </w:r>
                </w:p>
              </w:tc>
              <w:tc>
                <w:tcPr>
                  <w:tcW w:w="1134" w:type="dxa"/>
                  <w:vAlign w:val="center"/>
                </w:tcPr>
                <w:p w14:paraId="10A63BBF">
                  <w:pPr>
                    <w:jc w:val="center"/>
                    <w:rPr>
                      <w:rFonts w:cs="宋体"/>
                      <w:color w:val="000000"/>
                      <w:szCs w:val="21"/>
                    </w:rPr>
                  </w:pPr>
                  <w:r>
                    <w:rPr>
                      <w:rFonts w:hint="eastAsia" w:cs="宋体"/>
                      <w:color w:val="000000"/>
                      <w:szCs w:val="21"/>
                    </w:rPr>
                    <w:t>污染物指标</w:t>
                  </w:r>
                </w:p>
              </w:tc>
              <w:tc>
                <w:tcPr>
                  <w:tcW w:w="1134" w:type="dxa"/>
                  <w:vAlign w:val="center"/>
                </w:tcPr>
                <w:p w14:paraId="353D3CFE">
                  <w:pPr>
                    <w:jc w:val="center"/>
                    <w:rPr>
                      <w:rFonts w:cs="宋体"/>
                      <w:color w:val="000000"/>
                      <w:szCs w:val="21"/>
                    </w:rPr>
                  </w:pPr>
                  <w:r>
                    <w:rPr>
                      <w:rFonts w:hint="eastAsia" w:cs="宋体"/>
                      <w:color w:val="000000"/>
                      <w:szCs w:val="21"/>
                    </w:rPr>
                    <w:t>单位</w:t>
                  </w:r>
                </w:p>
              </w:tc>
              <w:tc>
                <w:tcPr>
                  <w:tcW w:w="1134" w:type="dxa"/>
                  <w:vAlign w:val="center"/>
                </w:tcPr>
                <w:p w14:paraId="1E9E6754">
                  <w:pPr>
                    <w:jc w:val="center"/>
                    <w:rPr>
                      <w:rFonts w:cs="宋体"/>
                      <w:color w:val="000000"/>
                      <w:szCs w:val="21"/>
                    </w:rPr>
                  </w:pPr>
                  <w:r>
                    <w:rPr>
                      <w:rFonts w:hint="eastAsia" w:cs="宋体"/>
                      <w:color w:val="000000"/>
                      <w:szCs w:val="21"/>
                    </w:rPr>
                    <w:t>产污系数</w:t>
                  </w:r>
                </w:p>
              </w:tc>
            </w:tr>
            <w:tr w14:paraId="3159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vAlign w:val="center"/>
                </w:tcPr>
                <w:p w14:paraId="18CBBCC5">
                  <w:pPr>
                    <w:jc w:val="center"/>
                    <w:rPr>
                      <w:rFonts w:cs="宋体"/>
                      <w:color w:val="000000"/>
                      <w:szCs w:val="21"/>
                    </w:rPr>
                  </w:pPr>
                  <w:r>
                    <w:rPr>
                      <w:rFonts w:hint="eastAsia" w:cs="宋体"/>
                      <w:color w:val="000000"/>
                      <w:szCs w:val="21"/>
                    </w:rPr>
                    <w:t>蒸汽/热水/</w:t>
                  </w:r>
                  <w:r>
                    <w:rPr>
                      <w:rFonts w:hint="eastAsia" w:cs="宋体"/>
                      <w:color w:val="000000"/>
                      <w:szCs w:val="21"/>
                      <w:lang w:eastAsia="zh-CN"/>
                    </w:rPr>
                    <w:t>其他</w:t>
                  </w:r>
                </w:p>
              </w:tc>
              <w:tc>
                <w:tcPr>
                  <w:tcW w:w="1134" w:type="dxa"/>
                  <w:vMerge w:val="restart"/>
                  <w:vAlign w:val="center"/>
                </w:tcPr>
                <w:p w14:paraId="3E076EF0">
                  <w:pPr>
                    <w:jc w:val="center"/>
                    <w:rPr>
                      <w:rFonts w:cs="宋体"/>
                      <w:color w:val="000000"/>
                      <w:szCs w:val="21"/>
                    </w:rPr>
                  </w:pPr>
                  <w:r>
                    <w:rPr>
                      <w:rFonts w:hint="eastAsia" w:cs="宋体"/>
                      <w:color w:val="000000"/>
                      <w:szCs w:val="21"/>
                    </w:rPr>
                    <w:t>高炉煤气</w:t>
                  </w:r>
                </w:p>
              </w:tc>
              <w:tc>
                <w:tcPr>
                  <w:tcW w:w="1133" w:type="dxa"/>
                  <w:vMerge w:val="restart"/>
                  <w:vAlign w:val="center"/>
                </w:tcPr>
                <w:p w14:paraId="3C5B45D5">
                  <w:pPr>
                    <w:jc w:val="center"/>
                    <w:rPr>
                      <w:rFonts w:cs="宋体"/>
                      <w:color w:val="000000"/>
                      <w:szCs w:val="21"/>
                    </w:rPr>
                  </w:pPr>
                  <w:r>
                    <w:rPr>
                      <w:rFonts w:hint="eastAsia" w:cs="宋体"/>
                      <w:color w:val="000000"/>
                      <w:szCs w:val="21"/>
                    </w:rPr>
                    <w:t>室燃炉</w:t>
                  </w:r>
                </w:p>
              </w:tc>
              <w:tc>
                <w:tcPr>
                  <w:tcW w:w="1133" w:type="dxa"/>
                  <w:vMerge w:val="restart"/>
                  <w:vAlign w:val="center"/>
                </w:tcPr>
                <w:p w14:paraId="51113DA4">
                  <w:pPr>
                    <w:jc w:val="center"/>
                    <w:rPr>
                      <w:rFonts w:cs="宋体"/>
                      <w:color w:val="000000"/>
                      <w:szCs w:val="21"/>
                    </w:rPr>
                  </w:pPr>
                  <w:r>
                    <w:rPr>
                      <w:rFonts w:hint="eastAsia" w:cs="宋体"/>
                      <w:color w:val="000000"/>
                      <w:szCs w:val="21"/>
                    </w:rPr>
                    <w:t>所有规模</w:t>
                  </w:r>
                </w:p>
              </w:tc>
              <w:tc>
                <w:tcPr>
                  <w:tcW w:w="1134" w:type="dxa"/>
                  <w:vAlign w:val="center"/>
                </w:tcPr>
                <w:p w14:paraId="638355AA">
                  <w:pPr>
                    <w:jc w:val="center"/>
                    <w:rPr>
                      <w:rFonts w:cs="宋体"/>
                      <w:color w:val="000000"/>
                      <w:szCs w:val="21"/>
                    </w:rPr>
                  </w:pPr>
                  <w:r>
                    <w:rPr>
                      <w:rFonts w:hint="eastAsia" w:cs="宋体"/>
                      <w:color w:val="000000"/>
                      <w:szCs w:val="21"/>
                    </w:rPr>
                    <w:t>颗粒物</w:t>
                  </w:r>
                </w:p>
              </w:tc>
              <w:tc>
                <w:tcPr>
                  <w:tcW w:w="1134" w:type="dxa"/>
                  <w:vMerge w:val="restart"/>
                  <w:vAlign w:val="center"/>
                </w:tcPr>
                <w:p w14:paraId="6D32A52D">
                  <w:pPr>
                    <w:jc w:val="center"/>
                    <w:rPr>
                      <w:rFonts w:cs="宋体"/>
                      <w:color w:val="000000"/>
                      <w:szCs w:val="21"/>
                    </w:rPr>
                  </w:pPr>
                  <w:r>
                    <w:rPr>
                      <w:rFonts w:hint="eastAsia" w:cs="宋体"/>
                      <w:color w:val="000000"/>
                      <w:szCs w:val="21"/>
                    </w:rPr>
                    <w:t>千克/万立方米—原料</w:t>
                  </w:r>
                </w:p>
              </w:tc>
              <w:tc>
                <w:tcPr>
                  <w:tcW w:w="1134" w:type="dxa"/>
                  <w:vAlign w:val="center"/>
                </w:tcPr>
                <w:p w14:paraId="18718F7E">
                  <w:pPr>
                    <w:jc w:val="center"/>
                    <w:rPr>
                      <w:rFonts w:cs="宋体"/>
                      <w:color w:val="000000"/>
                      <w:szCs w:val="21"/>
                    </w:rPr>
                  </w:pPr>
                  <w:r>
                    <w:rPr>
                      <w:rFonts w:hint="eastAsia" w:cs="宋体"/>
                      <w:color w:val="000000"/>
                      <w:szCs w:val="21"/>
                    </w:rPr>
                    <w:t>2.86</w:t>
                  </w:r>
                </w:p>
              </w:tc>
            </w:tr>
            <w:tr w14:paraId="64E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14:paraId="71C92F93">
                  <w:pPr>
                    <w:jc w:val="center"/>
                    <w:rPr>
                      <w:rFonts w:cs="宋体"/>
                      <w:color w:val="000000"/>
                      <w:szCs w:val="21"/>
                    </w:rPr>
                  </w:pPr>
                </w:p>
              </w:tc>
              <w:tc>
                <w:tcPr>
                  <w:tcW w:w="1134" w:type="dxa"/>
                  <w:vMerge w:val="continue"/>
                  <w:vAlign w:val="center"/>
                </w:tcPr>
                <w:p w14:paraId="4C0D7E24">
                  <w:pPr>
                    <w:jc w:val="center"/>
                    <w:rPr>
                      <w:rFonts w:cs="宋体"/>
                      <w:color w:val="000000"/>
                      <w:szCs w:val="21"/>
                    </w:rPr>
                  </w:pPr>
                </w:p>
              </w:tc>
              <w:tc>
                <w:tcPr>
                  <w:tcW w:w="1133" w:type="dxa"/>
                  <w:vMerge w:val="continue"/>
                  <w:vAlign w:val="center"/>
                </w:tcPr>
                <w:p w14:paraId="550805A8">
                  <w:pPr>
                    <w:jc w:val="center"/>
                    <w:rPr>
                      <w:rFonts w:cs="宋体"/>
                      <w:color w:val="000000"/>
                      <w:szCs w:val="21"/>
                    </w:rPr>
                  </w:pPr>
                </w:p>
              </w:tc>
              <w:tc>
                <w:tcPr>
                  <w:tcW w:w="1133" w:type="dxa"/>
                  <w:vMerge w:val="continue"/>
                  <w:vAlign w:val="center"/>
                </w:tcPr>
                <w:p w14:paraId="62B40D13">
                  <w:pPr>
                    <w:jc w:val="center"/>
                    <w:rPr>
                      <w:rFonts w:cs="宋体"/>
                      <w:color w:val="000000"/>
                      <w:szCs w:val="21"/>
                    </w:rPr>
                  </w:pPr>
                </w:p>
              </w:tc>
              <w:tc>
                <w:tcPr>
                  <w:tcW w:w="1134" w:type="dxa"/>
                  <w:vAlign w:val="center"/>
                </w:tcPr>
                <w:p w14:paraId="215E8407">
                  <w:pPr>
                    <w:jc w:val="center"/>
                    <w:rPr>
                      <w:rFonts w:cs="宋体"/>
                      <w:color w:val="000000"/>
                      <w:szCs w:val="21"/>
                    </w:rPr>
                  </w:pPr>
                  <w:r>
                    <w:rPr>
                      <w:rFonts w:hint="eastAsia" w:cs="宋体"/>
                      <w:color w:val="000000"/>
                      <w:szCs w:val="21"/>
                    </w:rPr>
                    <w:t>二氧化硫</w:t>
                  </w:r>
                </w:p>
              </w:tc>
              <w:tc>
                <w:tcPr>
                  <w:tcW w:w="1134" w:type="dxa"/>
                  <w:vMerge w:val="continue"/>
                  <w:vAlign w:val="center"/>
                </w:tcPr>
                <w:p w14:paraId="5DBAC17E">
                  <w:pPr>
                    <w:jc w:val="center"/>
                    <w:rPr>
                      <w:rFonts w:cs="宋体"/>
                      <w:color w:val="000000"/>
                      <w:szCs w:val="21"/>
                    </w:rPr>
                  </w:pPr>
                </w:p>
              </w:tc>
              <w:tc>
                <w:tcPr>
                  <w:tcW w:w="1134" w:type="dxa"/>
                  <w:vAlign w:val="center"/>
                </w:tcPr>
                <w:p w14:paraId="07D4997E">
                  <w:pPr>
                    <w:jc w:val="center"/>
                    <w:rPr>
                      <w:rFonts w:cs="宋体"/>
                      <w:color w:val="000000"/>
                      <w:szCs w:val="21"/>
                    </w:rPr>
                  </w:pPr>
                  <w:r>
                    <w:rPr>
                      <w:rFonts w:hint="eastAsia" w:cs="宋体"/>
                      <w:color w:val="000000"/>
                      <w:szCs w:val="21"/>
                    </w:rPr>
                    <w:t>0.02S（S按23计）</w:t>
                  </w:r>
                </w:p>
              </w:tc>
            </w:tr>
            <w:tr w14:paraId="095C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14:paraId="297CE8EB">
                  <w:pPr>
                    <w:jc w:val="center"/>
                    <w:rPr>
                      <w:rFonts w:cs="宋体"/>
                      <w:color w:val="000000"/>
                      <w:szCs w:val="21"/>
                    </w:rPr>
                  </w:pPr>
                </w:p>
              </w:tc>
              <w:tc>
                <w:tcPr>
                  <w:tcW w:w="1134" w:type="dxa"/>
                  <w:vMerge w:val="continue"/>
                  <w:vAlign w:val="center"/>
                </w:tcPr>
                <w:p w14:paraId="09DDC7BB">
                  <w:pPr>
                    <w:jc w:val="center"/>
                    <w:rPr>
                      <w:rFonts w:cs="宋体"/>
                      <w:color w:val="000000"/>
                      <w:szCs w:val="21"/>
                    </w:rPr>
                  </w:pPr>
                </w:p>
              </w:tc>
              <w:tc>
                <w:tcPr>
                  <w:tcW w:w="1133" w:type="dxa"/>
                  <w:vMerge w:val="continue"/>
                  <w:vAlign w:val="center"/>
                </w:tcPr>
                <w:p w14:paraId="51620D14">
                  <w:pPr>
                    <w:jc w:val="center"/>
                    <w:rPr>
                      <w:rFonts w:cs="宋体"/>
                      <w:color w:val="000000"/>
                      <w:szCs w:val="21"/>
                    </w:rPr>
                  </w:pPr>
                </w:p>
              </w:tc>
              <w:tc>
                <w:tcPr>
                  <w:tcW w:w="1133" w:type="dxa"/>
                  <w:vMerge w:val="continue"/>
                  <w:vAlign w:val="center"/>
                </w:tcPr>
                <w:p w14:paraId="79B1239F">
                  <w:pPr>
                    <w:jc w:val="center"/>
                    <w:rPr>
                      <w:rFonts w:cs="宋体"/>
                      <w:color w:val="000000"/>
                      <w:szCs w:val="21"/>
                    </w:rPr>
                  </w:pPr>
                </w:p>
              </w:tc>
              <w:tc>
                <w:tcPr>
                  <w:tcW w:w="1134" w:type="dxa"/>
                  <w:vAlign w:val="center"/>
                </w:tcPr>
                <w:p w14:paraId="217B1FEF">
                  <w:pPr>
                    <w:jc w:val="center"/>
                    <w:rPr>
                      <w:rFonts w:cs="宋体"/>
                      <w:color w:val="000000"/>
                      <w:szCs w:val="21"/>
                    </w:rPr>
                  </w:pPr>
                  <w:r>
                    <w:rPr>
                      <w:rFonts w:hint="eastAsia" w:cs="宋体"/>
                      <w:color w:val="000000"/>
                      <w:szCs w:val="21"/>
                    </w:rPr>
                    <w:t>氮氧化物</w:t>
                  </w:r>
                </w:p>
              </w:tc>
              <w:tc>
                <w:tcPr>
                  <w:tcW w:w="1134" w:type="dxa"/>
                  <w:vMerge w:val="continue"/>
                  <w:vAlign w:val="center"/>
                </w:tcPr>
                <w:p w14:paraId="628151D8">
                  <w:pPr>
                    <w:jc w:val="center"/>
                    <w:rPr>
                      <w:rFonts w:cs="宋体"/>
                      <w:color w:val="000000"/>
                      <w:szCs w:val="21"/>
                    </w:rPr>
                  </w:pPr>
                </w:p>
              </w:tc>
              <w:tc>
                <w:tcPr>
                  <w:tcW w:w="1134" w:type="dxa"/>
                  <w:vAlign w:val="center"/>
                </w:tcPr>
                <w:p w14:paraId="5996C78C">
                  <w:pPr>
                    <w:jc w:val="center"/>
                    <w:rPr>
                      <w:rFonts w:cs="宋体"/>
                      <w:color w:val="000000"/>
                      <w:szCs w:val="21"/>
                    </w:rPr>
                  </w:pPr>
                  <w:r>
                    <w:rPr>
                      <w:rFonts w:hint="eastAsia" w:cs="宋体"/>
                      <w:color w:val="000000"/>
                      <w:szCs w:val="21"/>
                    </w:rPr>
                    <w:t>0.86</w:t>
                  </w:r>
                </w:p>
              </w:tc>
            </w:tr>
          </w:tbl>
          <w:p w14:paraId="499F570C">
            <w:pPr>
              <w:pStyle w:val="48"/>
              <w:numPr>
                <w:ilvl w:val="2"/>
                <w:numId w:val="4"/>
              </w:numPr>
              <w:spacing w:line="500" w:lineRule="atLeast"/>
              <w:ind w:firstLineChars="0"/>
              <w:jc w:val="center"/>
              <w:rPr>
                <w:rFonts w:hint="eastAsia"/>
                <w:bCs/>
                <w:sz w:val="24"/>
              </w:rPr>
            </w:pPr>
            <w:r>
              <w:rPr>
                <w:rFonts w:hint="eastAsia" w:ascii="Times New Roman" w:hAnsi="Times New Roman" w:eastAsia="宋体" w:cs="Times New Roman"/>
                <w:b/>
                <w:sz w:val="24"/>
                <w:lang w:val="en-US" w:eastAsia="zh-CN"/>
              </w:rPr>
              <w:t>高炉煤气</w:t>
            </w:r>
            <w:r>
              <w:rPr>
                <w:rFonts w:hint="eastAsia" w:ascii="Times New Roman" w:hAnsi="Times New Roman" w:eastAsia="宋体" w:cs="Times New Roman"/>
                <w:b/>
                <w:sz w:val="24"/>
              </w:rPr>
              <w:t>燃烧废气产排情况一览表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322"/>
              <w:gridCol w:w="1323"/>
              <w:gridCol w:w="1323"/>
              <w:gridCol w:w="1323"/>
              <w:gridCol w:w="1323"/>
            </w:tblGrid>
            <w:tr w14:paraId="43A9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2" w:type="dxa"/>
                  <w:vAlign w:val="center"/>
                </w:tcPr>
                <w:p w14:paraId="59E6AFA4">
                  <w:pPr>
                    <w:jc w:val="center"/>
                    <w:rPr>
                      <w:rFonts w:cs="宋体"/>
                      <w:color w:val="000000"/>
                      <w:szCs w:val="21"/>
                    </w:rPr>
                  </w:pPr>
                  <w:r>
                    <w:rPr>
                      <w:rFonts w:hint="eastAsia" w:cs="宋体"/>
                      <w:color w:val="000000"/>
                      <w:szCs w:val="21"/>
                    </w:rPr>
                    <w:t>产污工序</w:t>
                  </w:r>
                </w:p>
              </w:tc>
              <w:tc>
                <w:tcPr>
                  <w:tcW w:w="1322" w:type="dxa"/>
                  <w:vAlign w:val="center"/>
                </w:tcPr>
                <w:p w14:paraId="105A6D66">
                  <w:pPr>
                    <w:jc w:val="center"/>
                    <w:rPr>
                      <w:rFonts w:cs="宋体"/>
                      <w:color w:val="000000"/>
                      <w:szCs w:val="21"/>
                    </w:rPr>
                  </w:pPr>
                  <w:r>
                    <w:rPr>
                      <w:rFonts w:hint="eastAsia" w:cs="宋体"/>
                      <w:color w:val="000000"/>
                      <w:szCs w:val="21"/>
                    </w:rPr>
                    <w:t>污染源</w:t>
                  </w:r>
                </w:p>
              </w:tc>
              <w:tc>
                <w:tcPr>
                  <w:tcW w:w="1323" w:type="dxa"/>
                  <w:vAlign w:val="center"/>
                </w:tcPr>
                <w:p w14:paraId="0BD5E7A1">
                  <w:pPr>
                    <w:jc w:val="center"/>
                    <w:rPr>
                      <w:rFonts w:cs="宋体"/>
                      <w:color w:val="000000"/>
                      <w:szCs w:val="21"/>
                    </w:rPr>
                  </w:pPr>
                  <w:r>
                    <w:rPr>
                      <w:rFonts w:hint="eastAsia" w:cs="宋体"/>
                      <w:color w:val="000000"/>
                      <w:szCs w:val="21"/>
                    </w:rPr>
                    <w:t>产生量（t/a）</w:t>
                  </w:r>
                </w:p>
              </w:tc>
              <w:tc>
                <w:tcPr>
                  <w:tcW w:w="1323" w:type="dxa"/>
                  <w:vAlign w:val="center"/>
                </w:tcPr>
                <w:p w14:paraId="4750DD86">
                  <w:pPr>
                    <w:jc w:val="center"/>
                    <w:rPr>
                      <w:rFonts w:cs="宋体"/>
                      <w:color w:val="000000"/>
                      <w:szCs w:val="21"/>
                    </w:rPr>
                  </w:pPr>
                  <w:r>
                    <w:rPr>
                      <w:rFonts w:hint="eastAsia" w:cs="宋体"/>
                      <w:color w:val="000000"/>
                      <w:szCs w:val="21"/>
                    </w:rPr>
                    <w:t>处理措施</w:t>
                  </w:r>
                </w:p>
              </w:tc>
              <w:tc>
                <w:tcPr>
                  <w:tcW w:w="1323" w:type="dxa"/>
                  <w:vAlign w:val="center"/>
                </w:tcPr>
                <w:p w14:paraId="729E76A5">
                  <w:pPr>
                    <w:jc w:val="center"/>
                    <w:rPr>
                      <w:rFonts w:cs="宋体"/>
                      <w:color w:val="000000"/>
                      <w:szCs w:val="21"/>
                    </w:rPr>
                  </w:pPr>
                  <w:r>
                    <w:rPr>
                      <w:rFonts w:hint="eastAsia" w:cs="宋体"/>
                      <w:color w:val="000000"/>
                      <w:szCs w:val="21"/>
                    </w:rPr>
                    <w:t>处理效率（%）</w:t>
                  </w:r>
                </w:p>
              </w:tc>
              <w:tc>
                <w:tcPr>
                  <w:tcW w:w="1323" w:type="dxa"/>
                  <w:vAlign w:val="center"/>
                </w:tcPr>
                <w:p w14:paraId="7431F2F1">
                  <w:pPr>
                    <w:jc w:val="center"/>
                    <w:rPr>
                      <w:rFonts w:cs="宋体"/>
                      <w:color w:val="000000"/>
                      <w:szCs w:val="21"/>
                    </w:rPr>
                  </w:pPr>
                  <w:r>
                    <w:rPr>
                      <w:rFonts w:hint="eastAsia" w:cs="宋体"/>
                      <w:color w:val="000000"/>
                      <w:szCs w:val="21"/>
                    </w:rPr>
                    <w:t>排放量（t/a）</w:t>
                  </w:r>
                </w:p>
              </w:tc>
            </w:tr>
            <w:tr w14:paraId="4012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6" w:type="dxa"/>
                  <w:gridSpan w:val="6"/>
                  <w:vAlign w:val="center"/>
                </w:tcPr>
                <w:p w14:paraId="190BC5ED">
                  <w:pPr>
                    <w:jc w:val="center"/>
                    <w:rPr>
                      <w:rFonts w:cs="宋体"/>
                      <w:color w:val="000000"/>
                      <w:szCs w:val="21"/>
                    </w:rPr>
                  </w:pPr>
                  <w:r>
                    <w:rPr>
                      <w:rFonts w:hint="eastAsia" w:cs="宋体"/>
                      <w:color w:val="000000"/>
                      <w:szCs w:val="21"/>
                    </w:rPr>
                    <w:t>有组织</w:t>
                  </w:r>
                </w:p>
              </w:tc>
            </w:tr>
            <w:tr w14:paraId="0B24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2" w:type="dxa"/>
                  <w:vMerge w:val="restart"/>
                  <w:vAlign w:val="center"/>
                </w:tcPr>
                <w:p w14:paraId="45A7A899">
                  <w:pPr>
                    <w:jc w:val="center"/>
                    <w:rPr>
                      <w:rFonts w:hint="default" w:eastAsia="宋体" w:cs="宋体"/>
                      <w:color w:val="000000"/>
                      <w:szCs w:val="21"/>
                      <w:lang w:val="en-US" w:eastAsia="zh-CN"/>
                    </w:rPr>
                  </w:pPr>
                  <w:r>
                    <w:rPr>
                      <w:rFonts w:hint="eastAsia" w:cs="宋体"/>
                      <w:color w:val="000000"/>
                      <w:szCs w:val="21"/>
                      <w:lang w:val="en-US" w:eastAsia="zh-CN"/>
                    </w:rPr>
                    <w:t>高炉煤气燃烧废气</w:t>
                  </w:r>
                </w:p>
              </w:tc>
              <w:tc>
                <w:tcPr>
                  <w:tcW w:w="1322" w:type="dxa"/>
                  <w:vAlign w:val="center"/>
                </w:tcPr>
                <w:p w14:paraId="2F413FEC">
                  <w:pPr>
                    <w:jc w:val="center"/>
                    <w:rPr>
                      <w:rFonts w:cs="宋体"/>
                      <w:color w:val="000000"/>
                      <w:szCs w:val="21"/>
                    </w:rPr>
                  </w:pPr>
                  <w:r>
                    <w:rPr>
                      <w:rFonts w:hint="eastAsia" w:cs="宋体"/>
                      <w:color w:val="000000"/>
                      <w:szCs w:val="21"/>
                    </w:rPr>
                    <w:t>颗粒物</w:t>
                  </w:r>
                </w:p>
              </w:tc>
              <w:tc>
                <w:tcPr>
                  <w:tcW w:w="1323" w:type="dxa"/>
                  <w:vAlign w:val="center"/>
                </w:tcPr>
                <w:p w14:paraId="0C1601CD">
                  <w:pPr>
                    <w:jc w:val="center"/>
                    <w:rPr>
                      <w:rFonts w:hint="default" w:eastAsia="宋体" w:cs="宋体"/>
                      <w:color w:val="000000"/>
                      <w:szCs w:val="21"/>
                      <w:lang w:val="en-US" w:eastAsia="zh-CN"/>
                    </w:rPr>
                  </w:pPr>
                  <w:r>
                    <w:rPr>
                      <w:rFonts w:hint="eastAsia" w:cs="宋体"/>
                      <w:color w:val="000000"/>
                      <w:szCs w:val="21"/>
                      <w:lang w:val="en-US" w:eastAsia="zh-CN"/>
                    </w:rPr>
                    <w:t>31.92</w:t>
                  </w:r>
                </w:p>
              </w:tc>
              <w:tc>
                <w:tcPr>
                  <w:tcW w:w="1323" w:type="dxa"/>
                  <w:vMerge w:val="restart"/>
                  <w:vAlign w:val="center"/>
                </w:tcPr>
                <w:p w14:paraId="436A9F7F">
                  <w:pPr>
                    <w:jc w:val="center"/>
                    <w:rPr>
                      <w:rFonts w:cs="宋体"/>
                      <w:color w:val="000000"/>
                      <w:szCs w:val="21"/>
                    </w:rPr>
                  </w:pPr>
                  <w:r>
                    <w:rPr>
                      <w:rFonts w:hint="eastAsia" w:cs="宋体"/>
                      <w:color w:val="000000"/>
                      <w:szCs w:val="21"/>
                    </w:rPr>
                    <w:t>布袋除尘器</w:t>
                  </w:r>
                </w:p>
              </w:tc>
              <w:tc>
                <w:tcPr>
                  <w:tcW w:w="1323" w:type="dxa"/>
                  <w:vAlign w:val="center"/>
                </w:tcPr>
                <w:p w14:paraId="01E8C46D">
                  <w:pPr>
                    <w:jc w:val="center"/>
                    <w:rPr>
                      <w:rFonts w:hint="default" w:eastAsia="宋体" w:cs="宋体"/>
                      <w:color w:val="000000"/>
                      <w:szCs w:val="21"/>
                      <w:lang w:val="en-US" w:eastAsia="zh-CN"/>
                    </w:rPr>
                  </w:pPr>
                  <w:r>
                    <w:rPr>
                      <w:rFonts w:hint="eastAsia" w:cs="宋体"/>
                      <w:color w:val="000000"/>
                      <w:szCs w:val="21"/>
                      <w:lang w:val="en-US" w:eastAsia="zh-CN"/>
                    </w:rPr>
                    <w:t>99</w:t>
                  </w:r>
                </w:p>
              </w:tc>
              <w:tc>
                <w:tcPr>
                  <w:tcW w:w="1323" w:type="dxa"/>
                  <w:vAlign w:val="center"/>
                </w:tcPr>
                <w:p w14:paraId="57720277">
                  <w:pPr>
                    <w:jc w:val="center"/>
                    <w:rPr>
                      <w:rFonts w:hint="default" w:eastAsia="宋体" w:cs="宋体"/>
                      <w:color w:val="000000"/>
                      <w:szCs w:val="21"/>
                      <w:lang w:val="en-US" w:eastAsia="zh-CN"/>
                    </w:rPr>
                  </w:pPr>
                  <w:r>
                    <w:rPr>
                      <w:rFonts w:hint="eastAsia" w:cs="宋体"/>
                      <w:color w:val="000000"/>
                      <w:szCs w:val="21"/>
                      <w:lang w:val="en-US" w:eastAsia="zh-CN"/>
                    </w:rPr>
                    <w:t>0.32</w:t>
                  </w:r>
                </w:p>
              </w:tc>
            </w:tr>
            <w:tr w14:paraId="1C5A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2" w:type="dxa"/>
                  <w:vMerge w:val="continue"/>
                  <w:vAlign w:val="center"/>
                </w:tcPr>
                <w:p w14:paraId="3A60124F">
                  <w:pPr>
                    <w:jc w:val="center"/>
                    <w:rPr>
                      <w:rFonts w:cs="宋体"/>
                      <w:color w:val="000000"/>
                      <w:szCs w:val="21"/>
                    </w:rPr>
                  </w:pPr>
                </w:p>
              </w:tc>
              <w:tc>
                <w:tcPr>
                  <w:tcW w:w="1322" w:type="dxa"/>
                  <w:vAlign w:val="center"/>
                </w:tcPr>
                <w:p w14:paraId="5873FE6E">
                  <w:pPr>
                    <w:jc w:val="center"/>
                    <w:rPr>
                      <w:rFonts w:cs="宋体"/>
                      <w:color w:val="000000"/>
                      <w:szCs w:val="21"/>
                    </w:rPr>
                  </w:pPr>
                  <w:r>
                    <w:rPr>
                      <w:rFonts w:hint="eastAsia" w:cs="宋体"/>
                      <w:color w:val="000000"/>
                      <w:szCs w:val="21"/>
                    </w:rPr>
                    <w:t>二氧化硫</w:t>
                  </w:r>
                </w:p>
              </w:tc>
              <w:tc>
                <w:tcPr>
                  <w:tcW w:w="1323" w:type="dxa"/>
                  <w:vAlign w:val="center"/>
                </w:tcPr>
                <w:p w14:paraId="3E477093">
                  <w:pPr>
                    <w:jc w:val="center"/>
                    <w:rPr>
                      <w:rFonts w:hint="default" w:eastAsia="宋体" w:cs="宋体"/>
                      <w:color w:val="000000"/>
                      <w:szCs w:val="21"/>
                      <w:lang w:val="en-US" w:eastAsia="zh-CN"/>
                    </w:rPr>
                  </w:pPr>
                  <w:r>
                    <w:rPr>
                      <w:rFonts w:hint="eastAsia" w:cs="宋体"/>
                      <w:color w:val="000000"/>
                      <w:szCs w:val="21"/>
                      <w:lang w:val="en-US" w:eastAsia="zh-CN"/>
                    </w:rPr>
                    <w:t>5.13</w:t>
                  </w:r>
                </w:p>
              </w:tc>
              <w:tc>
                <w:tcPr>
                  <w:tcW w:w="1323" w:type="dxa"/>
                  <w:vMerge w:val="continue"/>
                  <w:vAlign w:val="center"/>
                </w:tcPr>
                <w:p w14:paraId="4F7AB022">
                  <w:pPr>
                    <w:jc w:val="center"/>
                    <w:rPr>
                      <w:rFonts w:cs="宋体"/>
                      <w:color w:val="000000"/>
                      <w:szCs w:val="21"/>
                    </w:rPr>
                  </w:pPr>
                </w:p>
              </w:tc>
              <w:tc>
                <w:tcPr>
                  <w:tcW w:w="1323" w:type="dxa"/>
                  <w:vAlign w:val="center"/>
                </w:tcPr>
                <w:p w14:paraId="16AFF000">
                  <w:pPr>
                    <w:jc w:val="center"/>
                    <w:rPr>
                      <w:rFonts w:cs="宋体"/>
                      <w:color w:val="000000"/>
                      <w:szCs w:val="21"/>
                    </w:rPr>
                  </w:pPr>
                  <w:r>
                    <w:rPr>
                      <w:rFonts w:hint="eastAsia" w:cs="宋体"/>
                      <w:color w:val="000000"/>
                      <w:szCs w:val="21"/>
                    </w:rPr>
                    <w:t>0</w:t>
                  </w:r>
                </w:p>
              </w:tc>
              <w:tc>
                <w:tcPr>
                  <w:tcW w:w="1323" w:type="dxa"/>
                  <w:shd w:val="clear" w:color="auto" w:fill="auto"/>
                  <w:vAlign w:val="center"/>
                </w:tcPr>
                <w:p w14:paraId="3A03C3AF">
                  <w:pPr>
                    <w:jc w:val="center"/>
                    <w:rPr>
                      <w:rFonts w:hint="default" w:ascii="Times New Roman" w:hAnsi="Times New Roman" w:eastAsia="宋体" w:cs="宋体"/>
                      <w:color w:val="000000"/>
                      <w:kern w:val="2"/>
                      <w:sz w:val="21"/>
                      <w:szCs w:val="21"/>
                      <w:lang w:val="en-US" w:eastAsia="zh-CN" w:bidi="ar-SA"/>
                    </w:rPr>
                  </w:pPr>
                  <w:r>
                    <w:rPr>
                      <w:rFonts w:hint="eastAsia" w:cs="宋体"/>
                      <w:color w:val="000000"/>
                      <w:szCs w:val="21"/>
                      <w:lang w:val="en-US" w:eastAsia="zh-CN"/>
                    </w:rPr>
                    <w:t>5.13</w:t>
                  </w:r>
                </w:p>
              </w:tc>
            </w:tr>
            <w:tr w14:paraId="212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2" w:type="dxa"/>
                  <w:vMerge w:val="continue"/>
                  <w:vAlign w:val="center"/>
                </w:tcPr>
                <w:p w14:paraId="1BEF4521">
                  <w:pPr>
                    <w:jc w:val="center"/>
                    <w:rPr>
                      <w:rFonts w:cs="宋体"/>
                      <w:color w:val="000000"/>
                      <w:szCs w:val="21"/>
                    </w:rPr>
                  </w:pPr>
                </w:p>
              </w:tc>
              <w:tc>
                <w:tcPr>
                  <w:tcW w:w="1322" w:type="dxa"/>
                  <w:vAlign w:val="center"/>
                </w:tcPr>
                <w:p w14:paraId="1437C1DE">
                  <w:pPr>
                    <w:jc w:val="center"/>
                    <w:rPr>
                      <w:rFonts w:cs="宋体"/>
                      <w:color w:val="000000"/>
                      <w:szCs w:val="21"/>
                    </w:rPr>
                  </w:pPr>
                  <w:r>
                    <w:rPr>
                      <w:rFonts w:hint="eastAsia" w:cs="宋体"/>
                      <w:color w:val="000000"/>
                      <w:szCs w:val="21"/>
                    </w:rPr>
                    <w:t>氮氧化物</w:t>
                  </w:r>
                </w:p>
              </w:tc>
              <w:tc>
                <w:tcPr>
                  <w:tcW w:w="1323" w:type="dxa"/>
                  <w:vAlign w:val="center"/>
                </w:tcPr>
                <w:p w14:paraId="398E806A">
                  <w:pPr>
                    <w:jc w:val="center"/>
                    <w:rPr>
                      <w:rFonts w:hint="default" w:eastAsia="宋体" w:cs="宋体"/>
                      <w:color w:val="000000"/>
                      <w:szCs w:val="21"/>
                      <w:lang w:val="en-US" w:eastAsia="zh-CN"/>
                    </w:rPr>
                  </w:pPr>
                  <w:r>
                    <w:rPr>
                      <w:rFonts w:hint="eastAsia" w:cs="宋体"/>
                      <w:color w:val="000000"/>
                      <w:szCs w:val="21"/>
                      <w:lang w:val="en-US" w:eastAsia="zh-CN"/>
                    </w:rPr>
                    <w:t>9.60</w:t>
                  </w:r>
                </w:p>
              </w:tc>
              <w:tc>
                <w:tcPr>
                  <w:tcW w:w="1323" w:type="dxa"/>
                  <w:vMerge w:val="continue"/>
                  <w:vAlign w:val="center"/>
                </w:tcPr>
                <w:p w14:paraId="6176E1A7">
                  <w:pPr>
                    <w:jc w:val="center"/>
                    <w:rPr>
                      <w:rFonts w:cs="宋体"/>
                      <w:color w:val="000000"/>
                      <w:szCs w:val="21"/>
                    </w:rPr>
                  </w:pPr>
                </w:p>
              </w:tc>
              <w:tc>
                <w:tcPr>
                  <w:tcW w:w="1323" w:type="dxa"/>
                  <w:vAlign w:val="center"/>
                </w:tcPr>
                <w:p w14:paraId="71727878">
                  <w:pPr>
                    <w:jc w:val="center"/>
                    <w:rPr>
                      <w:rFonts w:cs="宋体"/>
                      <w:color w:val="000000"/>
                      <w:szCs w:val="21"/>
                    </w:rPr>
                  </w:pPr>
                  <w:r>
                    <w:rPr>
                      <w:rFonts w:hint="eastAsia" w:cs="宋体"/>
                      <w:color w:val="000000"/>
                      <w:szCs w:val="21"/>
                    </w:rPr>
                    <w:t>0</w:t>
                  </w:r>
                </w:p>
              </w:tc>
              <w:tc>
                <w:tcPr>
                  <w:tcW w:w="1323" w:type="dxa"/>
                  <w:shd w:val="clear" w:color="auto" w:fill="auto"/>
                  <w:vAlign w:val="center"/>
                </w:tcPr>
                <w:p w14:paraId="4CAC7FB3">
                  <w:pPr>
                    <w:jc w:val="center"/>
                    <w:rPr>
                      <w:rFonts w:hint="default" w:ascii="Times New Roman" w:hAnsi="Times New Roman" w:eastAsia="宋体" w:cs="宋体"/>
                      <w:color w:val="000000"/>
                      <w:kern w:val="2"/>
                      <w:sz w:val="21"/>
                      <w:szCs w:val="21"/>
                      <w:lang w:val="en-US" w:eastAsia="zh-CN" w:bidi="ar-SA"/>
                    </w:rPr>
                  </w:pPr>
                  <w:r>
                    <w:rPr>
                      <w:rFonts w:hint="eastAsia" w:cs="宋体"/>
                      <w:color w:val="000000"/>
                      <w:szCs w:val="21"/>
                      <w:lang w:val="en-US" w:eastAsia="zh-CN"/>
                    </w:rPr>
                    <w:t>9.60</w:t>
                  </w:r>
                </w:p>
              </w:tc>
            </w:tr>
          </w:tbl>
          <w:p w14:paraId="64CCCBBA">
            <w:pPr>
              <w:spacing w:line="500" w:lineRule="exact"/>
              <w:ind w:firstLine="600" w:firstLineChars="250"/>
              <w:rPr>
                <w:rFonts w:hint="default" w:ascii="Times New Roman" w:hAnsi="Times New Roman" w:eastAsia="宋体" w:cs="Times New Roman"/>
                <w:bCs/>
                <w:sz w:val="24"/>
                <w:lang w:val="en-US" w:eastAsia="zh-CN"/>
              </w:rPr>
            </w:pPr>
            <w:r>
              <w:rPr>
                <w:rFonts w:hint="default" w:ascii="Times New Roman" w:hAnsi="Times New Roman" w:cs="Times New Roman"/>
                <w:bCs/>
                <w:sz w:val="24"/>
                <w:lang w:val="en-US" w:eastAsia="zh-CN"/>
              </w:rPr>
              <w:t>回转窑烟气一</w:t>
            </w:r>
            <w:r>
              <w:rPr>
                <w:rFonts w:hint="default" w:ascii="Times New Roman" w:hAnsi="Times New Roman" w:eastAsia="宋体" w:cs="Times New Roman"/>
                <w:bCs/>
                <w:sz w:val="24"/>
                <w:lang w:val="en-US" w:eastAsia="zh-CN"/>
              </w:rPr>
              <w:t>同经引风机引至除尘设备（覆膜袋式除尘器）处理后</w:t>
            </w:r>
            <w:r>
              <w:rPr>
                <w:rFonts w:hint="default" w:ascii="Times New Roman" w:hAnsi="Times New Roman" w:cs="Times New Roman"/>
                <w:bCs/>
                <w:sz w:val="24"/>
                <w:lang w:val="en-US" w:eastAsia="zh-CN"/>
              </w:rPr>
              <w:t>由</w:t>
            </w:r>
            <w:r>
              <w:rPr>
                <w:rFonts w:hint="eastAsia" w:cs="Times New Roman"/>
                <w:bCs/>
                <w:sz w:val="24"/>
                <w:lang w:val="en-US" w:eastAsia="zh-CN"/>
              </w:rPr>
              <w:t>32</w:t>
            </w:r>
            <w:r>
              <w:rPr>
                <w:rFonts w:hint="default" w:ascii="Times New Roman" w:hAnsi="Times New Roman" w:cs="Times New Roman"/>
                <w:bCs/>
                <w:sz w:val="24"/>
                <w:lang w:val="en-US" w:eastAsia="zh-CN"/>
              </w:rPr>
              <w:t>m高排气筒排放</w:t>
            </w:r>
            <w:r>
              <w:rPr>
                <w:rFonts w:hint="default" w:ascii="Times New Roman" w:hAnsi="Times New Roman" w:eastAsia="宋体" w:cs="Times New Roman"/>
                <w:bCs/>
                <w:sz w:val="24"/>
                <w:lang w:val="en-US" w:eastAsia="zh-CN"/>
              </w:rPr>
              <w:t>，风机量为</w:t>
            </w:r>
            <w:r>
              <w:rPr>
                <w:rFonts w:hint="default" w:ascii="Times New Roman" w:hAnsi="Times New Roman" w:cs="Times New Roman"/>
                <w:bCs/>
                <w:sz w:val="24"/>
                <w:lang w:val="en-US" w:eastAsia="zh-CN"/>
              </w:rPr>
              <w:t>20</w:t>
            </w:r>
            <w:r>
              <w:rPr>
                <w:rFonts w:hint="default" w:ascii="Times New Roman" w:hAnsi="Times New Roman" w:eastAsia="宋体" w:cs="Times New Roman"/>
                <w:bCs/>
                <w:sz w:val="24"/>
                <w:lang w:val="en-US" w:eastAsia="zh-CN"/>
              </w:rPr>
              <w:t>0000m</w:t>
            </w:r>
            <w:r>
              <w:rPr>
                <w:rFonts w:hint="default" w:ascii="Times New Roman" w:hAnsi="Times New Roman" w:eastAsia="宋体" w:cs="Times New Roman"/>
                <w:bCs/>
                <w:sz w:val="24"/>
                <w:vertAlign w:val="superscript"/>
                <w:lang w:val="en-US" w:eastAsia="zh-CN"/>
              </w:rPr>
              <w:t>3</w:t>
            </w:r>
            <w:r>
              <w:rPr>
                <w:rFonts w:hint="default" w:ascii="Times New Roman" w:hAnsi="Times New Roman" w:eastAsia="宋体" w:cs="Times New Roman"/>
                <w:bCs/>
                <w:sz w:val="24"/>
                <w:lang w:val="en-US" w:eastAsia="zh-CN"/>
              </w:rPr>
              <w:t>/h，除尘效率按99%计</w:t>
            </w:r>
            <w:r>
              <w:rPr>
                <w:rFonts w:hint="default" w:ascii="Times New Roman" w:hAnsi="Times New Roman" w:cs="Times New Roman"/>
                <w:bCs/>
                <w:sz w:val="24"/>
                <w:lang w:val="en-US" w:eastAsia="zh-CN"/>
              </w:rPr>
              <w:t>，综上</w:t>
            </w:r>
            <w:r>
              <w:rPr>
                <w:rFonts w:hint="default" w:ascii="Times New Roman" w:hAnsi="Times New Roman" w:eastAsia="宋体" w:cs="Times New Roman"/>
                <w:bCs/>
                <w:sz w:val="24"/>
                <w:lang w:val="en-US" w:eastAsia="zh-CN"/>
              </w:rPr>
              <w:t>，本项目回转窑烟气产排情况详见表4-7</w:t>
            </w:r>
            <w:r>
              <w:rPr>
                <w:rFonts w:hint="default" w:ascii="Times New Roman" w:hAnsi="Times New Roman" w:cs="Times New Roman"/>
                <w:bCs/>
                <w:sz w:val="24"/>
                <w:lang w:val="en-US" w:eastAsia="zh-CN"/>
              </w:rPr>
              <w:t>。</w:t>
            </w:r>
          </w:p>
          <w:p w14:paraId="0D8CDE40">
            <w:pPr>
              <w:pStyle w:val="48"/>
              <w:numPr>
                <w:ilvl w:val="2"/>
                <w:numId w:val="4"/>
              </w:numPr>
              <w:spacing w:line="500" w:lineRule="atLeast"/>
              <w:ind w:firstLineChars="0"/>
              <w:jc w:val="center"/>
              <w:rPr>
                <w:b/>
                <w:sz w:val="24"/>
              </w:rPr>
            </w:pPr>
            <w:r>
              <w:rPr>
                <w:rFonts w:hint="eastAsia"/>
                <w:b/>
                <w:sz w:val="24"/>
                <w:lang w:val="en-US" w:eastAsia="zh-CN"/>
              </w:rPr>
              <w:t>回转窑烟气</w:t>
            </w:r>
            <w:r>
              <w:rPr>
                <w:rFonts w:hint="eastAsia"/>
                <w:b/>
                <w:sz w:val="24"/>
              </w:rPr>
              <w:t>产排情况一览表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891"/>
              <w:gridCol w:w="855"/>
              <w:gridCol w:w="750"/>
              <w:gridCol w:w="855"/>
              <w:gridCol w:w="690"/>
              <w:gridCol w:w="720"/>
              <w:gridCol w:w="750"/>
              <w:gridCol w:w="825"/>
              <w:gridCol w:w="675"/>
              <w:gridCol w:w="576"/>
            </w:tblGrid>
            <w:tr w14:paraId="4266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vMerge w:val="restart"/>
                  <w:shd w:val="clear" w:color="auto" w:fill="auto"/>
                  <w:vAlign w:val="center"/>
                </w:tcPr>
                <w:p w14:paraId="12B8D3DB">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污染源</w:t>
                  </w:r>
                </w:p>
              </w:tc>
              <w:tc>
                <w:tcPr>
                  <w:tcW w:w="891" w:type="dxa"/>
                  <w:vMerge w:val="restart"/>
                  <w:shd w:val="clear" w:color="auto" w:fill="auto"/>
                  <w:vAlign w:val="center"/>
                </w:tcPr>
                <w:p w14:paraId="7F4F9CB3">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排气量（m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/a）</w:t>
                  </w:r>
                </w:p>
              </w:tc>
              <w:tc>
                <w:tcPr>
                  <w:tcW w:w="5445" w:type="dxa"/>
                  <w:gridSpan w:val="7"/>
                  <w:vAlign w:val="center"/>
                </w:tcPr>
                <w:p w14:paraId="768F3879">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污染物产生情况</w:t>
                  </w:r>
                </w:p>
              </w:tc>
              <w:tc>
                <w:tcPr>
                  <w:tcW w:w="675" w:type="dxa"/>
                  <w:vMerge w:val="restart"/>
                  <w:vAlign w:val="center"/>
                </w:tcPr>
                <w:p w14:paraId="56A990A9">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标准限值</w:t>
                  </w:r>
                  <w:r>
                    <w:rPr>
                      <w:rFonts w:hint="eastAsia" w:ascii="Times New Roman" w:hAnsi="Times New Roman" w:eastAsia="宋体"/>
                      <w:color w:val="auto"/>
                      <w:spacing w:val="0"/>
                      <w:sz w:val="21"/>
                      <w:szCs w:val="21"/>
                    </w:rPr>
                    <w:t>（mg/m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w:t>
                  </w:r>
                </w:p>
              </w:tc>
              <w:tc>
                <w:tcPr>
                  <w:tcW w:w="576" w:type="dxa"/>
                  <w:vMerge w:val="restart"/>
                  <w:vAlign w:val="center"/>
                </w:tcPr>
                <w:p w14:paraId="1623C9D7">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达标情况</w:t>
                  </w:r>
                </w:p>
              </w:tc>
            </w:tr>
            <w:tr w14:paraId="70CA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vMerge w:val="continue"/>
                  <w:shd w:val="clear" w:color="auto" w:fill="auto"/>
                  <w:vAlign w:val="center"/>
                </w:tcPr>
                <w:p w14:paraId="360ACBB5">
                  <w:pPr>
                    <w:spacing w:line="240" w:lineRule="exact"/>
                    <w:jc w:val="center"/>
                    <w:rPr>
                      <w:rFonts w:ascii="Times New Roman" w:hAnsi="Times New Roman" w:eastAsia="宋体"/>
                      <w:color w:val="auto"/>
                      <w:spacing w:val="0"/>
                      <w:sz w:val="21"/>
                      <w:szCs w:val="21"/>
                    </w:rPr>
                  </w:pPr>
                </w:p>
              </w:tc>
              <w:tc>
                <w:tcPr>
                  <w:tcW w:w="891" w:type="dxa"/>
                  <w:vMerge w:val="continue"/>
                  <w:shd w:val="clear" w:color="auto" w:fill="auto"/>
                  <w:vAlign w:val="center"/>
                </w:tcPr>
                <w:p w14:paraId="7602305F">
                  <w:pPr>
                    <w:spacing w:line="240" w:lineRule="exact"/>
                    <w:jc w:val="center"/>
                    <w:rPr>
                      <w:rFonts w:ascii="Times New Roman" w:hAnsi="Times New Roman" w:eastAsia="宋体"/>
                      <w:color w:val="auto"/>
                      <w:spacing w:val="0"/>
                      <w:sz w:val="21"/>
                      <w:szCs w:val="21"/>
                    </w:rPr>
                  </w:pPr>
                </w:p>
              </w:tc>
              <w:tc>
                <w:tcPr>
                  <w:tcW w:w="855" w:type="dxa"/>
                  <w:shd w:val="clear" w:color="auto" w:fill="auto"/>
                  <w:vAlign w:val="center"/>
                </w:tcPr>
                <w:p w14:paraId="0109D175">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污染因子</w:t>
                  </w:r>
                </w:p>
              </w:tc>
              <w:tc>
                <w:tcPr>
                  <w:tcW w:w="750" w:type="dxa"/>
                  <w:shd w:val="clear" w:color="auto" w:fill="auto"/>
                  <w:vAlign w:val="center"/>
                </w:tcPr>
                <w:p w14:paraId="60C52BD9">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产生量（t/a）</w:t>
                  </w:r>
                </w:p>
              </w:tc>
              <w:tc>
                <w:tcPr>
                  <w:tcW w:w="855" w:type="dxa"/>
                  <w:vAlign w:val="center"/>
                </w:tcPr>
                <w:p w14:paraId="2B5DA1AC">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产生浓度（mg/m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w:t>
                  </w:r>
                </w:p>
              </w:tc>
              <w:tc>
                <w:tcPr>
                  <w:tcW w:w="690" w:type="dxa"/>
                  <w:vAlign w:val="center"/>
                </w:tcPr>
                <w:p w14:paraId="374CFFAC">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处理措施</w:t>
                  </w:r>
                </w:p>
              </w:tc>
              <w:tc>
                <w:tcPr>
                  <w:tcW w:w="720" w:type="dxa"/>
                  <w:vAlign w:val="center"/>
                </w:tcPr>
                <w:p w14:paraId="57314F79">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处理效率（%）</w:t>
                  </w:r>
                </w:p>
              </w:tc>
              <w:tc>
                <w:tcPr>
                  <w:tcW w:w="750" w:type="dxa"/>
                  <w:vAlign w:val="center"/>
                </w:tcPr>
                <w:p w14:paraId="13D83A28">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排放量（t/a）</w:t>
                  </w:r>
                </w:p>
              </w:tc>
              <w:tc>
                <w:tcPr>
                  <w:tcW w:w="825" w:type="dxa"/>
                  <w:vAlign w:val="center"/>
                </w:tcPr>
                <w:p w14:paraId="7CCE9AA0">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排放浓度（mg/m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w:t>
                  </w:r>
                </w:p>
              </w:tc>
              <w:tc>
                <w:tcPr>
                  <w:tcW w:w="675" w:type="dxa"/>
                  <w:vMerge w:val="continue"/>
                  <w:vAlign w:val="center"/>
                </w:tcPr>
                <w:p w14:paraId="0DE739E8">
                  <w:pPr>
                    <w:spacing w:line="240" w:lineRule="exact"/>
                    <w:jc w:val="center"/>
                    <w:rPr>
                      <w:rFonts w:hint="eastAsia" w:ascii="Times New Roman" w:hAnsi="Times New Roman" w:eastAsia="宋体"/>
                      <w:color w:val="auto"/>
                      <w:spacing w:val="0"/>
                      <w:sz w:val="21"/>
                      <w:szCs w:val="21"/>
                    </w:rPr>
                  </w:pPr>
                </w:p>
              </w:tc>
              <w:tc>
                <w:tcPr>
                  <w:tcW w:w="576" w:type="dxa"/>
                  <w:vMerge w:val="continue"/>
                  <w:vAlign w:val="center"/>
                </w:tcPr>
                <w:p w14:paraId="28E3CE7F">
                  <w:pPr>
                    <w:spacing w:line="240" w:lineRule="exact"/>
                    <w:jc w:val="center"/>
                    <w:rPr>
                      <w:rFonts w:hint="eastAsia" w:ascii="Times New Roman" w:hAnsi="Times New Roman" w:eastAsia="宋体"/>
                      <w:color w:val="auto"/>
                      <w:spacing w:val="0"/>
                      <w:sz w:val="21"/>
                      <w:szCs w:val="21"/>
                    </w:rPr>
                  </w:pPr>
                </w:p>
              </w:tc>
            </w:tr>
            <w:tr w14:paraId="2D23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vMerge w:val="restart"/>
                  <w:shd w:val="clear" w:color="auto" w:fill="auto"/>
                  <w:vAlign w:val="center"/>
                </w:tcPr>
                <w:p w14:paraId="21E8FF4B">
                  <w:pPr>
                    <w:spacing w:line="240" w:lineRule="exact"/>
                    <w:jc w:val="center"/>
                    <w:rPr>
                      <w:rFonts w:hint="eastAsia" w:ascii="Times New Roman" w:hAnsi="Times New Roman" w:eastAsia="宋体"/>
                      <w:color w:val="auto"/>
                      <w:spacing w:val="0"/>
                      <w:sz w:val="21"/>
                      <w:szCs w:val="21"/>
                      <w:lang w:eastAsia="zh-CN"/>
                    </w:rPr>
                  </w:pPr>
                  <w:r>
                    <w:rPr>
                      <w:rFonts w:hint="eastAsia" w:ascii="Times New Roman" w:hAnsi="Times New Roman" w:eastAsia="宋体"/>
                      <w:color w:val="auto"/>
                      <w:spacing w:val="0"/>
                      <w:sz w:val="21"/>
                      <w:szCs w:val="21"/>
                      <w:lang w:val="en-US" w:eastAsia="zh-CN"/>
                    </w:rPr>
                    <w:t>回转窑</w:t>
                  </w:r>
                </w:p>
              </w:tc>
              <w:tc>
                <w:tcPr>
                  <w:tcW w:w="891" w:type="dxa"/>
                  <w:vMerge w:val="restart"/>
                  <w:shd w:val="clear" w:color="auto" w:fill="auto"/>
                  <w:vAlign w:val="center"/>
                </w:tcPr>
                <w:p w14:paraId="794F0B5D">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lang w:val="en-US" w:eastAsia="zh-CN"/>
                    </w:rPr>
                    <w:t>148800</w:t>
                  </w:r>
                  <w:r>
                    <w:rPr>
                      <w:rFonts w:hint="eastAsia" w:ascii="Times New Roman" w:hAnsi="Times New Roman" w:eastAsia="宋体"/>
                      <w:color w:val="auto"/>
                      <w:spacing w:val="0"/>
                      <w:sz w:val="21"/>
                      <w:szCs w:val="21"/>
                    </w:rPr>
                    <w:t>万m</w:t>
                  </w:r>
                  <w:r>
                    <w:rPr>
                      <w:rFonts w:hint="eastAsia" w:ascii="Times New Roman" w:hAnsi="Times New Roman" w:eastAsia="宋体"/>
                      <w:color w:val="auto"/>
                      <w:spacing w:val="0"/>
                      <w:sz w:val="21"/>
                      <w:szCs w:val="21"/>
                      <w:vertAlign w:val="superscript"/>
                    </w:rPr>
                    <w:t>3</w:t>
                  </w:r>
                  <w:r>
                    <w:rPr>
                      <w:rFonts w:hint="eastAsia" w:ascii="Times New Roman" w:hAnsi="Times New Roman" w:eastAsia="宋体"/>
                      <w:color w:val="auto"/>
                      <w:spacing w:val="0"/>
                      <w:sz w:val="21"/>
                      <w:szCs w:val="21"/>
                    </w:rPr>
                    <w:t>/a</w:t>
                  </w:r>
                </w:p>
              </w:tc>
              <w:tc>
                <w:tcPr>
                  <w:tcW w:w="855" w:type="dxa"/>
                  <w:shd w:val="clear" w:color="auto" w:fill="auto"/>
                  <w:vAlign w:val="center"/>
                </w:tcPr>
                <w:p w14:paraId="14C9864A">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颗粒物</w:t>
                  </w:r>
                </w:p>
              </w:tc>
              <w:tc>
                <w:tcPr>
                  <w:tcW w:w="750" w:type="dxa"/>
                  <w:shd w:val="clear" w:color="auto" w:fill="auto"/>
                  <w:vAlign w:val="center"/>
                </w:tcPr>
                <w:p w14:paraId="16118C44">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88.43</w:t>
                  </w:r>
                </w:p>
              </w:tc>
              <w:tc>
                <w:tcPr>
                  <w:tcW w:w="855" w:type="dxa"/>
                  <w:vAlign w:val="center"/>
                </w:tcPr>
                <w:p w14:paraId="7371D599">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59.42</w:t>
                  </w:r>
                </w:p>
              </w:tc>
              <w:tc>
                <w:tcPr>
                  <w:tcW w:w="690" w:type="dxa"/>
                  <w:vMerge w:val="restart"/>
                  <w:vAlign w:val="center"/>
                </w:tcPr>
                <w:p w14:paraId="6558E2FE">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覆膜袋式除尘器</w:t>
                  </w:r>
                </w:p>
              </w:tc>
              <w:tc>
                <w:tcPr>
                  <w:tcW w:w="720" w:type="dxa"/>
                  <w:vAlign w:val="center"/>
                </w:tcPr>
                <w:p w14:paraId="2F33893B">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99</w:t>
                  </w:r>
                </w:p>
              </w:tc>
              <w:tc>
                <w:tcPr>
                  <w:tcW w:w="750" w:type="dxa"/>
                  <w:vAlign w:val="center"/>
                </w:tcPr>
                <w:p w14:paraId="42E65EC8">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0.88</w:t>
                  </w:r>
                </w:p>
              </w:tc>
              <w:tc>
                <w:tcPr>
                  <w:tcW w:w="825" w:type="dxa"/>
                  <w:vAlign w:val="center"/>
                </w:tcPr>
                <w:p w14:paraId="39D29ED1">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0.59</w:t>
                  </w:r>
                </w:p>
              </w:tc>
              <w:tc>
                <w:tcPr>
                  <w:tcW w:w="675" w:type="dxa"/>
                  <w:vAlign w:val="center"/>
                </w:tcPr>
                <w:p w14:paraId="4C9F2083">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30</w:t>
                  </w:r>
                </w:p>
              </w:tc>
              <w:tc>
                <w:tcPr>
                  <w:tcW w:w="576" w:type="dxa"/>
                  <w:vAlign w:val="center"/>
                </w:tcPr>
                <w:p w14:paraId="0ACD9D25">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达标</w:t>
                  </w:r>
                </w:p>
              </w:tc>
            </w:tr>
            <w:tr w14:paraId="67CB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vMerge w:val="continue"/>
                  <w:shd w:val="clear" w:color="auto" w:fill="auto"/>
                  <w:vAlign w:val="center"/>
                </w:tcPr>
                <w:p w14:paraId="5FB2ADFC">
                  <w:pPr>
                    <w:spacing w:line="240" w:lineRule="exact"/>
                    <w:jc w:val="center"/>
                    <w:rPr>
                      <w:rFonts w:ascii="Times New Roman" w:hAnsi="Times New Roman" w:eastAsia="宋体"/>
                      <w:color w:val="auto"/>
                      <w:spacing w:val="0"/>
                      <w:sz w:val="21"/>
                      <w:szCs w:val="21"/>
                    </w:rPr>
                  </w:pPr>
                </w:p>
              </w:tc>
              <w:tc>
                <w:tcPr>
                  <w:tcW w:w="891" w:type="dxa"/>
                  <w:vMerge w:val="continue"/>
                  <w:shd w:val="clear" w:color="auto" w:fill="auto"/>
                  <w:vAlign w:val="center"/>
                </w:tcPr>
                <w:p w14:paraId="0A94058C">
                  <w:pPr>
                    <w:spacing w:line="240" w:lineRule="exact"/>
                    <w:jc w:val="center"/>
                    <w:rPr>
                      <w:rFonts w:ascii="Times New Roman" w:hAnsi="Times New Roman" w:eastAsia="宋体"/>
                      <w:color w:val="auto"/>
                      <w:spacing w:val="0"/>
                      <w:sz w:val="21"/>
                      <w:szCs w:val="21"/>
                    </w:rPr>
                  </w:pPr>
                </w:p>
              </w:tc>
              <w:tc>
                <w:tcPr>
                  <w:tcW w:w="855" w:type="dxa"/>
                  <w:shd w:val="clear" w:color="auto" w:fill="auto"/>
                  <w:vAlign w:val="center"/>
                </w:tcPr>
                <w:p w14:paraId="1DF93C1D">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二氧化硫</w:t>
                  </w:r>
                </w:p>
              </w:tc>
              <w:tc>
                <w:tcPr>
                  <w:tcW w:w="750" w:type="dxa"/>
                  <w:shd w:val="clear" w:color="auto" w:fill="auto"/>
                  <w:vAlign w:val="center"/>
                </w:tcPr>
                <w:p w14:paraId="2E4A28C2">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32.01</w:t>
                  </w:r>
                </w:p>
              </w:tc>
              <w:tc>
                <w:tcPr>
                  <w:tcW w:w="855" w:type="dxa"/>
                  <w:vAlign w:val="center"/>
                </w:tcPr>
                <w:p w14:paraId="64AB49EC">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21.51</w:t>
                  </w:r>
                </w:p>
              </w:tc>
              <w:tc>
                <w:tcPr>
                  <w:tcW w:w="690" w:type="dxa"/>
                  <w:vMerge w:val="continue"/>
                  <w:vAlign w:val="center"/>
                </w:tcPr>
                <w:p w14:paraId="2091B907">
                  <w:pPr>
                    <w:spacing w:line="240" w:lineRule="exact"/>
                    <w:jc w:val="center"/>
                    <w:rPr>
                      <w:rFonts w:ascii="Times New Roman" w:hAnsi="Times New Roman" w:eastAsia="宋体"/>
                      <w:color w:val="auto"/>
                      <w:spacing w:val="0"/>
                      <w:sz w:val="21"/>
                      <w:szCs w:val="21"/>
                    </w:rPr>
                  </w:pPr>
                </w:p>
              </w:tc>
              <w:tc>
                <w:tcPr>
                  <w:tcW w:w="720" w:type="dxa"/>
                  <w:vAlign w:val="center"/>
                </w:tcPr>
                <w:p w14:paraId="39015417">
                  <w:pPr>
                    <w:spacing w:line="240" w:lineRule="exact"/>
                    <w:jc w:val="center"/>
                    <w:rPr>
                      <w:rFonts w:ascii="Times New Roman" w:hAnsi="Times New Roman" w:eastAsia="宋体"/>
                      <w:color w:val="auto"/>
                      <w:spacing w:val="0"/>
                      <w:sz w:val="21"/>
                      <w:szCs w:val="21"/>
                    </w:rPr>
                  </w:pPr>
                  <w:r>
                    <w:rPr>
                      <w:rFonts w:hint="eastAsia" w:ascii="Times New Roman" w:hAnsi="Times New Roman" w:eastAsia="宋体"/>
                      <w:color w:val="auto"/>
                      <w:spacing w:val="0"/>
                      <w:sz w:val="21"/>
                      <w:szCs w:val="21"/>
                    </w:rPr>
                    <w:t>0</w:t>
                  </w:r>
                </w:p>
              </w:tc>
              <w:tc>
                <w:tcPr>
                  <w:tcW w:w="750" w:type="dxa"/>
                  <w:shd w:val="clear" w:color="auto" w:fill="auto"/>
                  <w:vAlign w:val="center"/>
                </w:tcPr>
                <w:p w14:paraId="1BB12009">
                  <w:pPr>
                    <w:spacing w:line="240" w:lineRule="exact"/>
                    <w:jc w:val="center"/>
                    <w:rPr>
                      <w:rFonts w:hint="eastAsia" w:ascii="Times New Roman" w:hAnsi="Times New Roman" w:eastAsia="宋体" w:cs="Times New Roman"/>
                      <w:color w:val="auto"/>
                      <w:spacing w:val="0"/>
                      <w:kern w:val="2"/>
                      <w:sz w:val="21"/>
                      <w:szCs w:val="21"/>
                      <w:lang w:val="en-US" w:eastAsia="zh-CN" w:bidi="ar-SA"/>
                    </w:rPr>
                  </w:pPr>
                  <w:r>
                    <w:rPr>
                      <w:rFonts w:hint="eastAsia" w:cs="Times New Roman"/>
                      <w:color w:val="auto"/>
                      <w:spacing w:val="0"/>
                      <w:sz w:val="21"/>
                      <w:szCs w:val="21"/>
                      <w:lang w:val="en-US" w:eastAsia="zh-CN"/>
                    </w:rPr>
                    <w:t>32.01</w:t>
                  </w:r>
                </w:p>
              </w:tc>
              <w:tc>
                <w:tcPr>
                  <w:tcW w:w="825" w:type="dxa"/>
                  <w:shd w:val="clear" w:color="auto" w:fill="auto"/>
                  <w:vAlign w:val="center"/>
                </w:tcPr>
                <w:p w14:paraId="521DE646">
                  <w:pPr>
                    <w:spacing w:line="240" w:lineRule="exact"/>
                    <w:jc w:val="center"/>
                    <w:rPr>
                      <w:rFonts w:hint="default" w:ascii="Times New Roman" w:hAnsi="Times New Roman" w:eastAsia="宋体" w:cs="Times New Roman"/>
                      <w:color w:val="auto"/>
                      <w:spacing w:val="0"/>
                      <w:kern w:val="2"/>
                      <w:sz w:val="21"/>
                      <w:szCs w:val="21"/>
                      <w:lang w:val="en-US" w:eastAsia="zh-CN" w:bidi="ar-SA"/>
                    </w:rPr>
                  </w:pPr>
                  <w:r>
                    <w:rPr>
                      <w:rFonts w:hint="eastAsia"/>
                      <w:color w:val="auto"/>
                      <w:spacing w:val="0"/>
                      <w:sz w:val="21"/>
                      <w:szCs w:val="21"/>
                      <w:lang w:val="en-US" w:eastAsia="zh-CN"/>
                    </w:rPr>
                    <w:t>21.51</w:t>
                  </w:r>
                </w:p>
              </w:tc>
              <w:tc>
                <w:tcPr>
                  <w:tcW w:w="675" w:type="dxa"/>
                  <w:shd w:val="clear" w:color="auto" w:fill="auto"/>
                  <w:vAlign w:val="center"/>
                </w:tcPr>
                <w:p w14:paraId="750C3002">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400</w:t>
                  </w:r>
                </w:p>
              </w:tc>
              <w:tc>
                <w:tcPr>
                  <w:tcW w:w="576" w:type="dxa"/>
                  <w:shd w:val="clear" w:color="auto" w:fill="auto"/>
                  <w:vAlign w:val="center"/>
                </w:tcPr>
                <w:p w14:paraId="5BB319CE">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达标</w:t>
                  </w:r>
                </w:p>
              </w:tc>
            </w:tr>
            <w:tr w14:paraId="7858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vMerge w:val="continue"/>
                  <w:shd w:val="clear" w:color="auto" w:fill="auto"/>
                  <w:vAlign w:val="center"/>
                </w:tcPr>
                <w:p w14:paraId="0848A53F">
                  <w:pPr>
                    <w:spacing w:line="240" w:lineRule="exact"/>
                    <w:jc w:val="center"/>
                    <w:rPr>
                      <w:rFonts w:ascii="Times New Roman" w:hAnsi="Times New Roman" w:eastAsia="宋体"/>
                      <w:color w:val="auto"/>
                      <w:spacing w:val="0"/>
                      <w:sz w:val="21"/>
                      <w:szCs w:val="21"/>
                    </w:rPr>
                  </w:pPr>
                </w:p>
              </w:tc>
              <w:tc>
                <w:tcPr>
                  <w:tcW w:w="891" w:type="dxa"/>
                  <w:vMerge w:val="continue"/>
                  <w:shd w:val="clear" w:color="auto" w:fill="auto"/>
                  <w:vAlign w:val="center"/>
                </w:tcPr>
                <w:p w14:paraId="6AD59B70">
                  <w:pPr>
                    <w:spacing w:line="240" w:lineRule="exact"/>
                    <w:jc w:val="center"/>
                    <w:rPr>
                      <w:rFonts w:ascii="Times New Roman" w:hAnsi="Times New Roman" w:eastAsia="宋体"/>
                      <w:color w:val="auto"/>
                      <w:spacing w:val="0"/>
                      <w:sz w:val="21"/>
                      <w:szCs w:val="21"/>
                    </w:rPr>
                  </w:pPr>
                </w:p>
              </w:tc>
              <w:tc>
                <w:tcPr>
                  <w:tcW w:w="855" w:type="dxa"/>
                  <w:shd w:val="clear" w:color="auto" w:fill="auto"/>
                  <w:vAlign w:val="center"/>
                </w:tcPr>
                <w:p w14:paraId="1ED222D4">
                  <w:pPr>
                    <w:spacing w:line="240" w:lineRule="exact"/>
                    <w:jc w:val="center"/>
                    <w:rPr>
                      <w:rFonts w:hint="eastAsia"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olor w:val="auto"/>
                      <w:spacing w:val="0"/>
                      <w:sz w:val="21"/>
                      <w:szCs w:val="21"/>
                    </w:rPr>
                    <w:t>氮氧化物</w:t>
                  </w:r>
                </w:p>
              </w:tc>
              <w:tc>
                <w:tcPr>
                  <w:tcW w:w="750" w:type="dxa"/>
                  <w:shd w:val="clear" w:color="auto" w:fill="auto"/>
                  <w:vAlign w:val="center"/>
                </w:tcPr>
                <w:p w14:paraId="19598371">
                  <w:pPr>
                    <w:spacing w:line="240" w:lineRule="exact"/>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sz w:val="21"/>
                      <w:szCs w:val="21"/>
                      <w:lang w:val="en-US" w:eastAsia="zh-CN"/>
                    </w:rPr>
                    <w:t>16.08</w:t>
                  </w:r>
                </w:p>
              </w:tc>
              <w:tc>
                <w:tcPr>
                  <w:tcW w:w="855" w:type="dxa"/>
                  <w:shd w:val="clear" w:color="auto" w:fill="auto"/>
                  <w:vAlign w:val="center"/>
                </w:tcPr>
                <w:p w14:paraId="447B27FF">
                  <w:pPr>
                    <w:spacing w:line="240" w:lineRule="exact"/>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10.81</w:t>
                  </w:r>
                </w:p>
              </w:tc>
              <w:tc>
                <w:tcPr>
                  <w:tcW w:w="690" w:type="dxa"/>
                  <w:vMerge w:val="continue"/>
                  <w:vAlign w:val="center"/>
                </w:tcPr>
                <w:p w14:paraId="13D25A4A">
                  <w:pPr>
                    <w:spacing w:line="240" w:lineRule="exact"/>
                    <w:jc w:val="center"/>
                    <w:rPr>
                      <w:rFonts w:ascii="Times New Roman" w:hAnsi="Times New Roman" w:eastAsia="宋体"/>
                      <w:color w:val="auto"/>
                      <w:spacing w:val="0"/>
                      <w:sz w:val="21"/>
                      <w:szCs w:val="21"/>
                    </w:rPr>
                  </w:pPr>
                </w:p>
              </w:tc>
              <w:tc>
                <w:tcPr>
                  <w:tcW w:w="720" w:type="dxa"/>
                  <w:shd w:val="clear" w:color="auto" w:fill="auto"/>
                  <w:vAlign w:val="center"/>
                </w:tcPr>
                <w:p w14:paraId="0B33D9C2">
                  <w:pPr>
                    <w:spacing w:line="240" w:lineRule="exact"/>
                    <w:jc w:val="center"/>
                    <w:rPr>
                      <w:rFonts w:hint="eastAsia"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olor w:val="auto"/>
                      <w:spacing w:val="0"/>
                      <w:sz w:val="21"/>
                      <w:szCs w:val="21"/>
                    </w:rPr>
                    <w:t>0</w:t>
                  </w:r>
                </w:p>
              </w:tc>
              <w:tc>
                <w:tcPr>
                  <w:tcW w:w="750" w:type="dxa"/>
                  <w:shd w:val="clear" w:color="auto" w:fill="auto"/>
                  <w:vAlign w:val="center"/>
                </w:tcPr>
                <w:p w14:paraId="1CEDBFC4">
                  <w:pPr>
                    <w:spacing w:line="240" w:lineRule="exact"/>
                    <w:jc w:val="center"/>
                    <w:rPr>
                      <w:rFonts w:hint="eastAsia" w:ascii="Times New Roman" w:hAnsi="Times New Roman" w:eastAsia="宋体" w:cs="Times New Roman"/>
                      <w:color w:val="auto"/>
                      <w:spacing w:val="0"/>
                      <w:kern w:val="2"/>
                      <w:sz w:val="21"/>
                      <w:szCs w:val="21"/>
                      <w:lang w:val="en-US" w:eastAsia="zh-CN" w:bidi="ar-SA"/>
                    </w:rPr>
                  </w:pPr>
                  <w:r>
                    <w:rPr>
                      <w:rFonts w:hint="eastAsia" w:cs="Times New Roman"/>
                      <w:color w:val="auto"/>
                      <w:spacing w:val="0"/>
                      <w:sz w:val="21"/>
                      <w:szCs w:val="21"/>
                      <w:lang w:val="en-US" w:eastAsia="zh-CN"/>
                    </w:rPr>
                    <w:t>16.08</w:t>
                  </w:r>
                </w:p>
              </w:tc>
              <w:tc>
                <w:tcPr>
                  <w:tcW w:w="825" w:type="dxa"/>
                  <w:shd w:val="clear" w:color="auto" w:fill="auto"/>
                  <w:vAlign w:val="center"/>
                </w:tcPr>
                <w:p w14:paraId="6EC0ED6E">
                  <w:pPr>
                    <w:spacing w:line="240" w:lineRule="exact"/>
                    <w:jc w:val="center"/>
                    <w:rPr>
                      <w:rFonts w:hint="eastAsia" w:ascii="Times New Roman" w:hAnsi="Times New Roman" w:eastAsia="宋体" w:cs="Times New Roman"/>
                      <w:color w:val="auto"/>
                      <w:spacing w:val="0"/>
                      <w:kern w:val="2"/>
                      <w:sz w:val="21"/>
                      <w:szCs w:val="21"/>
                      <w:lang w:val="en-US" w:eastAsia="zh-CN" w:bidi="ar-SA"/>
                    </w:rPr>
                  </w:pPr>
                  <w:r>
                    <w:rPr>
                      <w:rFonts w:hint="eastAsia" w:cs="Times New Roman"/>
                      <w:color w:val="auto"/>
                      <w:spacing w:val="0"/>
                      <w:kern w:val="2"/>
                      <w:sz w:val="21"/>
                      <w:szCs w:val="21"/>
                      <w:lang w:val="en-US" w:eastAsia="zh-CN" w:bidi="ar-SA"/>
                    </w:rPr>
                    <w:t>10.81</w:t>
                  </w:r>
                </w:p>
              </w:tc>
              <w:tc>
                <w:tcPr>
                  <w:tcW w:w="675" w:type="dxa"/>
                  <w:shd w:val="clear" w:color="auto" w:fill="auto"/>
                  <w:vAlign w:val="center"/>
                </w:tcPr>
                <w:p w14:paraId="4B16F700">
                  <w:pPr>
                    <w:spacing w:line="240" w:lineRule="exact"/>
                    <w:jc w:val="center"/>
                    <w:rPr>
                      <w:rFonts w:hint="default" w:ascii="Times New Roman" w:hAnsi="Times New Roman" w:eastAsia="宋体" w:cs="Times New Roman"/>
                      <w:color w:val="auto"/>
                      <w:spacing w:val="0"/>
                      <w:kern w:val="2"/>
                      <w:sz w:val="21"/>
                      <w:szCs w:val="21"/>
                      <w:lang w:val="en-US" w:eastAsia="zh-CN" w:bidi="ar-SA"/>
                    </w:rPr>
                  </w:pPr>
                  <w:r>
                    <w:rPr>
                      <w:rFonts w:hint="eastAsia"/>
                      <w:color w:val="auto"/>
                      <w:spacing w:val="0"/>
                      <w:sz w:val="21"/>
                      <w:szCs w:val="21"/>
                      <w:lang w:val="en-US" w:eastAsia="zh-CN"/>
                    </w:rPr>
                    <w:t>200</w:t>
                  </w:r>
                </w:p>
              </w:tc>
              <w:tc>
                <w:tcPr>
                  <w:tcW w:w="576" w:type="dxa"/>
                  <w:shd w:val="clear" w:color="auto" w:fill="auto"/>
                  <w:vAlign w:val="center"/>
                </w:tcPr>
                <w:p w14:paraId="5840DBC9">
                  <w:pPr>
                    <w:spacing w:line="240" w:lineRule="exact"/>
                    <w:jc w:val="center"/>
                    <w:rPr>
                      <w:rFonts w:hint="eastAsia" w:ascii="Times New Roman" w:hAnsi="Times New Roman" w:eastAsia="宋体" w:cs="Times New Roman"/>
                      <w:color w:val="auto"/>
                      <w:spacing w:val="0"/>
                      <w:kern w:val="2"/>
                      <w:sz w:val="21"/>
                      <w:szCs w:val="21"/>
                      <w:lang w:val="en-US" w:eastAsia="zh-CN" w:bidi="ar-SA"/>
                    </w:rPr>
                  </w:pPr>
                  <w:r>
                    <w:rPr>
                      <w:rFonts w:hint="eastAsia"/>
                      <w:color w:val="auto"/>
                      <w:spacing w:val="0"/>
                      <w:sz w:val="21"/>
                      <w:szCs w:val="21"/>
                      <w:lang w:val="en-US" w:eastAsia="zh-CN"/>
                    </w:rPr>
                    <w:t>达标</w:t>
                  </w:r>
                </w:p>
              </w:tc>
            </w:tr>
            <w:tr w14:paraId="0090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 w:type="dxa"/>
                  <w:vMerge w:val="continue"/>
                  <w:shd w:val="clear" w:color="auto" w:fill="auto"/>
                  <w:vAlign w:val="center"/>
                </w:tcPr>
                <w:p w14:paraId="07E95743">
                  <w:pPr>
                    <w:spacing w:line="240" w:lineRule="exact"/>
                    <w:jc w:val="center"/>
                    <w:rPr>
                      <w:rFonts w:ascii="Times New Roman" w:hAnsi="Times New Roman" w:eastAsia="宋体"/>
                      <w:color w:val="auto"/>
                      <w:spacing w:val="0"/>
                      <w:sz w:val="21"/>
                      <w:szCs w:val="21"/>
                    </w:rPr>
                  </w:pPr>
                </w:p>
              </w:tc>
              <w:tc>
                <w:tcPr>
                  <w:tcW w:w="891" w:type="dxa"/>
                  <w:vMerge w:val="continue"/>
                  <w:shd w:val="clear" w:color="auto" w:fill="auto"/>
                  <w:vAlign w:val="center"/>
                </w:tcPr>
                <w:p w14:paraId="42A87E62">
                  <w:pPr>
                    <w:spacing w:line="240" w:lineRule="exact"/>
                    <w:jc w:val="center"/>
                    <w:rPr>
                      <w:rFonts w:ascii="Times New Roman" w:hAnsi="Times New Roman" w:eastAsia="宋体"/>
                      <w:color w:val="auto"/>
                      <w:spacing w:val="0"/>
                      <w:sz w:val="21"/>
                      <w:szCs w:val="21"/>
                    </w:rPr>
                  </w:pPr>
                </w:p>
              </w:tc>
              <w:tc>
                <w:tcPr>
                  <w:tcW w:w="855" w:type="dxa"/>
                  <w:shd w:val="clear" w:color="auto" w:fill="auto"/>
                  <w:vAlign w:val="center"/>
                </w:tcPr>
                <w:p w14:paraId="4EE1743A">
                  <w:pPr>
                    <w:spacing w:line="240" w:lineRule="exact"/>
                    <w:jc w:val="center"/>
                    <w:rPr>
                      <w:rFonts w:hint="eastAsia" w:ascii="Times New Roman" w:hAnsi="Times New Roman" w:eastAsia="宋体"/>
                      <w:color w:val="auto"/>
                      <w:spacing w:val="0"/>
                      <w:sz w:val="21"/>
                      <w:szCs w:val="21"/>
                      <w:lang w:val="en-US" w:eastAsia="zh-CN"/>
                    </w:rPr>
                  </w:pPr>
                  <w:r>
                    <w:rPr>
                      <w:rFonts w:hint="eastAsia"/>
                      <w:color w:val="auto"/>
                      <w:spacing w:val="0"/>
                      <w:sz w:val="21"/>
                      <w:szCs w:val="21"/>
                      <w:lang w:val="en-US" w:eastAsia="zh-CN"/>
                    </w:rPr>
                    <w:t>氟化物</w:t>
                  </w:r>
                </w:p>
              </w:tc>
              <w:tc>
                <w:tcPr>
                  <w:tcW w:w="750" w:type="dxa"/>
                  <w:shd w:val="clear" w:color="auto" w:fill="auto"/>
                  <w:vAlign w:val="center"/>
                </w:tcPr>
                <w:p w14:paraId="705B3B3C">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5.76</w:t>
                  </w:r>
                </w:p>
              </w:tc>
              <w:tc>
                <w:tcPr>
                  <w:tcW w:w="855" w:type="dxa"/>
                  <w:vAlign w:val="center"/>
                </w:tcPr>
                <w:p w14:paraId="53242977">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3.87</w:t>
                  </w:r>
                </w:p>
              </w:tc>
              <w:tc>
                <w:tcPr>
                  <w:tcW w:w="690" w:type="dxa"/>
                  <w:vMerge w:val="continue"/>
                  <w:vAlign w:val="center"/>
                </w:tcPr>
                <w:p w14:paraId="3A48515C">
                  <w:pPr>
                    <w:spacing w:line="240" w:lineRule="exact"/>
                    <w:jc w:val="center"/>
                    <w:rPr>
                      <w:rFonts w:ascii="Times New Roman" w:hAnsi="Times New Roman" w:eastAsia="宋体"/>
                      <w:color w:val="auto"/>
                      <w:spacing w:val="0"/>
                      <w:sz w:val="21"/>
                      <w:szCs w:val="21"/>
                    </w:rPr>
                  </w:pPr>
                </w:p>
              </w:tc>
              <w:tc>
                <w:tcPr>
                  <w:tcW w:w="720" w:type="dxa"/>
                  <w:vAlign w:val="center"/>
                </w:tcPr>
                <w:p w14:paraId="78CBB6E3">
                  <w:pPr>
                    <w:spacing w:line="240" w:lineRule="exact"/>
                    <w:jc w:val="center"/>
                    <w:rPr>
                      <w:rFonts w:hint="eastAsia" w:ascii="Times New Roman" w:hAnsi="Times New Roman" w:eastAsia="宋体"/>
                      <w:color w:val="auto"/>
                      <w:spacing w:val="0"/>
                      <w:sz w:val="21"/>
                      <w:szCs w:val="21"/>
                      <w:lang w:val="en-US" w:eastAsia="zh-CN"/>
                    </w:rPr>
                  </w:pPr>
                  <w:r>
                    <w:rPr>
                      <w:rFonts w:hint="eastAsia"/>
                      <w:color w:val="auto"/>
                      <w:spacing w:val="0"/>
                      <w:sz w:val="21"/>
                      <w:szCs w:val="21"/>
                      <w:lang w:val="en-US" w:eastAsia="zh-CN"/>
                    </w:rPr>
                    <w:t>0</w:t>
                  </w:r>
                </w:p>
              </w:tc>
              <w:tc>
                <w:tcPr>
                  <w:tcW w:w="750" w:type="dxa"/>
                  <w:shd w:val="clear" w:color="auto" w:fill="auto"/>
                  <w:vAlign w:val="center"/>
                </w:tcPr>
                <w:p w14:paraId="66252E0B">
                  <w:pPr>
                    <w:spacing w:line="240" w:lineRule="exact"/>
                    <w:jc w:val="center"/>
                    <w:rPr>
                      <w:rFonts w:hint="eastAsia" w:ascii="Times New Roman" w:hAnsi="Times New Roman" w:eastAsia="宋体" w:cs="Times New Roman"/>
                      <w:color w:val="auto"/>
                      <w:spacing w:val="0"/>
                      <w:kern w:val="2"/>
                      <w:sz w:val="21"/>
                      <w:szCs w:val="21"/>
                      <w:lang w:val="en-US" w:eastAsia="zh-CN" w:bidi="ar-SA"/>
                    </w:rPr>
                  </w:pPr>
                  <w:r>
                    <w:rPr>
                      <w:rFonts w:hint="eastAsia" w:cs="Times New Roman"/>
                      <w:color w:val="auto"/>
                      <w:spacing w:val="0"/>
                      <w:sz w:val="21"/>
                      <w:szCs w:val="21"/>
                      <w:lang w:val="en-US" w:eastAsia="zh-CN"/>
                    </w:rPr>
                    <w:t>5.76</w:t>
                  </w:r>
                </w:p>
              </w:tc>
              <w:tc>
                <w:tcPr>
                  <w:tcW w:w="825" w:type="dxa"/>
                  <w:shd w:val="clear" w:color="auto" w:fill="auto"/>
                  <w:vAlign w:val="center"/>
                </w:tcPr>
                <w:p w14:paraId="4FF4C097">
                  <w:pPr>
                    <w:spacing w:line="240" w:lineRule="exact"/>
                    <w:jc w:val="center"/>
                    <w:rPr>
                      <w:rFonts w:hint="default" w:ascii="Times New Roman" w:hAnsi="Times New Roman" w:eastAsia="宋体" w:cs="Times New Roman"/>
                      <w:color w:val="auto"/>
                      <w:spacing w:val="0"/>
                      <w:kern w:val="2"/>
                      <w:sz w:val="21"/>
                      <w:szCs w:val="21"/>
                      <w:lang w:val="en-US" w:eastAsia="zh-CN" w:bidi="ar-SA"/>
                    </w:rPr>
                  </w:pPr>
                  <w:r>
                    <w:rPr>
                      <w:rFonts w:hint="eastAsia"/>
                      <w:color w:val="auto"/>
                      <w:spacing w:val="0"/>
                      <w:sz w:val="21"/>
                      <w:szCs w:val="21"/>
                      <w:lang w:val="en-US" w:eastAsia="zh-CN"/>
                    </w:rPr>
                    <w:t>3.87</w:t>
                  </w:r>
                </w:p>
              </w:tc>
              <w:tc>
                <w:tcPr>
                  <w:tcW w:w="675" w:type="dxa"/>
                  <w:shd w:val="clear" w:color="auto" w:fill="auto"/>
                  <w:vAlign w:val="center"/>
                </w:tcPr>
                <w:p w14:paraId="32CDDEB7">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6</w:t>
                  </w:r>
                </w:p>
              </w:tc>
              <w:tc>
                <w:tcPr>
                  <w:tcW w:w="576" w:type="dxa"/>
                  <w:shd w:val="clear" w:color="auto" w:fill="auto"/>
                  <w:vAlign w:val="center"/>
                </w:tcPr>
                <w:p w14:paraId="5804BA73">
                  <w:pPr>
                    <w:spacing w:line="240" w:lineRule="exact"/>
                    <w:jc w:val="center"/>
                    <w:rPr>
                      <w:rFonts w:hint="default" w:ascii="Times New Roman" w:hAnsi="Times New Roman" w:eastAsia="宋体"/>
                      <w:color w:val="auto"/>
                      <w:spacing w:val="0"/>
                      <w:sz w:val="21"/>
                      <w:szCs w:val="21"/>
                      <w:lang w:val="en-US" w:eastAsia="zh-CN"/>
                    </w:rPr>
                  </w:pPr>
                  <w:r>
                    <w:rPr>
                      <w:rFonts w:hint="eastAsia"/>
                      <w:color w:val="auto"/>
                      <w:spacing w:val="0"/>
                      <w:sz w:val="21"/>
                      <w:szCs w:val="21"/>
                      <w:lang w:val="en-US" w:eastAsia="zh-CN"/>
                    </w:rPr>
                    <w:t>达标</w:t>
                  </w:r>
                </w:p>
              </w:tc>
            </w:tr>
          </w:tbl>
          <w:p w14:paraId="4C10E939">
            <w:pPr>
              <w:spacing w:line="500" w:lineRule="exact"/>
              <w:ind w:firstLine="602" w:firstLineChars="250"/>
              <w:rPr>
                <w:rFonts w:hint="default" w:eastAsia="宋体"/>
                <w:b/>
                <w:bCs/>
                <w:sz w:val="24"/>
                <w:lang w:val="en-US" w:eastAsia="zh-CN"/>
              </w:rPr>
            </w:pPr>
            <w:r>
              <w:rPr>
                <w:rFonts w:hint="eastAsia"/>
                <w:b/>
                <w:bCs/>
                <w:sz w:val="24"/>
                <w:lang w:val="en-US" w:eastAsia="zh-CN"/>
              </w:rPr>
              <w:t>3、废气处理措施可行性分析</w:t>
            </w:r>
          </w:p>
          <w:p w14:paraId="0FFC1234">
            <w:pPr>
              <w:spacing w:line="500" w:lineRule="exact"/>
              <w:ind w:firstLine="600" w:firstLineChars="250"/>
              <w:rPr>
                <w:rFonts w:hint="eastAsia"/>
                <w:b w:val="0"/>
                <w:bCs w:val="0"/>
                <w:sz w:val="24"/>
                <w:lang w:val="en-US" w:eastAsia="zh-CN"/>
              </w:rPr>
            </w:pPr>
            <w:r>
              <w:rPr>
                <w:rFonts w:hint="eastAsia"/>
                <w:b w:val="0"/>
                <w:bCs w:val="0"/>
                <w:sz w:val="24"/>
                <w:lang w:val="en-US" w:eastAsia="zh-CN"/>
              </w:rPr>
              <w:t>本项目废气处理措施主要采用布袋除尘器处理废气中的颗粒物，参照</w:t>
            </w:r>
            <w:r>
              <w:rPr>
                <w:rFonts w:hint="eastAsia"/>
                <w:b w:val="0"/>
                <w:bCs w:val="0"/>
                <w:sz w:val="24"/>
                <w:lang w:eastAsia="zh-CN"/>
              </w:rPr>
              <w:t>《排污许可证申请与核发技术规范 无机化学工业》（HJ1035-2019）</w:t>
            </w:r>
            <w:r>
              <w:rPr>
                <w:rFonts w:hint="eastAsia"/>
                <w:b w:val="0"/>
                <w:bCs w:val="0"/>
                <w:sz w:val="24"/>
              </w:rPr>
              <w:t>，采用</w:t>
            </w:r>
            <w:r>
              <w:rPr>
                <w:rFonts w:hint="eastAsia"/>
                <w:b w:val="0"/>
                <w:bCs w:val="0"/>
                <w:sz w:val="24"/>
                <w:lang w:val="en-US" w:eastAsia="zh-CN"/>
              </w:rPr>
              <w:t>布袋</w:t>
            </w:r>
            <w:r>
              <w:rPr>
                <w:rFonts w:hint="eastAsia"/>
                <w:b w:val="0"/>
                <w:bCs w:val="0"/>
                <w:sz w:val="24"/>
              </w:rPr>
              <w:t>除尘对于去除颗粒物属于可行技术</w:t>
            </w:r>
            <w:r>
              <w:rPr>
                <w:rFonts w:hint="eastAsia"/>
                <w:b w:val="0"/>
                <w:bCs w:val="0"/>
                <w:sz w:val="24"/>
                <w:lang w:eastAsia="zh-CN"/>
              </w:rPr>
              <w:t>，</w:t>
            </w:r>
            <w:r>
              <w:rPr>
                <w:rFonts w:hint="eastAsia"/>
                <w:b w:val="0"/>
                <w:bCs w:val="0"/>
                <w:sz w:val="24"/>
                <w:lang w:val="en-US" w:eastAsia="zh-CN"/>
              </w:rPr>
              <w:t>因此本项目废气处理措施可行。</w:t>
            </w:r>
          </w:p>
          <w:p w14:paraId="1A778F4E">
            <w:pPr>
              <w:spacing w:line="500" w:lineRule="exact"/>
              <w:ind w:firstLine="602" w:firstLineChars="250"/>
              <w:rPr>
                <w:rFonts w:hint="default" w:eastAsia="宋体"/>
                <w:b/>
                <w:bCs/>
                <w:sz w:val="24"/>
                <w:lang w:val="en-US" w:eastAsia="zh-CN"/>
              </w:rPr>
            </w:pPr>
            <w:r>
              <w:rPr>
                <w:rFonts w:hint="eastAsia"/>
                <w:b/>
                <w:bCs/>
                <w:sz w:val="24"/>
                <w:lang w:val="en-US" w:eastAsia="zh-CN"/>
              </w:rPr>
              <w:t>4、影响分析</w:t>
            </w:r>
          </w:p>
          <w:p w14:paraId="74D1AEC0">
            <w:pPr>
              <w:spacing w:line="500" w:lineRule="exact"/>
              <w:ind w:firstLine="600" w:firstLineChars="250"/>
              <w:rPr>
                <w:rFonts w:hint="eastAsia"/>
                <w:b w:val="0"/>
                <w:bCs w:val="0"/>
                <w:sz w:val="24"/>
                <w:lang w:val="en-US" w:eastAsia="zh-CN"/>
              </w:rPr>
            </w:pPr>
            <w:r>
              <w:rPr>
                <w:rFonts w:hint="eastAsia"/>
                <w:b w:val="0"/>
                <w:bCs w:val="0"/>
                <w:sz w:val="24"/>
              </w:rPr>
              <w:t>根据</w:t>
            </w:r>
            <w:r>
              <w:rPr>
                <w:rFonts w:hint="eastAsia"/>
                <w:b w:val="0"/>
                <w:bCs w:val="0"/>
                <w:sz w:val="24"/>
                <w:lang w:val="en-US" w:eastAsia="zh-CN"/>
              </w:rPr>
              <w:t>工程分析</w:t>
            </w:r>
            <w:r>
              <w:rPr>
                <w:rFonts w:hint="eastAsia"/>
                <w:b w:val="0"/>
                <w:bCs w:val="0"/>
                <w:sz w:val="24"/>
              </w:rPr>
              <w:t>结果，配料</w:t>
            </w:r>
            <w:r>
              <w:rPr>
                <w:rFonts w:hint="eastAsia"/>
                <w:b w:val="0"/>
                <w:bCs w:val="0"/>
                <w:sz w:val="24"/>
                <w:lang w:eastAsia="zh-CN"/>
              </w:rPr>
              <w:t>、</w:t>
            </w:r>
            <w:r>
              <w:rPr>
                <w:rFonts w:hint="eastAsia"/>
                <w:b w:val="0"/>
                <w:bCs w:val="0"/>
                <w:sz w:val="24"/>
                <w:lang w:val="en-US" w:eastAsia="zh-CN"/>
              </w:rPr>
              <w:t>窑头窑尾粉尘经布袋除尘器处理后颗粒物排放浓度能够满足</w:t>
            </w:r>
            <w:r>
              <w:rPr>
                <w:rFonts w:hint="eastAsia"/>
                <w:sz w:val="24"/>
              </w:rPr>
              <w:t>《大气污染物综合排放标准》（GB16297-1996）中的相关限值</w:t>
            </w:r>
            <w:r>
              <w:rPr>
                <w:rFonts w:hint="eastAsia"/>
                <w:sz w:val="24"/>
                <w:lang w:val="en-US" w:eastAsia="zh-CN"/>
              </w:rPr>
              <w:t>要求；回转窑烟气经布袋除尘器处理后各污染物排放浓度均能够满足《无机化学工业污染物排放标准》（GB31573-2015）限值要求，</w:t>
            </w:r>
            <w:r>
              <w:rPr>
                <w:rFonts w:hint="eastAsia"/>
                <w:b w:val="0"/>
                <w:bCs w:val="0"/>
                <w:sz w:val="24"/>
              </w:rPr>
              <w:t>对环境的影响是可以接受的。根据估算模式AERSCREEN估算，</w:t>
            </w:r>
            <w:r>
              <w:rPr>
                <w:rFonts w:hint="eastAsia"/>
                <w:b w:val="0"/>
                <w:bCs w:val="0"/>
                <w:sz w:val="24"/>
                <w:lang w:val="en-US" w:eastAsia="zh-CN"/>
              </w:rPr>
              <w:t>本项目大气污染源估算结果详见表4-8。</w:t>
            </w:r>
          </w:p>
          <w:p w14:paraId="71FFED61">
            <w:pPr>
              <w:pStyle w:val="48"/>
              <w:numPr>
                <w:ilvl w:val="2"/>
                <w:numId w:val="4"/>
              </w:numPr>
              <w:spacing w:line="500" w:lineRule="atLeast"/>
              <w:ind w:firstLineChars="0"/>
              <w:jc w:val="center"/>
              <w:rPr>
                <w:rFonts w:hint="default"/>
                <w:b w:val="0"/>
                <w:bCs w:val="0"/>
                <w:sz w:val="24"/>
                <w:lang w:val="en-US" w:eastAsia="zh-CN"/>
              </w:rPr>
            </w:pPr>
            <w:r>
              <w:rPr>
                <w:rFonts w:hint="eastAsia" w:ascii="Times New Roman" w:hAnsi="Times New Roman" w:eastAsia="宋体" w:cs="Times New Roman"/>
                <w:b/>
                <w:sz w:val="24"/>
                <w:lang w:val="en-US" w:eastAsia="zh-CN"/>
              </w:rPr>
              <w:t>大气污染源估算结果一览表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74"/>
              <w:gridCol w:w="1323"/>
              <w:gridCol w:w="1323"/>
              <w:gridCol w:w="1323"/>
              <w:gridCol w:w="1323"/>
            </w:tblGrid>
            <w:tr w14:paraId="49BB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0" w:type="dxa"/>
                  <w:vAlign w:val="center"/>
                </w:tcPr>
                <w:p w14:paraId="0DB33EC1">
                  <w:pPr>
                    <w:spacing w:line="0" w:lineRule="atLeast"/>
                    <w:jc w:val="center"/>
                    <w:rPr>
                      <w:rFonts w:ascii="Times New Roman" w:hAnsi="Times New Roman" w:eastAsia="宋体" w:cs="Times New Roman"/>
                      <w:color w:val="auto"/>
                      <w:spacing w:val="0"/>
                      <w:sz w:val="21"/>
                      <w:szCs w:val="21"/>
                      <w:u w:val="none"/>
                    </w:rPr>
                  </w:pPr>
                  <w:r>
                    <w:rPr>
                      <w:rFonts w:hint="eastAsia" w:ascii="Times New Roman" w:hAnsi="Times New Roman" w:eastAsia="宋体" w:cs="Times New Roman"/>
                      <w:color w:val="auto"/>
                      <w:spacing w:val="0"/>
                      <w:sz w:val="21"/>
                      <w:szCs w:val="21"/>
                      <w:u w:val="none"/>
                    </w:rPr>
                    <w:t>污染源</w:t>
                  </w:r>
                </w:p>
              </w:tc>
              <w:tc>
                <w:tcPr>
                  <w:tcW w:w="1074" w:type="dxa"/>
                  <w:vAlign w:val="center"/>
                </w:tcPr>
                <w:p w14:paraId="307B1E3F">
                  <w:pPr>
                    <w:spacing w:line="0" w:lineRule="atLeast"/>
                    <w:jc w:val="center"/>
                    <w:rPr>
                      <w:rFonts w:ascii="Times New Roman" w:hAnsi="Times New Roman" w:eastAsia="宋体" w:cs="Times New Roman"/>
                      <w:color w:val="auto"/>
                      <w:spacing w:val="0"/>
                      <w:sz w:val="21"/>
                      <w:szCs w:val="21"/>
                      <w:u w:val="none"/>
                    </w:rPr>
                  </w:pPr>
                  <w:r>
                    <w:rPr>
                      <w:rFonts w:hint="eastAsia" w:ascii="Times New Roman" w:hAnsi="Times New Roman" w:eastAsia="宋体" w:cs="Times New Roman"/>
                      <w:color w:val="auto"/>
                      <w:spacing w:val="0"/>
                      <w:sz w:val="21"/>
                      <w:szCs w:val="21"/>
                      <w:u w:val="none"/>
                    </w:rPr>
                    <w:t>污染物</w:t>
                  </w:r>
                </w:p>
              </w:tc>
              <w:tc>
                <w:tcPr>
                  <w:tcW w:w="1323" w:type="dxa"/>
                  <w:vAlign w:val="center"/>
                </w:tcPr>
                <w:p w14:paraId="7E443033">
                  <w:pPr>
                    <w:spacing w:line="0" w:lineRule="atLeast"/>
                    <w:jc w:val="center"/>
                    <w:rPr>
                      <w:rFonts w:ascii="Times New Roman" w:hAnsi="Times New Roman" w:eastAsia="宋体" w:cs="Times New Roman"/>
                      <w:color w:val="auto"/>
                      <w:spacing w:val="0"/>
                      <w:sz w:val="21"/>
                      <w:szCs w:val="21"/>
                      <w:u w:val="none"/>
                    </w:rPr>
                  </w:pPr>
                  <w:r>
                    <w:rPr>
                      <w:rFonts w:hint="eastAsia" w:ascii="Times New Roman" w:hAnsi="Times New Roman" w:eastAsia="宋体" w:cs="Times New Roman"/>
                      <w:color w:val="auto"/>
                      <w:spacing w:val="0"/>
                      <w:sz w:val="21"/>
                      <w:szCs w:val="21"/>
                      <w:u w:val="none"/>
                    </w:rPr>
                    <w:t>评价标准（ug/m</w:t>
                  </w:r>
                  <w:r>
                    <w:rPr>
                      <w:rFonts w:hint="eastAsia" w:ascii="Times New Roman" w:hAnsi="Times New Roman" w:eastAsia="宋体" w:cs="Times New Roman"/>
                      <w:color w:val="auto"/>
                      <w:spacing w:val="0"/>
                      <w:sz w:val="21"/>
                      <w:szCs w:val="21"/>
                      <w:u w:val="none"/>
                      <w:vertAlign w:val="superscript"/>
                    </w:rPr>
                    <w:t>3</w:t>
                  </w:r>
                  <w:r>
                    <w:rPr>
                      <w:rFonts w:hint="eastAsia" w:ascii="Times New Roman" w:hAnsi="Times New Roman" w:eastAsia="宋体" w:cs="Times New Roman"/>
                      <w:color w:val="auto"/>
                      <w:spacing w:val="0"/>
                      <w:sz w:val="21"/>
                      <w:szCs w:val="21"/>
                      <w:u w:val="none"/>
                    </w:rPr>
                    <w:t>）</w:t>
                  </w:r>
                </w:p>
              </w:tc>
              <w:tc>
                <w:tcPr>
                  <w:tcW w:w="1323" w:type="dxa"/>
                  <w:vAlign w:val="center"/>
                </w:tcPr>
                <w:p w14:paraId="18FA0226">
                  <w:pPr>
                    <w:spacing w:line="0" w:lineRule="atLeast"/>
                    <w:jc w:val="center"/>
                    <w:rPr>
                      <w:rFonts w:ascii="Times New Roman" w:hAnsi="Times New Roman" w:eastAsia="宋体" w:cs="Times New Roman"/>
                      <w:color w:val="auto"/>
                      <w:spacing w:val="0"/>
                      <w:sz w:val="21"/>
                      <w:szCs w:val="21"/>
                      <w:u w:val="none"/>
                    </w:rPr>
                  </w:pPr>
                  <w:r>
                    <w:rPr>
                      <w:rFonts w:hint="eastAsia" w:ascii="Times New Roman" w:hAnsi="Times New Roman" w:eastAsia="宋体" w:cs="Times New Roman"/>
                      <w:color w:val="auto"/>
                      <w:spacing w:val="0"/>
                      <w:sz w:val="21"/>
                      <w:szCs w:val="21"/>
                      <w:u w:val="none"/>
                    </w:rPr>
                    <w:t>下风向最大质量浓度（ug/m</w:t>
                  </w:r>
                  <w:r>
                    <w:rPr>
                      <w:rFonts w:hint="eastAsia" w:ascii="Times New Roman" w:hAnsi="Times New Roman" w:eastAsia="宋体" w:cs="Times New Roman"/>
                      <w:color w:val="auto"/>
                      <w:spacing w:val="0"/>
                      <w:sz w:val="21"/>
                      <w:szCs w:val="21"/>
                      <w:u w:val="none"/>
                      <w:vertAlign w:val="superscript"/>
                    </w:rPr>
                    <w:t>3</w:t>
                  </w:r>
                  <w:r>
                    <w:rPr>
                      <w:rFonts w:hint="eastAsia" w:ascii="Times New Roman" w:hAnsi="Times New Roman" w:eastAsia="宋体" w:cs="Times New Roman"/>
                      <w:color w:val="auto"/>
                      <w:spacing w:val="0"/>
                      <w:sz w:val="21"/>
                      <w:szCs w:val="21"/>
                      <w:u w:val="none"/>
                    </w:rPr>
                    <w:t>）</w:t>
                  </w:r>
                </w:p>
              </w:tc>
              <w:tc>
                <w:tcPr>
                  <w:tcW w:w="1323" w:type="dxa"/>
                  <w:vAlign w:val="center"/>
                </w:tcPr>
                <w:p w14:paraId="4A313BC1">
                  <w:pPr>
                    <w:spacing w:line="0" w:lineRule="atLeast"/>
                    <w:jc w:val="center"/>
                    <w:rPr>
                      <w:rFonts w:ascii="Times New Roman" w:hAnsi="Times New Roman" w:eastAsia="宋体" w:cs="Times New Roman"/>
                      <w:color w:val="auto"/>
                      <w:spacing w:val="0"/>
                      <w:sz w:val="21"/>
                      <w:szCs w:val="21"/>
                      <w:u w:val="none"/>
                    </w:rPr>
                  </w:pPr>
                  <w:r>
                    <w:rPr>
                      <w:rFonts w:hint="eastAsia" w:ascii="Times New Roman" w:hAnsi="Times New Roman" w:eastAsia="宋体" w:cs="Times New Roman"/>
                      <w:color w:val="auto"/>
                      <w:spacing w:val="0"/>
                      <w:sz w:val="21"/>
                      <w:szCs w:val="21"/>
                      <w:u w:val="none"/>
                    </w:rPr>
                    <w:t>下风向最大占标率（%）</w:t>
                  </w:r>
                </w:p>
              </w:tc>
              <w:tc>
                <w:tcPr>
                  <w:tcW w:w="1323" w:type="dxa"/>
                  <w:vAlign w:val="center"/>
                </w:tcPr>
                <w:p w14:paraId="5DCE2DAF">
                  <w:pPr>
                    <w:spacing w:line="0" w:lineRule="atLeast"/>
                    <w:jc w:val="center"/>
                    <w:rPr>
                      <w:rFonts w:ascii="Times New Roman" w:hAnsi="Times New Roman" w:eastAsia="宋体" w:cs="Times New Roman"/>
                      <w:color w:val="auto"/>
                      <w:spacing w:val="0"/>
                      <w:sz w:val="21"/>
                      <w:szCs w:val="21"/>
                      <w:u w:val="none"/>
                    </w:rPr>
                  </w:pPr>
                  <w:r>
                    <w:rPr>
                      <w:rFonts w:hint="eastAsia" w:ascii="Times New Roman" w:hAnsi="Times New Roman" w:eastAsia="宋体" w:cs="Times New Roman"/>
                      <w:color w:val="auto"/>
                      <w:spacing w:val="0"/>
                      <w:sz w:val="21"/>
                      <w:szCs w:val="21"/>
                      <w:u w:val="none"/>
                    </w:rPr>
                    <w:t>下风向最大浓度出现距离/m</w:t>
                  </w:r>
                </w:p>
              </w:tc>
            </w:tr>
            <w:tr w14:paraId="2308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0" w:type="dxa"/>
                  <w:shd w:val="clear" w:color="auto" w:fill="auto"/>
                  <w:vAlign w:val="center"/>
                </w:tcPr>
                <w:p w14:paraId="22C15F5A">
                  <w:pPr>
                    <w:adjustRightInd w:val="0"/>
                    <w:snapToGrid w:val="0"/>
                    <w:jc w:val="center"/>
                    <w:rPr>
                      <w:rFonts w:ascii="Times New Roman" w:hAnsi="Times New Roman" w:eastAsia="宋体" w:cs="Times New Roman"/>
                      <w:color w:val="auto"/>
                      <w:spacing w:val="0"/>
                      <w:sz w:val="21"/>
                      <w:szCs w:val="21"/>
                      <w:u w:val="none"/>
                    </w:rPr>
                  </w:pPr>
                  <w:r>
                    <w:rPr>
                      <w:rFonts w:hint="eastAsia"/>
                      <w:szCs w:val="21"/>
                      <w:u w:val="none"/>
                      <w:lang w:val="en-US" w:eastAsia="zh-CN"/>
                    </w:rPr>
                    <w:t>DA303（</w:t>
                  </w:r>
                  <w:r>
                    <w:rPr>
                      <w:rFonts w:hint="eastAsia"/>
                      <w:b w:val="0"/>
                      <w:bCs w:val="0"/>
                      <w:sz w:val="21"/>
                      <w:szCs w:val="21"/>
                      <w:u w:val="none"/>
                    </w:rPr>
                    <w:t>配料</w:t>
                  </w:r>
                  <w:r>
                    <w:rPr>
                      <w:rFonts w:hint="eastAsia"/>
                      <w:b w:val="0"/>
                      <w:bCs w:val="0"/>
                      <w:sz w:val="21"/>
                      <w:szCs w:val="21"/>
                      <w:u w:val="none"/>
                      <w:lang w:eastAsia="zh-CN"/>
                    </w:rPr>
                    <w:t>、</w:t>
                  </w:r>
                  <w:r>
                    <w:rPr>
                      <w:rFonts w:hint="eastAsia"/>
                      <w:b w:val="0"/>
                      <w:bCs w:val="0"/>
                      <w:sz w:val="21"/>
                      <w:szCs w:val="21"/>
                      <w:u w:val="none"/>
                      <w:lang w:val="en-US" w:eastAsia="zh-CN"/>
                    </w:rPr>
                    <w:t>窑头窑尾废气排气筒</w:t>
                  </w:r>
                  <w:r>
                    <w:rPr>
                      <w:rFonts w:hint="eastAsia"/>
                      <w:szCs w:val="21"/>
                      <w:u w:val="none"/>
                      <w:lang w:val="en-US" w:eastAsia="zh-CN"/>
                    </w:rPr>
                    <w:t>）</w:t>
                  </w:r>
                </w:p>
              </w:tc>
              <w:tc>
                <w:tcPr>
                  <w:tcW w:w="1074" w:type="dxa"/>
                  <w:vAlign w:val="center"/>
                </w:tcPr>
                <w:p w14:paraId="19C480B3">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PM</w:t>
                  </w:r>
                  <w:r>
                    <w:rPr>
                      <w:rFonts w:hint="eastAsia" w:ascii="Times New Roman" w:hAnsi="Times New Roman" w:eastAsia="宋体" w:cs="Times New Roman"/>
                      <w:color w:val="auto"/>
                      <w:spacing w:val="0"/>
                      <w:sz w:val="21"/>
                      <w:szCs w:val="21"/>
                      <w:u w:val="none"/>
                      <w:vertAlign w:val="subscript"/>
                      <w:lang w:val="en-US" w:eastAsia="zh-CN"/>
                    </w:rPr>
                    <w:t>10</w:t>
                  </w:r>
                </w:p>
              </w:tc>
              <w:tc>
                <w:tcPr>
                  <w:tcW w:w="1323" w:type="dxa"/>
                  <w:vAlign w:val="center"/>
                </w:tcPr>
                <w:p w14:paraId="228A1B1C">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450</w:t>
                  </w:r>
                </w:p>
              </w:tc>
              <w:tc>
                <w:tcPr>
                  <w:tcW w:w="1323" w:type="dxa"/>
                  <w:vAlign w:val="center"/>
                </w:tcPr>
                <w:p w14:paraId="273ED0F9">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0.9306</w:t>
                  </w:r>
                </w:p>
              </w:tc>
              <w:tc>
                <w:tcPr>
                  <w:tcW w:w="1323" w:type="dxa"/>
                  <w:vAlign w:val="center"/>
                </w:tcPr>
                <w:p w14:paraId="2FE3A518">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0.21</w:t>
                  </w:r>
                </w:p>
              </w:tc>
              <w:tc>
                <w:tcPr>
                  <w:tcW w:w="1323" w:type="dxa"/>
                  <w:vAlign w:val="center"/>
                </w:tcPr>
                <w:p w14:paraId="4B414BE1">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159</w:t>
                  </w:r>
                </w:p>
              </w:tc>
            </w:tr>
            <w:tr w14:paraId="009D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0" w:type="dxa"/>
                  <w:vMerge w:val="restart"/>
                  <w:vAlign w:val="center"/>
                </w:tcPr>
                <w:p w14:paraId="463D7345">
                  <w:pPr>
                    <w:spacing w:line="0" w:lineRule="atLeast"/>
                    <w:jc w:val="center"/>
                    <w:rPr>
                      <w:rFonts w:ascii="Times New Roman" w:hAnsi="Times New Roman" w:eastAsia="宋体" w:cs="Times New Roman"/>
                      <w:color w:val="auto"/>
                      <w:spacing w:val="0"/>
                      <w:sz w:val="21"/>
                      <w:szCs w:val="21"/>
                      <w:u w:val="none"/>
                    </w:rPr>
                  </w:pPr>
                  <w:r>
                    <w:rPr>
                      <w:rFonts w:hint="eastAsia"/>
                      <w:szCs w:val="21"/>
                      <w:u w:val="none"/>
                      <w:lang w:val="en-US" w:eastAsia="zh-CN"/>
                    </w:rPr>
                    <w:t>DA304（回转窑烟气排气筒）</w:t>
                  </w:r>
                </w:p>
              </w:tc>
              <w:tc>
                <w:tcPr>
                  <w:tcW w:w="1074" w:type="dxa"/>
                  <w:vAlign w:val="center"/>
                </w:tcPr>
                <w:p w14:paraId="3E7BFF8C">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PM</w:t>
                  </w:r>
                  <w:r>
                    <w:rPr>
                      <w:rFonts w:hint="eastAsia" w:ascii="Times New Roman" w:hAnsi="Times New Roman" w:eastAsia="宋体" w:cs="Times New Roman"/>
                      <w:color w:val="auto"/>
                      <w:spacing w:val="0"/>
                      <w:sz w:val="21"/>
                      <w:szCs w:val="21"/>
                      <w:u w:val="none"/>
                      <w:vertAlign w:val="subscript"/>
                      <w:lang w:val="en-US" w:eastAsia="zh-CN"/>
                    </w:rPr>
                    <w:t>10</w:t>
                  </w:r>
                </w:p>
              </w:tc>
              <w:tc>
                <w:tcPr>
                  <w:tcW w:w="1323" w:type="dxa"/>
                  <w:vAlign w:val="center"/>
                </w:tcPr>
                <w:p w14:paraId="360783C3">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450</w:t>
                  </w:r>
                </w:p>
              </w:tc>
              <w:tc>
                <w:tcPr>
                  <w:tcW w:w="1323" w:type="dxa"/>
                  <w:vAlign w:val="center"/>
                </w:tcPr>
                <w:p w14:paraId="5956AAE0">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0.2336</w:t>
                  </w:r>
                </w:p>
              </w:tc>
              <w:tc>
                <w:tcPr>
                  <w:tcW w:w="1323" w:type="dxa"/>
                  <w:vAlign w:val="center"/>
                </w:tcPr>
                <w:p w14:paraId="6CE647D0">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0.05</w:t>
                  </w:r>
                </w:p>
              </w:tc>
              <w:tc>
                <w:tcPr>
                  <w:tcW w:w="1323" w:type="dxa"/>
                  <w:vMerge w:val="restart"/>
                  <w:vAlign w:val="center"/>
                </w:tcPr>
                <w:p w14:paraId="595DDABE">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173</w:t>
                  </w:r>
                </w:p>
              </w:tc>
            </w:tr>
            <w:tr w14:paraId="0EAB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0" w:type="dxa"/>
                  <w:vMerge w:val="continue"/>
                  <w:vAlign w:val="center"/>
                </w:tcPr>
                <w:p w14:paraId="39AEBBBB">
                  <w:pPr>
                    <w:spacing w:line="0" w:lineRule="atLeast"/>
                    <w:jc w:val="center"/>
                    <w:rPr>
                      <w:rFonts w:hint="eastAsia"/>
                      <w:szCs w:val="21"/>
                      <w:u w:val="none"/>
                      <w:lang w:val="en-US" w:eastAsia="zh-CN"/>
                    </w:rPr>
                  </w:pPr>
                </w:p>
              </w:tc>
              <w:tc>
                <w:tcPr>
                  <w:tcW w:w="1074" w:type="dxa"/>
                  <w:vAlign w:val="center"/>
                </w:tcPr>
                <w:p w14:paraId="75BEDCA6">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SO</w:t>
                  </w:r>
                  <w:r>
                    <w:rPr>
                      <w:rFonts w:hint="eastAsia" w:ascii="Times New Roman" w:hAnsi="Times New Roman" w:eastAsia="宋体" w:cs="Times New Roman"/>
                      <w:color w:val="auto"/>
                      <w:spacing w:val="0"/>
                      <w:sz w:val="21"/>
                      <w:szCs w:val="21"/>
                      <w:u w:val="none"/>
                      <w:vertAlign w:val="subscript"/>
                      <w:lang w:val="en-US" w:eastAsia="zh-CN"/>
                    </w:rPr>
                    <w:t>2</w:t>
                  </w:r>
                </w:p>
              </w:tc>
              <w:tc>
                <w:tcPr>
                  <w:tcW w:w="1323" w:type="dxa"/>
                  <w:vAlign w:val="center"/>
                </w:tcPr>
                <w:p w14:paraId="24EE89D5">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500</w:t>
                  </w:r>
                </w:p>
              </w:tc>
              <w:tc>
                <w:tcPr>
                  <w:tcW w:w="1323" w:type="dxa"/>
                  <w:vAlign w:val="center"/>
                </w:tcPr>
                <w:p w14:paraId="435319DF">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8.5154</w:t>
                  </w:r>
                </w:p>
              </w:tc>
              <w:tc>
                <w:tcPr>
                  <w:tcW w:w="1323" w:type="dxa"/>
                  <w:vAlign w:val="center"/>
                </w:tcPr>
                <w:p w14:paraId="58105951">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1.70</w:t>
                  </w:r>
                </w:p>
              </w:tc>
              <w:tc>
                <w:tcPr>
                  <w:tcW w:w="1323" w:type="dxa"/>
                  <w:vMerge w:val="continue"/>
                  <w:vAlign w:val="center"/>
                </w:tcPr>
                <w:p w14:paraId="6196C2EE">
                  <w:pPr>
                    <w:spacing w:line="0" w:lineRule="atLeast"/>
                    <w:jc w:val="center"/>
                    <w:rPr>
                      <w:rFonts w:hint="eastAsia" w:ascii="Times New Roman" w:hAnsi="Times New Roman" w:eastAsia="宋体" w:cs="Times New Roman"/>
                      <w:color w:val="auto"/>
                      <w:spacing w:val="0"/>
                      <w:sz w:val="21"/>
                      <w:szCs w:val="21"/>
                      <w:u w:val="none"/>
                    </w:rPr>
                  </w:pPr>
                </w:p>
              </w:tc>
            </w:tr>
            <w:tr w14:paraId="5468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0" w:type="dxa"/>
                  <w:vMerge w:val="continue"/>
                  <w:vAlign w:val="center"/>
                </w:tcPr>
                <w:p w14:paraId="5FDCEB68">
                  <w:pPr>
                    <w:spacing w:line="0" w:lineRule="atLeast"/>
                    <w:jc w:val="center"/>
                    <w:rPr>
                      <w:rFonts w:ascii="Times New Roman" w:hAnsi="Times New Roman" w:eastAsia="宋体" w:cs="Times New Roman"/>
                      <w:color w:val="auto"/>
                      <w:spacing w:val="0"/>
                      <w:sz w:val="21"/>
                      <w:szCs w:val="21"/>
                      <w:u w:val="none"/>
                    </w:rPr>
                  </w:pPr>
                </w:p>
              </w:tc>
              <w:tc>
                <w:tcPr>
                  <w:tcW w:w="1074" w:type="dxa"/>
                  <w:vAlign w:val="center"/>
                </w:tcPr>
                <w:p w14:paraId="2E216B7D">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NO</w:t>
                  </w:r>
                  <w:r>
                    <w:rPr>
                      <w:rFonts w:hint="eastAsia" w:ascii="Times New Roman" w:hAnsi="Times New Roman" w:eastAsia="宋体" w:cs="Times New Roman"/>
                      <w:color w:val="auto"/>
                      <w:spacing w:val="0"/>
                      <w:sz w:val="21"/>
                      <w:szCs w:val="21"/>
                      <w:u w:val="none"/>
                      <w:vertAlign w:val="subscript"/>
                      <w:lang w:val="en-US" w:eastAsia="zh-CN"/>
                    </w:rPr>
                    <w:t>2</w:t>
                  </w:r>
                </w:p>
              </w:tc>
              <w:tc>
                <w:tcPr>
                  <w:tcW w:w="1323" w:type="dxa"/>
                  <w:vAlign w:val="center"/>
                </w:tcPr>
                <w:p w14:paraId="5325586A">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200</w:t>
                  </w:r>
                </w:p>
              </w:tc>
              <w:tc>
                <w:tcPr>
                  <w:tcW w:w="1323" w:type="dxa"/>
                  <w:vAlign w:val="center"/>
                </w:tcPr>
                <w:p w14:paraId="5ABDACF7">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4.2775</w:t>
                  </w:r>
                </w:p>
              </w:tc>
              <w:tc>
                <w:tcPr>
                  <w:tcW w:w="1323" w:type="dxa"/>
                  <w:vAlign w:val="center"/>
                </w:tcPr>
                <w:p w14:paraId="39A168C8">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2.14</w:t>
                  </w:r>
                </w:p>
              </w:tc>
              <w:tc>
                <w:tcPr>
                  <w:tcW w:w="1323" w:type="dxa"/>
                  <w:vMerge w:val="continue"/>
                  <w:vAlign w:val="center"/>
                </w:tcPr>
                <w:p w14:paraId="003D8D76">
                  <w:pPr>
                    <w:spacing w:line="0" w:lineRule="atLeast"/>
                    <w:jc w:val="center"/>
                    <w:rPr>
                      <w:rFonts w:ascii="Times New Roman" w:hAnsi="Times New Roman" w:eastAsia="宋体" w:cs="Times New Roman"/>
                      <w:color w:val="auto"/>
                      <w:spacing w:val="0"/>
                      <w:sz w:val="21"/>
                      <w:szCs w:val="21"/>
                      <w:u w:val="none"/>
                    </w:rPr>
                  </w:pPr>
                </w:p>
              </w:tc>
            </w:tr>
            <w:tr w14:paraId="7E52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0" w:type="dxa"/>
                  <w:vMerge w:val="continue"/>
                  <w:vAlign w:val="center"/>
                </w:tcPr>
                <w:p w14:paraId="1B287CAD">
                  <w:pPr>
                    <w:spacing w:line="0" w:lineRule="atLeast"/>
                    <w:jc w:val="center"/>
                    <w:rPr>
                      <w:rFonts w:ascii="Times New Roman" w:hAnsi="Times New Roman" w:eastAsia="宋体" w:cs="Times New Roman"/>
                      <w:color w:val="auto"/>
                      <w:spacing w:val="0"/>
                      <w:sz w:val="21"/>
                      <w:szCs w:val="21"/>
                      <w:u w:val="none"/>
                    </w:rPr>
                  </w:pPr>
                </w:p>
              </w:tc>
              <w:tc>
                <w:tcPr>
                  <w:tcW w:w="1074" w:type="dxa"/>
                  <w:vAlign w:val="center"/>
                </w:tcPr>
                <w:p w14:paraId="37CBD074">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氟化物</w:t>
                  </w:r>
                </w:p>
              </w:tc>
              <w:tc>
                <w:tcPr>
                  <w:tcW w:w="1323" w:type="dxa"/>
                  <w:vAlign w:val="center"/>
                </w:tcPr>
                <w:p w14:paraId="7198C747">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20</w:t>
                  </w:r>
                </w:p>
              </w:tc>
              <w:tc>
                <w:tcPr>
                  <w:tcW w:w="1323" w:type="dxa"/>
                  <w:vAlign w:val="center"/>
                </w:tcPr>
                <w:p w14:paraId="4484444F">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1.5321</w:t>
                  </w:r>
                </w:p>
              </w:tc>
              <w:tc>
                <w:tcPr>
                  <w:tcW w:w="1323" w:type="dxa"/>
                  <w:vAlign w:val="center"/>
                </w:tcPr>
                <w:p w14:paraId="67FE9191">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cs="Times New Roman"/>
                      <w:color w:val="auto"/>
                      <w:spacing w:val="0"/>
                      <w:sz w:val="21"/>
                      <w:szCs w:val="21"/>
                      <w:u w:val="none"/>
                      <w:lang w:val="en-US" w:eastAsia="zh-CN"/>
                    </w:rPr>
                    <w:t>7.66</w:t>
                  </w:r>
                </w:p>
              </w:tc>
              <w:tc>
                <w:tcPr>
                  <w:tcW w:w="1323" w:type="dxa"/>
                  <w:vMerge w:val="continue"/>
                  <w:vAlign w:val="center"/>
                </w:tcPr>
                <w:p w14:paraId="4904760F">
                  <w:pPr>
                    <w:spacing w:line="0" w:lineRule="atLeast"/>
                    <w:jc w:val="center"/>
                    <w:rPr>
                      <w:rFonts w:ascii="Times New Roman" w:hAnsi="Times New Roman" w:eastAsia="宋体" w:cs="Times New Roman"/>
                      <w:color w:val="auto"/>
                      <w:spacing w:val="0"/>
                      <w:sz w:val="21"/>
                      <w:szCs w:val="21"/>
                      <w:u w:val="none"/>
                    </w:rPr>
                  </w:pPr>
                </w:p>
              </w:tc>
            </w:tr>
            <w:tr w14:paraId="03AC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0" w:type="dxa"/>
                  <w:vAlign w:val="center"/>
                </w:tcPr>
                <w:p w14:paraId="295257F6">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生产车间</w:t>
                  </w:r>
                </w:p>
              </w:tc>
              <w:tc>
                <w:tcPr>
                  <w:tcW w:w="1074" w:type="dxa"/>
                  <w:vAlign w:val="center"/>
                </w:tcPr>
                <w:p w14:paraId="57054791">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TSP</w:t>
                  </w:r>
                </w:p>
              </w:tc>
              <w:tc>
                <w:tcPr>
                  <w:tcW w:w="1323" w:type="dxa"/>
                  <w:vAlign w:val="center"/>
                </w:tcPr>
                <w:p w14:paraId="00975F4B">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900</w:t>
                  </w:r>
                </w:p>
              </w:tc>
              <w:tc>
                <w:tcPr>
                  <w:tcW w:w="1323" w:type="dxa"/>
                  <w:vAlign w:val="center"/>
                </w:tcPr>
                <w:p w14:paraId="4A2F7D03">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57.3640</w:t>
                  </w:r>
                </w:p>
              </w:tc>
              <w:tc>
                <w:tcPr>
                  <w:tcW w:w="1323" w:type="dxa"/>
                  <w:vAlign w:val="center"/>
                </w:tcPr>
                <w:p w14:paraId="1ADBC1D9">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6.37</w:t>
                  </w:r>
                </w:p>
              </w:tc>
              <w:tc>
                <w:tcPr>
                  <w:tcW w:w="1323" w:type="dxa"/>
                  <w:vAlign w:val="center"/>
                </w:tcPr>
                <w:p w14:paraId="7BA85408">
                  <w:pPr>
                    <w:spacing w:line="0" w:lineRule="atLeast"/>
                    <w:jc w:val="center"/>
                    <w:rPr>
                      <w:rFonts w:hint="default" w:ascii="Times New Roman" w:hAnsi="Times New Roman" w:eastAsia="宋体" w:cs="Times New Roman"/>
                      <w:color w:val="auto"/>
                      <w:spacing w:val="0"/>
                      <w:sz w:val="21"/>
                      <w:szCs w:val="21"/>
                      <w:u w:val="none"/>
                      <w:lang w:val="en-US" w:eastAsia="zh-CN"/>
                    </w:rPr>
                  </w:pPr>
                  <w:r>
                    <w:rPr>
                      <w:rFonts w:hint="eastAsia" w:ascii="Times New Roman" w:hAnsi="Times New Roman" w:eastAsia="宋体" w:cs="Times New Roman"/>
                      <w:color w:val="auto"/>
                      <w:spacing w:val="0"/>
                      <w:sz w:val="21"/>
                      <w:szCs w:val="21"/>
                      <w:u w:val="none"/>
                      <w:lang w:val="en-US" w:eastAsia="zh-CN"/>
                    </w:rPr>
                    <w:t>124</w:t>
                  </w:r>
                </w:p>
              </w:tc>
            </w:tr>
          </w:tbl>
          <w:p w14:paraId="5FE490C1">
            <w:pPr>
              <w:spacing w:line="500" w:lineRule="exact"/>
              <w:ind w:firstLine="600" w:firstLineChars="250"/>
              <w:rPr>
                <w:rFonts w:hint="eastAsia"/>
                <w:b w:val="0"/>
                <w:bCs w:val="0"/>
                <w:sz w:val="24"/>
              </w:rPr>
            </w:pPr>
            <w:r>
              <w:rPr>
                <w:rFonts w:hint="eastAsia"/>
                <w:b w:val="0"/>
                <w:bCs w:val="0"/>
                <w:sz w:val="24"/>
                <w:lang w:val="en-US" w:eastAsia="zh-CN"/>
              </w:rPr>
              <w:t>根据表4-8预测可知，项目运营产生的大气污染物</w:t>
            </w:r>
            <w:r>
              <w:rPr>
                <w:rFonts w:hint="eastAsia"/>
                <w:b w:val="0"/>
                <w:bCs w:val="0"/>
                <w:sz w:val="24"/>
              </w:rPr>
              <w:t>对评价范围内</w:t>
            </w:r>
            <w:r>
              <w:rPr>
                <w:rFonts w:hint="eastAsia"/>
                <w:b w:val="0"/>
                <w:bCs w:val="0"/>
                <w:sz w:val="24"/>
                <w:lang w:val="en-US" w:eastAsia="zh-CN"/>
              </w:rPr>
              <w:t>最大占标率为有组织排放的氟化物，占标率为7.66%，最大落地浓度为1.5321ug/m</w:t>
            </w:r>
            <w:r>
              <w:rPr>
                <w:rFonts w:hint="eastAsia"/>
                <w:b w:val="0"/>
                <w:bCs w:val="0"/>
                <w:sz w:val="24"/>
                <w:vertAlign w:val="superscript"/>
                <w:lang w:val="en-US" w:eastAsia="zh-CN"/>
              </w:rPr>
              <w:t>3</w:t>
            </w:r>
            <w:r>
              <w:rPr>
                <w:rFonts w:hint="eastAsia"/>
                <w:b w:val="0"/>
                <w:bCs w:val="0"/>
                <w:sz w:val="24"/>
                <w:vertAlign w:val="baseline"/>
                <w:lang w:val="en-US" w:eastAsia="zh-CN"/>
              </w:rPr>
              <w:t>，项目厂区外各污染物浓度能满足《环境空气质量标准》（GB3095-2012）二级标准限值要求，厂界外无超标点。</w:t>
            </w:r>
            <w:r>
              <w:rPr>
                <w:rFonts w:hint="eastAsia"/>
                <w:b w:val="0"/>
                <w:bCs w:val="0"/>
                <w:sz w:val="24"/>
              </w:rPr>
              <w:t>本项目正常运营情况下污染物的排放对周边环境影响较小。</w:t>
            </w:r>
          </w:p>
          <w:p w14:paraId="2C6145DE">
            <w:pPr>
              <w:spacing w:line="500" w:lineRule="exact"/>
              <w:ind w:firstLine="602" w:firstLineChars="250"/>
              <w:rPr>
                <w:rFonts w:hint="default" w:eastAsia="宋体"/>
                <w:b w:val="0"/>
                <w:bCs w:val="0"/>
                <w:sz w:val="24"/>
                <w:lang w:val="en-US" w:eastAsia="zh-CN"/>
              </w:rPr>
            </w:pPr>
            <w:r>
              <w:rPr>
                <w:rFonts w:hint="eastAsia"/>
                <w:b/>
                <w:bCs/>
                <w:sz w:val="24"/>
                <w:lang w:val="en-US" w:eastAsia="zh-CN"/>
              </w:rPr>
              <w:t>5、非正常工况污染物排放的分析</w:t>
            </w:r>
          </w:p>
          <w:p w14:paraId="0F7DDBC8">
            <w:pPr>
              <w:spacing w:line="500" w:lineRule="exact"/>
              <w:ind w:firstLine="600" w:firstLineChars="250"/>
              <w:rPr>
                <w:rFonts w:hint="eastAsia"/>
                <w:b w:val="0"/>
                <w:bCs w:val="0"/>
                <w:sz w:val="24"/>
              </w:rPr>
            </w:pPr>
            <w:r>
              <w:rPr>
                <w:rFonts w:hint="eastAsia"/>
                <w:b w:val="0"/>
                <w:bCs w:val="0"/>
                <w:sz w:val="24"/>
              </w:rPr>
              <w:t>非正常排放指非正常工况下的污染物排放。如设备检修、污染物排放控制措施达不到应有效率、工艺设备运转异常等情况下的排放。</w:t>
            </w:r>
            <w:r>
              <w:rPr>
                <w:rFonts w:hint="eastAsia"/>
                <w:b w:val="0"/>
                <w:bCs w:val="0"/>
                <w:sz w:val="24"/>
                <w:lang w:val="en-US" w:eastAsia="zh-CN"/>
              </w:rPr>
              <w:t>本项目非正常工况</w:t>
            </w:r>
            <w:r>
              <w:rPr>
                <w:rFonts w:hint="eastAsia"/>
                <w:b w:val="0"/>
                <w:bCs w:val="0"/>
                <w:sz w:val="24"/>
              </w:rPr>
              <w:t>主要为废气处理装置发生故障情况，废气处理效率为0%，作为预测情景，废气排放源强见表</w:t>
            </w:r>
            <w:r>
              <w:rPr>
                <w:rFonts w:hint="eastAsia"/>
                <w:b w:val="0"/>
                <w:bCs w:val="0"/>
                <w:sz w:val="24"/>
                <w:lang w:val="en-US" w:eastAsia="zh-CN"/>
              </w:rPr>
              <w:t>4-9</w:t>
            </w:r>
            <w:r>
              <w:rPr>
                <w:rFonts w:hint="eastAsia"/>
                <w:b w:val="0"/>
                <w:bCs w:val="0"/>
                <w:sz w:val="24"/>
              </w:rPr>
              <w:t>。</w:t>
            </w:r>
          </w:p>
          <w:p w14:paraId="3C60FAC1">
            <w:pPr>
              <w:pStyle w:val="48"/>
              <w:numPr>
                <w:ilvl w:val="2"/>
                <w:numId w:val="4"/>
              </w:numPr>
              <w:spacing w:line="500" w:lineRule="atLeast"/>
              <w:ind w:firstLineChars="0"/>
              <w:jc w:val="center"/>
              <w:rPr>
                <w:rFonts w:hint="eastAsia"/>
                <w:b w:val="0"/>
                <w:bCs w:val="0"/>
                <w:sz w:val="24"/>
              </w:rPr>
            </w:pPr>
            <w:r>
              <w:rPr>
                <w:rFonts w:hint="eastAsia" w:ascii="Times New Roman" w:hAnsi="Times New Roman" w:eastAsia="宋体" w:cs="Times New Roman"/>
                <w:b/>
                <w:sz w:val="24"/>
              </w:rPr>
              <w:t>非正常工况废气源强表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125"/>
              <w:gridCol w:w="1377"/>
              <w:gridCol w:w="1001"/>
              <w:gridCol w:w="990"/>
              <w:gridCol w:w="761"/>
              <w:gridCol w:w="710"/>
            </w:tblGrid>
            <w:tr w14:paraId="77C8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72" w:type="dxa"/>
                  <w:shd w:val="clear" w:color="auto" w:fill="auto"/>
                  <w:vAlign w:val="center"/>
                </w:tcPr>
                <w:p w14:paraId="76F07F9D">
                  <w:pPr>
                    <w:autoSpaceDE w:val="0"/>
                    <w:autoSpaceDN w:val="0"/>
                    <w:adjustRightInd w:val="0"/>
                    <w:snapToGrid w:val="0"/>
                    <w:jc w:val="center"/>
                    <w:rPr>
                      <w:rFonts w:ascii="Times New Roman" w:hAnsi="Times New Roman" w:eastAsia="宋体" w:cs="Times New Roman"/>
                      <w:color w:val="auto"/>
                      <w:spacing w:val="0"/>
                      <w:sz w:val="21"/>
                      <w:szCs w:val="21"/>
                    </w:rPr>
                  </w:pPr>
                  <w:r>
                    <w:rPr>
                      <w:rFonts w:hint="eastAsia" w:ascii="Times New Roman" w:hAnsi="Times New Roman" w:eastAsia="宋体" w:cs="Times New Roman"/>
                      <w:color w:val="auto"/>
                      <w:spacing w:val="0"/>
                      <w:sz w:val="21"/>
                      <w:szCs w:val="21"/>
                    </w:rPr>
                    <w:t>工序</w:t>
                  </w:r>
                </w:p>
              </w:tc>
              <w:tc>
                <w:tcPr>
                  <w:tcW w:w="1125" w:type="dxa"/>
                  <w:vAlign w:val="center"/>
                </w:tcPr>
                <w:p w14:paraId="715E721B">
                  <w:pPr>
                    <w:autoSpaceDE w:val="0"/>
                    <w:autoSpaceDN w:val="0"/>
                    <w:adjustRightInd w:val="0"/>
                    <w:snapToGrid w:val="0"/>
                    <w:jc w:val="center"/>
                    <w:rPr>
                      <w:rFonts w:ascii="Times New Roman" w:hAnsi="Times New Roman" w:eastAsia="宋体" w:cs="Times New Roman"/>
                      <w:color w:val="auto"/>
                      <w:spacing w:val="0"/>
                      <w:sz w:val="21"/>
                      <w:szCs w:val="21"/>
                    </w:rPr>
                  </w:pPr>
                  <w:r>
                    <w:rPr>
                      <w:rFonts w:hint="eastAsia" w:ascii="Times New Roman" w:hAnsi="Times New Roman" w:eastAsia="宋体" w:cs="Times New Roman"/>
                      <w:color w:val="auto"/>
                      <w:spacing w:val="0"/>
                      <w:sz w:val="21"/>
                      <w:szCs w:val="21"/>
                    </w:rPr>
                    <w:t>排气筒编号</w:t>
                  </w:r>
                </w:p>
              </w:tc>
              <w:tc>
                <w:tcPr>
                  <w:tcW w:w="1377" w:type="dxa"/>
                  <w:shd w:val="clear" w:color="auto" w:fill="auto"/>
                  <w:vAlign w:val="center"/>
                </w:tcPr>
                <w:p w14:paraId="7CF97CB1">
                  <w:pPr>
                    <w:autoSpaceDE w:val="0"/>
                    <w:autoSpaceDN w:val="0"/>
                    <w:adjustRightInd w:val="0"/>
                    <w:snapToGrid w:val="0"/>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污染因子</w:t>
                  </w:r>
                </w:p>
              </w:tc>
              <w:tc>
                <w:tcPr>
                  <w:tcW w:w="1001" w:type="dxa"/>
                  <w:vAlign w:val="center"/>
                </w:tcPr>
                <w:p w14:paraId="25314EA4">
                  <w:pPr>
                    <w:adjustRightInd w:val="0"/>
                    <w:snapToGrid w:val="0"/>
                    <w:spacing w:line="24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排放浓度（mg/m</w:t>
                  </w:r>
                  <w:r>
                    <w:rPr>
                      <w:rFonts w:ascii="Times New Roman" w:hAnsi="Times New Roman" w:eastAsia="宋体" w:cs="Times New Roman"/>
                      <w:color w:val="auto"/>
                      <w:sz w:val="21"/>
                      <w:szCs w:val="21"/>
                      <w:vertAlign w:val="superscript"/>
                    </w:rPr>
                    <w:t>3</w:t>
                  </w:r>
                  <w:r>
                    <w:rPr>
                      <w:rFonts w:ascii="Times New Roman" w:hAnsi="Times New Roman" w:eastAsia="宋体" w:cs="Times New Roman"/>
                      <w:color w:val="auto"/>
                      <w:sz w:val="21"/>
                      <w:szCs w:val="21"/>
                    </w:rPr>
                    <w:t>）</w:t>
                  </w:r>
                </w:p>
              </w:tc>
              <w:tc>
                <w:tcPr>
                  <w:tcW w:w="990" w:type="dxa"/>
                  <w:shd w:val="clear" w:color="auto" w:fill="auto"/>
                  <w:vAlign w:val="center"/>
                </w:tcPr>
                <w:p w14:paraId="4B39213C">
                  <w:pPr>
                    <w:adjustRightInd w:val="0"/>
                    <w:snapToGrid w:val="0"/>
                    <w:spacing w:line="24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排放速率（kg/h）</w:t>
                  </w:r>
                </w:p>
              </w:tc>
              <w:tc>
                <w:tcPr>
                  <w:tcW w:w="761" w:type="dxa"/>
                  <w:shd w:val="clear" w:color="auto" w:fill="auto"/>
                  <w:vAlign w:val="center"/>
                </w:tcPr>
                <w:p w14:paraId="42837976">
                  <w:pPr>
                    <w:adjustRightInd w:val="0"/>
                    <w:snapToGrid w:val="0"/>
                    <w:spacing w:line="240" w:lineRule="exact"/>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排放量（t/a）</w:t>
                  </w:r>
                </w:p>
              </w:tc>
              <w:tc>
                <w:tcPr>
                  <w:tcW w:w="710" w:type="dxa"/>
                  <w:shd w:val="clear" w:color="auto" w:fill="auto"/>
                  <w:vAlign w:val="center"/>
                </w:tcPr>
                <w:p w14:paraId="5E77DF7D">
                  <w:pPr>
                    <w:adjustRightInd w:val="0"/>
                    <w:snapToGrid w:val="0"/>
                    <w:spacing w:line="24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14:paraId="48B5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72" w:type="dxa"/>
                  <w:shd w:val="clear" w:color="auto" w:fill="auto"/>
                  <w:vAlign w:val="center"/>
                </w:tcPr>
                <w:p w14:paraId="37C11195">
                  <w:pPr>
                    <w:autoSpaceDE w:val="0"/>
                    <w:autoSpaceDN w:val="0"/>
                    <w:adjustRightInd w:val="0"/>
                    <w:snapToGrid w:val="0"/>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配料、窑头窑尾</w:t>
                  </w:r>
                </w:p>
              </w:tc>
              <w:tc>
                <w:tcPr>
                  <w:tcW w:w="1125" w:type="dxa"/>
                  <w:vAlign w:val="center"/>
                </w:tcPr>
                <w:p w14:paraId="2CDA60DD">
                  <w:pPr>
                    <w:autoSpaceDE w:val="0"/>
                    <w:autoSpaceDN w:val="0"/>
                    <w:adjustRightInd w:val="0"/>
                    <w:snapToGrid w:val="0"/>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rPr>
                    <w:t>DA</w:t>
                  </w:r>
                  <w:r>
                    <w:rPr>
                      <w:rFonts w:hint="eastAsia" w:ascii="Times New Roman" w:hAnsi="Times New Roman" w:eastAsia="宋体" w:cs="Times New Roman"/>
                      <w:color w:val="auto"/>
                      <w:spacing w:val="0"/>
                      <w:sz w:val="21"/>
                      <w:szCs w:val="21"/>
                      <w:lang w:val="en-US" w:eastAsia="zh-CN"/>
                    </w:rPr>
                    <w:t>303</w:t>
                  </w:r>
                </w:p>
              </w:tc>
              <w:tc>
                <w:tcPr>
                  <w:tcW w:w="1377" w:type="dxa"/>
                  <w:shd w:val="clear" w:color="auto" w:fill="auto"/>
                  <w:vAlign w:val="center"/>
                </w:tcPr>
                <w:p w14:paraId="7EA1F20F">
                  <w:pPr>
                    <w:autoSpaceDE w:val="0"/>
                    <w:autoSpaceDN w:val="0"/>
                    <w:adjustRightInd w:val="0"/>
                    <w:snapToGrid w:val="0"/>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PM</w:t>
                  </w:r>
                  <w:r>
                    <w:rPr>
                      <w:rFonts w:hint="eastAsia" w:ascii="Times New Roman" w:hAnsi="Times New Roman" w:eastAsia="宋体" w:cs="Times New Roman"/>
                      <w:color w:val="auto"/>
                      <w:spacing w:val="0"/>
                      <w:sz w:val="21"/>
                      <w:szCs w:val="21"/>
                      <w:vertAlign w:val="subscript"/>
                      <w:lang w:val="en-US" w:eastAsia="zh-CN"/>
                    </w:rPr>
                    <w:t>10</w:t>
                  </w:r>
                </w:p>
              </w:tc>
              <w:tc>
                <w:tcPr>
                  <w:tcW w:w="1001" w:type="dxa"/>
                  <w:vAlign w:val="center"/>
                </w:tcPr>
                <w:p w14:paraId="697C511C">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kern w:val="2"/>
                      <w:lang w:val="en-US" w:eastAsia="zh-CN"/>
                    </w:rPr>
                  </w:pPr>
                  <w:r>
                    <w:rPr>
                      <w:rFonts w:hint="eastAsia" w:ascii="Times New Roman" w:hAnsi="Times New Roman" w:cs="Times New Roman"/>
                      <w:kern w:val="2"/>
                      <w:lang w:val="en-US" w:eastAsia="zh-CN"/>
                    </w:rPr>
                    <w:t>11.95</w:t>
                  </w:r>
                </w:p>
              </w:tc>
              <w:tc>
                <w:tcPr>
                  <w:tcW w:w="990" w:type="dxa"/>
                  <w:shd w:val="clear" w:color="auto" w:fill="auto"/>
                  <w:vAlign w:val="center"/>
                </w:tcPr>
                <w:p w14:paraId="0BC7C397">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2.150</w:t>
                  </w:r>
                </w:p>
              </w:tc>
              <w:tc>
                <w:tcPr>
                  <w:tcW w:w="761" w:type="dxa"/>
                  <w:shd w:val="clear" w:color="auto" w:fill="auto"/>
                  <w:vAlign w:val="center"/>
                </w:tcPr>
                <w:p w14:paraId="1FE1A3E7">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kern w:val="2"/>
                      <w:lang w:val="en-US" w:eastAsia="zh-CN"/>
                    </w:rPr>
                  </w:pPr>
                  <w:r>
                    <w:rPr>
                      <w:rFonts w:hint="eastAsia" w:ascii="Times New Roman" w:hAnsi="Times New Roman" w:cs="Times New Roman"/>
                      <w:color w:val="000000"/>
                      <w:lang w:val="en-US" w:eastAsia="zh-CN"/>
                    </w:rPr>
                    <w:t>16</w:t>
                  </w:r>
                </w:p>
              </w:tc>
              <w:tc>
                <w:tcPr>
                  <w:tcW w:w="710" w:type="dxa"/>
                  <w:vMerge w:val="restart"/>
                  <w:shd w:val="clear" w:color="auto" w:fill="auto"/>
                  <w:vAlign w:val="center"/>
                </w:tcPr>
                <w:p w14:paraId="3AEE070D">
                  <w:pPr>
                    <w:autoSpaceDE w:val="0"/>
                    <w:autoSpaceDN w:val="0"/>
                    <w:adjustRightInd w:val="0"/>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pacing w:val="0"/>
                      <w:sz w:val="21"/>
                      <w:szCs w:val="21"/>
                    </w:rPr>
                    <w:t>处理效率为0%</w:t>
                  </w:r>
                </w:p>
              </w:tc>
            </w:tr>
            <w:tr w14:paraId="1C97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72" w:type="dxa"/>
                  <w:vMerge w:val="restart"/>
                  <w:shd w:val="clear" w:color="auto" w:fill="auto"/>
                  <w:vAlign w:val="center"/>
                </w:tcPr>
                <w:p w14:paraId="774BF5E1">
                  <w:pPr>
                    <w:autoSpaceDE w:val="0"/>
                    <w:autoSpaceDN w:val="0"/>
                    <w:adjustRightInd w:val="0"/>
                    <w:snapToGrid w:val="0"/>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回转窑烟气</w:t>
                  </w:r>
                </w:p>
              </w:tc>
              <w:tc>
                <w:tcPr>
                  <w:tcW w:w="1125" w:type="dxa"/>
                  <w:vMerge w:val="restart"/>
                  <w:vAlign w:val="center"/>
                </w:tcPr>
                <w:p w14:paraId="0F5DBB4C">
                  <w:pPr>
                    <w:autoSpaceDE w:val="0"/>
                    <w:autoSpaceDN w:val="0"/>
                    <w:adjustRightInd w:val="0"/>
                    <w:snapToGrid w:val="0"/>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rPr>
                    <w:t>DA</w:t>
                  </w:r>
                  <w:r>
                    <w:rPr>
                      <w:rFonts w:hint="eastAsia" w:ascii="Times New Roman" w:hAnsi="Times New Roman" w:eastAsia="宋体" w:cs="Times New Roman"/>
                      <w:color w:val="auto"/>
                      <w:spacing w:val="0"/>
                      <w:sz w:val="21"/>
                      <w:szCs w:val="21"/>
                      <w:lang w:val="en-US" w:eastAsia="zh-CN"/>
                    </w:rPr>
                    <w:t>304</w:t>
                  </w:r>
                </w:p>
              </w:tc>
              <w:tc>
                <w:tcPr>
                  <w:tcW w:w="1377" w:type="dxa"/>
                  <w:shd w:val="clear" w:color="auto" w:fill="auto"/>
                  <w:vAlign w:val="center"/>
                </w:tcPr>
                <w:p w14:paraId="6BFC719F">
                  <w:pPr>
                    <w:autoSpaceDE w:val="0"/>
                    <w:autoSpaceDN w:val="0"/>
                    <w:adjustRightInd w:val="0"/>
                    <w:snapToGrid w:val="0"/>
                    <w:jc w:val="center"/>
                    <w:rPr>
                      <w:rFonts w:ascii="Times New Roman" w:hAnsi="Times New Roman" w:eastAsia="宋体" w:cs="Times New Roman"/>
                      <w:color w:val="auto"/>
                      <w:spacing w:val="0"/>
                      <w:sz w:val="21"/>
                      <w:szCs w:val="21"/>
                    </w:rPr>
                  </w:pPr>
                  <w:r>
                    <w:rPr>
                      <w:rFonts w:hint="eastAsia" w:ascii="Times New Roman" w:hAnsi="Times New Roman" w:eastAsia="宋体" w:cs="Times New Roman"/>
                      <w:color w:val="auto"/>
                      <w:spacing w:val="0"/>
                      <w:sz w:val="21"/>
                      <w:szCs w:val="21"/>
                    </w:rPr>
                    <w:t>PM</w:t>
                  </w:r>
                  <w:r>
                    <w:rPr>
                      <w:rFonts w:hint="eastAsia" w:ascii="Times New Roman" w:hAnsi="Times New Roman" w:eastAsia="宋体" w:cs="Times New Roman"/>
                      <w:color w:val="auto"/>
                      <w:spacing w:val="0"/>
                      <w:sz w:val="21"/>
                      <w:szCs w:val="21"/>
                      <w:vertAlign w:val="subscript"/>
                    </w:rPr>
                    <w:t>10</w:t>
                  </w:r>
                </w:p>
              </w:tc>
              <w:tc>
                <w:tcPr>
                  <w:tcW w:w="1001" w:type="dxa"/>
                  <w:vAlign w:val="center"/>
                </w:tcPr>
                <w:p w14:paraId="6DA1A21C">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59.42</w:t>
                  </w:r>
                </w:p>
              </w:tc>
              <w:tc>
                <w:tcPr>
                  <w:tcW w:w="990" w:type="dxa"/>
                  <w:shd w:val="clear" w:color="auto" w:fill="auto"/>
                  <w:vAlign w:val="center"/>
                </w:tcPr>
                <w:p w14:paraId="4EB82CD6">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11.886</w:t>
                  </w:r>
                </w:p>
              </w:tc>
              <w:tc>
                <w:tcPr>
                  <w:tcW w:w="761" w:type="dxa"/>
                  <w:shd w:val="clear" w:color="auto" w:fill="auto"/>
                  <w:vAlign w:val="center"/>
                </w:tcPr>
                <w:p w14:paraId="69E7DB6D">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88.43</w:t>
                  </w:r>
                </w:p>
              </w:tc>
              <w:tc>
                <w:tcPr>
                  <w:tcW w:w="710" w:type="dxa"/>
                  <w:vMerge w:val="continue"/>
                  <w:shd w:val="clear" w:color="auto" w:fill="auto"/>
                  <w:vAlign w:val="center"/>
                </w:tcPr>
                <w:p w14:paraId="4A0662BF">
                  <w:pPr>
                    <w:autoSpaceDE w:val="0"/>
                    <w:autoSpaceDN w:val="0"/>
                    <w:adjustRightInd w:val="0"/>
                    <w:snapToGrid w:val="0"/>
                    <w:jc w:val="center"/>
                    <w:rPr>
                      <w:rFonts w:ascii="Times New Roman" w:hAnsi="Times New Roman" w:eastAsia="宋体" w:cs="Times New Roman"/>
                      <w:color w:val="auto"/>
                      <w:sz w:val="21"/>
                      <w:szCs w:val="21"/>
                    </w:rPr>
                  </w:pPr>
                </w:p>
              </w:tc>
            </w:tr>
            <w:tr w14:paraId="504A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72" w:type="dxa"/>
                  <w:vMerge w:val="continue"/>
                  <w:shd w:val="clear" w:color="auto" w:fill="auto"/>
                  <w:vAlign w:val="center"/>
                </w:tcPr>
                <w:p w14:paraId="35A59CB3">
                  <w:pPr>
                    <w:autoSpaceDE w:val="0"/>
                    <w:autoSpaceDN w:val="0"/>
                    <w:adjustRightInd w:val="0"/>
                    <w:snapToGrid w:val="0"/>
                    <w:jc w:val="center"/>
                    <w:rPr>
                      <w:rFonts w:ascii="Times New Roman" w:hAnsi="Times New Roman" w:eastAsia="宋体" w:cs="Times New Roman"/>
                      <w:color w:val="auto"/>
                      <w:spacing w:val="0"/>
                      <w:sz w:val="21"/>
                      <w:szCs w:val="21"/>
                    </w:rPr>
                  </w:pPr>
                </w:p>
              </w:tc>
              <w:tc>
                <w:tcPr>
                  <w:tcW w:w="1125" w:type="dxa"/>
                  <w:vMerge w:val="continue"/>
                  <w:vAlign w:val="center"/>
                </w:tcPr>
                <w:p w14:paraId="0EAE5252">
                  <w:pPr>
                    <w:autoSpaceDE w:val="0"/>
                    <w:autoSpaceDN w:val="0"/>
                    <w:adjustRightInd w:val="0"/>
                    <w:snapToGrid w:val="0"/>
                    <w:jc w:val="center"/>
                    <w:rPr>
                      <w:rFonts w:ascii="Times New Roman" w:hAnsi="Times New Roman" w:eastAsia="宋体" w:cs="Times New Roman"/>
                      <w:color w:val="auto"/>
                      <w:spacing w:val="0"/>
                      <w:sz w:val="21"/>
                      <w:szCs w:val="21"/>
                    </w:rPr>
                  </w:pPr>
                </w:p>
              </w:tc>
              <w:tc>
                <w:tcPr>
                  <w:tcW w:w="1377" w:type="dxa"/>
                  <w:shd w:val="clear" w:color="auto" w:fill="auto"/>
                  <w:vAlign w:val="center"/>
                </w:tcPr>
                <w:p w14:paraId="6390577B">
                  <w:pPr>
                    <w:autoSpaceDE w:val="0"/>
                    <w:autoSpaceDN w:val="0"/>
                    <w:adjustRightInd w:val="0"/>
                    <w:snapToGrid w:val="0"/>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SO</w:t>
                  </w:r>
                  <w:r>
                    <w:rPr>
                      <w:rFonts w:hint="eastAsia" w:ascii="Times New Roman" w:hAnsi="Times New Roman" w:eastAsia="宋体" w:cs="Times New Roman"/>
                      <w:color w:val="auto"/>
                      <w:spacing w:val="0"/>
                      <w:sz w:val="21"/>
                      <w:szCs w:val="21"/>
                      <w:vertAlign w:val="subscript"/>
                      <w:lang w:val="en-US" w:eastAsia="zh-CN"/>
                    </w:rPr>
                    <w:t>2</w:t>
                  </w:r>
                </w:p>
              </w:tc>
              <w:tc>
                <w:tcPr>
                  <w:tcW w:w="1001" w:type="dxa"/>
                  <w:vAlign w:val="center"/>
                </w:tcPr>
                <w:p w14:paraId="66B82293">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21.51</w:t>
                  </w:r>
                </w:p>
              </w:tc>
              <w:tc>
                <w:tcPr>
                  <w:tcW w:w="990" w:type="dxa"/>
                  <w:shd w:val="clear" w:color="auto" w:fill="auto"/>
                  <w:vAlign w:val="center"/>
                </w:tcPr>
                <w:p w14:paraId="64709B56">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4.302</w:t>
                  </w:r>
                </w:p>
              </w:tc>
              <w:tc>
                <w:tcPr>
                  <w:tcW w:w="761" w:type="dxa"/>
                  <w:shd w:val="clear" w:color="auto" w:fill="auto"/>
                  <w:vAlign w:val="center"/>
                </w:tcPr>
                <w:p w14:paraId="063DE619">
                  <w:pPr>
                    <w:spacing w:line="240" w:lineRule="exact"/>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32.01</w:t>
                  </w:r>
                </w:p>
              </w:tc>
              <w:tc>
                <w:tcPr>
                  <w:tcW w:w="710" w:type="dxa"/>
                  <w:vMerge w:val="continue"/>
                  <w:shd w:val="clear" w:color="auto" w:fill="auto"/>
                  <w:vAlign w:val="center"/>
                </w:tcPr>
                <w:p w14:paraId="78AF8E95">
                  <w:pPr>
                    <w:autoSpaceDE w:val="0"/>
                    <w:autoSpaceDN w:val="0"/>
                    <w:adjustRightInd w:val="0"/>
                    <w:snapToGrid w:val="0"/>
                    <w:jc w:val="center"/>
                    <w:rPr>
                      <w:rFonts w:ascii="Times New Roman" w:hAnsi="Times New Roman" w:eastAsia="宋体" w:cs="Times New Roman"/>
                      <w:color w:val="auto"/>
                      <w:sz w:val="21"/>
                      <w:szCs w:val="21"/>
                    </w:rPr>
                  </w:pPr>
                </w:p>
              </w:tc>
            </w:tr>
            <w:tr w14:paraId="16C3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72" w:type="dxa"/>
                  <w:vMerge w:val="continue"/>
                  <w:shd w:val="clear" w:color="auto" w:fill="auto"/>
                  <w:vAlign w:val="center"/>
                </w:tcPr>
                <w:p w14:paraId="06638F8B">
                  <w:pPr>
                    <w:autoSpaceDE w:val="0"/>
                    <w:autoSpaceDN w:val="0"/>
                    <w:adjustRightInd w:val="0"/>
                    <w:snapToGrid w:val="0"/>
                    <w:jc w:val="center"/>
                    <w:rPr>
                      <w:rFonts w:ascii="Times New Roman" w:hAnsi="Times New Roman" w:eastAsia="宋体" w:cs="Times New Roman"/>
                      <w:color w:val="auto"/>
                      <w:spacing w:val="0"/>
                      <w:sz w:val="21"/>
                      <w:szCs w:val="21"/>
                    </w:rPr>
                  </w:pPr>
                </w:p>
              </w:tc>
              <w:tc>
                <w:tcPr>
                  <w:tcW w:w="1125" w:type="dxa"/>
                  <w:vMerge w:val="continue"/>
                  <w:vAlign w:val="center"/>
                </w:tcPr>
                <w:p w14:paraId="2D4EF056">
                  <w:pPr>
                    <w:autoSpaceDE w:val="0"/>
                    <w:autoSpaceDN w:val="0"/>
                    <w:adjustRightInd w:val="0"/>
                    <w:snapToGrid w:val="0"/>
                    <w:jc w:val="center"/>
                    <w:rPr>
                      <w:rFonts w:ascii="Times New Roman" w:hAnsi="Times New Roman" w:eastAsia="宋体" w:cs="Times New Roman"/>
                      <w:color w:val="auto"/>
                      <w:spacing w:val="0"/>
                      <w:sz w:val="21"/>
                      <w:szCs w:val="21"/>
                    </w:rPr>
                  </w:pPr>
                </w:p>
              </w:tc>
              <w:tc>
                <w:tcPr>
                  <w:tcW w:w="1377" w:type="dxa"/>
                  <w:shd w:val="clear" w:color="auto" w:fill="auto"/>
                  <w:vAlign w:val="center"/>
                </w:tcPr>
                <w:p w14:paraId="53CECB42">
                  <w:pPr>
                    <w:autoSpaceDE w:val="0"/>
                    <w:autoSpaceDN w:val="0"/>
                    <w:adjustRightInd w:val="0"/>
                    <w:snapToGrid w:val="0"/>
                    <w:jc w:val="center"/>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NO</w:t>
                  </w:r>
                  <w:r>
                    <w:rPr>
                      <w:rFonts w:hint="eastAsia" w:ascii="Times New Roman" w:hAnsi="Times New Roman" w:eastAsia="宋体" w:cs="Times New Roman"/>
                      <w:color w:val="auto"/>
                      <w:spacing w:val="0"/>
                      <w:sz w:val="21"/>
                      <w:szCs w:val="21"/>
                      <w:vertAlign w:val="subscript"/>
                      <w:lang w:val="en-US" w:eastAsia="zh-CN"/>
                    </w:rPr>
                    <w:t>X</w:t>
                  </w:r>
                </w:p>
              </w:tc>
              <w:tc>
                <w:tcPr>
                  <w:tcW w:w="1001" w:type="dxa"/>
                  <w:vAlign w:val="center"/>
                </w:tcPr>
                <w:p w14:paraId="174AAB98">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kern w:val="2"/>
                      <w:lang w:val="en-US" w:eastAsia="zh-CN"/>
                    </w:rPr>
                  </w:pPr>
                  <w:r>
                    <w:rPr>
                      <w:rFonts w:hint="eastAsia" w:ascii="Times New Roman" w:hAnsi="Times New Roman" w:cs="Times New Roman"/>
                      <w:kern w:val="2"/>
                      <w:lang w:val="en-US" w:eastAsia="zh-CN"/>
                    </w:rPr>
                    <w:t>10.81</w:t>
                  </w:r>
                </w:p>
              </w:tc>
              <w:tc>
                <w:tcPr>
                  <w:tcW w:w="990" w:type="dxa"/>
                  <w:shd w:val="clear" w:color="auto" w:fill="auto"/>
                  <w:vAlign w:val="center"/>
                </w:tcPr>
                <w:p w14:paraId="2A6B2B73">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2.161</w:t>
                  </w:r>
                </w:p>
              </w:tc>
              <w:tc>
                <w:tcPr>
                  <w:tcW w:w="761" w:type="dxa"/>
                  <w:shd w:val="clear" w:color="auto" w:fill="auto"/>
                  <w:vAlign w:val="center"/>
                </w:tcPr>
                <w:p w14:paraId="2622F563">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kern w:val="2"/>
                      <w:lang w:val="en-US" w:eastAsia="zh-CN"/>
                    </w:rPr>
                  </w:pPr>
                  <w:r>
                    <w:rPr>
                      <w:rFonts w:hint="eastAsia" w:ascii="Times New Roman" w:hAnsi="Times New Roman" w:cs="Times New Roman"/>
                      <w:kern w:val="2"/>
                      <w:lang w:val="en-US" w:eastAsia="zh-CN"/>
                    </w:rPr>
                    <w:t>16.08</w:t>
                  </w:r>
                </w:p>
              </w:tc>
              <w:tc>
                <w:tcPr>
                  <w:tcW w:w="710" w:type="dxa"/>
                  <w:vMerge w:val="continue"/>
                  <w:shd w:val="clear" w:color="auto" w:fill="auto"/>
                  <w:vAlign w:val="center"/>
                </w:tcPr>
                <w:p w14:paraId="40340DC5">
                  <w:pPr>
                    <w:autoSpaceDE w:val="0"/>
                    <w:autoSpaceDN w:val="0"/>
                    <w:adjustRightInd w:val="0"/>
                    <w:snapToGrid w:val="0"/>
                    <w:jc w:val="center"/>
                    <w:rPr>
                      <w:rFonts w:ascii="Times New Roman" w:hAnsi="Times New Roman" w:eastAsia="宋体" w:cs="Times New Roman"/>
                      <w:color w:val="auto"/>
                      <w:sz w:val="21"/>
                      <w:szCs w:val="21"/>
                    </w:rPr>
                  </w:pPr>
                </w:p>
              </w:tc>
            </w:tr>
            <w:tr w14:paraId="2345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72" w:type="dxa"/>
                  <w:vMerge w:val="continue"/>
                  <w:shd w:val="clear" w:color="auto" w:fill="auto"/>
                  <w:vAlign w:val="center"/>
                </w:tcPr>
                <w:p w14:paraId="20476D5B">
                  <w:pPr>
                    <w:autoSpaceDE w:val="0"/>
                    <w:autoSpaceDN w:val="0"/>
                    <w:adjustRightInd w:val="0"/>
                    <w:snapToGrid w:val="0"/>
                    <w:jc w:val="center"/>
                    <w:rPr>
                      <w:rFonts w:ascii="Times New Roman" w:hAnsi="Times New Roman" w:eastAsia="宋体" w:cs="Times New Roman"/>
                      <w:color w:val="auto"/>
                      <w:spacing w:val="0"/>
                      <w:sz w:val="21"/>
                      <w:szCs w:val="21"/>
                    </w:rPr>
                  </w:pPr>
                </w:p>
              </w:tc>
              <w:tc>
                <w:tcPr>
                  <w:tcW w:w="1125" w:type="dxa"/>
                  <w:vMerge w:val="continue"/>
                  <w:vAlign w:val="center"/>
                </w:tcPr>
                <w:p w14:paraId="6E07FE00">
                  <w:pPr>
                    <w:autoSpaceDE w:val="0"/>
                    <w:autoSpaceDN w:val="0"/>
                    <w:adjustRightInd w:val="0"/>
                    <w:snapToGrid w:val="0"/>
                    <w:jc w:val="center"/>
                    <w:rPr>
                      <w:rFonts w:ascii="Times New Roman" w:hAnsi="Times New Roman" w:eastAsia="宋体" w:cs="Times New Roman"/>
                      <w:color w:val="auto"/>
                      <w:spacing w:val="0"/>
                      <w:sz w:val="21"/>
                      <w:szCs w:val="21"/>
                    </w:rPr>
                  </w:pPr>
                </w:p>
              </w:tc>
              <w:tc>
                <w:tcPr>
                  <w:tcW w:w="1377" w:type="dxa"/>
                  <w:shd w:val="clear" w:color="auto" w:fill="auto"/>
                  <w:vAlign w:val="center"/>
                </w:tcPr>
                <w:p w14:paraId="22C7D69A">
                  <w:pPr>
                    <w:autoSpaceDE w:val="0"/>
                    <w:autoSpaceDN w:val="0"/>
                    <w:adjustRightInd w:val="0"/>
                    <w:snapToGrid w:val="0"/>
                    <w:jc w:val="center"/>
                    <w:rPr>
                      <w:rFonts w:hint="eastAsia" w:ascii="Times New Roman" w:hAnsi="Times New Roman" w:eastAsia="宋体" w:cs="Times New Roman"/>
                      <w:color w:val="auto"/>
                      <w:spacing w:val="0"/>
                      <w:sz w:val="21"/>
                      <w:szCs w:val="21"/>
                      <w:lang w:eastAsia="zh-CN"/>
                    </w:rPr>
                  </w:pPr>
                  <w:r>
                    <w:rPr>
                      <w:rFonts w:hint="eastAsia" w:ascii="Times New Roman" w:hAnsi="Times New Roman" w:eastAsia="宋体" w:cs="Times New Roman"/>
                      <w:color w:val="auto"/>
                      <w:spacing w:val="0"/>
                      <w:sz w:val="21"/>
                      <w:szCs w:val="21"/>
                      <w:lang w:val="en-US" w:eastAsia="zh-CN"/>
                    </w:rPr>
                    <w:t>氟化物</w:t>
                  </w:r>
                </w:p>
              </w:tc>
              <w:tc>
                <w:tcPr>
                  <w:tcW w:w="1001" w:type="dxa"/>
                  <w:vAlign w:val="center"/>
                </w:tcPr>
                <w:p w14:paraId="4DE7452A">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kern w:val="2"/>
                      <w:lang w:val="en-US" w:eastAsia="zh-CN"/>
                    </w:rPr>
                  </w:pPr>
                  <w:r>
                    <w:rPr>
                      <w:rFonts w:hint="eastAsia" w:ascii="Times New Roman" w:hAnsi="Times New Roman" w:cs="Times New Roman"/>
                      <w:kern w:val="2"/>
                      <w:lang w:val="en-US" w:eastAsia="zh-CN"/>
                    </w:rPr>
                    <w:t>3.87</w:t>
                  </w:r>
                </w:p>
              </w:tc>
              <w:tc>
                <w:tcPr>
                  <w:tcW w:w="990" w:type="dxa"/>
                  <w:shd w:val="clear" w:color="auto" w:fill="auto"/>
                  <w:vAlign w:val="center"/>
                </w:tcPr>
                <w:p w14:paraId="560F9C1F">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color w:val="000000"/>
                      <w:lang w:val="en-US" w:eastAsia="zh-CN"/>
                    </w:rPr>
                  </w:pPr>
                  <w:r>
                    <w:rPr>
                      <w:rFonts w:hint="eastAsia" w:ascii="Times New Roman" w:hAnsi="Times New Roman" w:cs="Times New Roman"/>
                      <w:color w:val="000000"/>
                      <w:lang w:val="en-US" w:eastAsia="zh-CN"/>
                    </w:rPr>
                    <w:t>0.774</w:t>
                  </w:r>
                </w:p>
              </w:tc>
              <w:tc>
                <w:tcPr>
                  <w:tcW w:w="761" w:type="dxa"/>
                  <w:shd w:val="clear" w:color="auto" w:fill="auto"/>
                  <w:vAlign w:val="center"/>
                </w:tcPr>
                <w:p w14:paraId="419E0275">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kern w:val="2"/>
                      <w:lang w:val="en-US" w:eastAsia="zh-CN"/>
                    </w:rPr>
                  </w:pPr>
                  <w:r>
                    <w:rPr>
                      <w:rFonts w:hint="eastAsia" w:ascii="Times New Roman" w:hAnsi="Times New Roman" w:cs="Times New Roman"/>
                      <w:kern w:val="2"/>
                      <w:lang w:val="en-US" w:eastAsia="zh-CN"/>
                    </w:rPr>
                    <w:t>5.76</w:t>
                  </w:r>
                </w:p>
              </w:tc>
              <w:tc>
                <w:tcPr>
                  <w:tcW w:w="710" w:type="dxa"/>
                  <w:vMerge w:val="continue"/>
                  <w:shd w:val="clear" w:color="auto" w:fill="auto"/>
                  <w:vAlign w:val="center"/>
                </w:tcPr>
                <w:p w14:paraId="1AE0BF9E">
                  <w:pPr>
                    <w:autoSpaceDE w:val="0"/>
                    <w:autoSpaceDN w:val="0"/>
                    <w:adjustRightInd w:val="0"/>
                    <w:snapToGrid w:val="0"/>
                    <w:jc w:val="center"/>
                    <w:rPr>
                      <w:rFonts w:ascii="Times New Roman" w:hAnsi="Times New Roman" w:eastAsia="宋体" w:cs="Times New Roman"/>
                      <w:color w:val="auto"/>
                      <w:sz w:val="21"/>
                      <w:szCs w:val="21"/>
                    </w:rPr>
                  </w:pPr>
                </w:p>
              </w:tc>
            </w:tr>
          </w:tbl>
          <w:p w14:paraId="56EA0812">
            <w:pPr>
              <w:spacing w:line="500" w:lineRule="exact"/>
              <w:ind w:firstLine="600" w:firstLineChars="250"/>
              <w:rPr>
                <w:rFonts w:hint="eastAsia"/>
                <w:b w:val="0"/>
                <w:bCs w:val="0"/>
                <w:sz w:val="24"/>
                <w:lang w:val="en-US" w:eastAsia="zh-CN"/>
              </w:rPr>
            </w:pPr>
            <w:r>
              <w:rPr>
                <w:rFonts w:hint="eastAsia"/>
                <w:b w:val="0"/>
                <w:bCs w:val="0"/>
                <w:sz w:val="24"/>
                <w:lang w:val="en-US" w:eastAsia="zh-CN"/>
              </w:rPr>
              <w:t>建设单位须做好废气处理设施的日常运行维护，在发现废气处理设施不能正常运转的情况下，应立即停止运行，并进行检修，同时生产系统也必须停止生产。待废气处理设施恢复正常，废气处理设施非正常排放情况完全排除后，方可恢复生产。</w:t>
            </w:r>
          </w:p>
          <w:p w14:paraId="26B89D4D">
            <w:pPr>
              <w:spacing w:line="500" w:lineRule="exact"/>
              <w:ind w:firstLine="602" w:firstLineChars="250"/>
              <w:rPr>
                <w:b/>
                <w:bCs/>
                <w:sz w:val="24"/>
              </w:rPr>
            </w:pPr>
            <w:r>
              <w:rPr>
                <w:rFonts w:hint="eastAsia"/>
                <w:b/>
                <w:bCs/>
                <w:sz w:val="24"/>
                <w:lang w:val="en-US" w:eastAsia="zh-CN"/>
              </w:rPr>
              <w:t>6、</w:t>
            </w:r>
            <w:r>
              <w:rPr>
                <w:rFonts w:hint="eastAsia"/>
                <w:b/>
                <w:bCs/>
                <w:sz w:val="24"/>
              </w:rPr>
              <w:t>项目废气排放口情况</w:t>
            </w:r>
          </w:p>
          <w:p w14:paraId="66835193">
            <w:pPr>
              <w:spacing w:line="500" w:lineRule="exact"/>
              <w:ind w:firstLine="600" w:firstLineChars="250"/>
              <w:rPr>
                <w:rFonts w:hint="eastAsia"/>
                <w:bCs/>
                <w:sz w:val="24"/>
              </w:rPr>
            </w:pPr>
            <w:r>
              <w:rPr>
                <w:rFonts w:hint="eastAsia"/>
                <w:bCs/>
                <w:sz w:val="24"/>
              </w:rPr>
              <w:t>废气排放口基本情况详见下表。</w:t>
            </w:r>
          </w:p>
          <w:p w14:paraId="1B3F6F36">
            <w:pPr>
              <w:pStyle w:val="48"/>
              <w:numPr>
                <w:ilvl w:val="2"/>
                <w:numId w:val="4"/>
              </w:numPr>
              <w:spacing w:line="500" w:lineRule="atLeast"/>
              <w:ind w:firstLineChars="0"/>
              <w:jc w:val="center"/>
              <w:rPr>
                <w:b/>
                <w:sz w:val="24"/>
              </w:rPr>
            </w:pPr>
            <w:r>
              <w:rPr>
                <w:rFonts w:hint="eastAsia"/>
                <w:b/>
                <w:sz w:val="24"/>
              </w:rPr>
              <w:t>项目废气排放口基本情况一览表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25"/>
              <w:gridCol w:w="729"/>
              <w:gridCol w:w="992"/>
              <w:gridCol w:w="992"/>
              <w:gridCol w:w="992"/>
              <w:gridCol w:w="993"/>
              <w:gridCol w:w="993"/>
            </w:tblGrid>
            <w:tr w14:paraId="6392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0" w:type="dxa"/>
                  <w:vMerge w:val="restart"/>
                  <w:vAlign w:val="center"/>
                </w:tcPr>
                <w:p w14:paraId="36A19FDC">
                  <w:pPr>
                    <w:adjustRightInd w:val="0"/>
                    <w:snapToGrid w:val="0"/>
                    <w:jc w:val="center"/>
                    <w:rPr>
                      <w:szCs w:val="21"/>
                    </w:rPr>
                  </w:pPr>
                  <w:r>
                    <w:rPr>
                      <w:szCs w:val="21"/>
                    </w:rPr>
                    <w:t>排放方式</w:t>
                  </w:r>
                </w:p>
              </w:tc>
              <w:tc>
                <w:tcPr>
                  <w:tcW w:w="1425" w:type="dxa"/>
                  <w:vMerge w:val="restart"/>
                  <w:vAlign w:val="center"/>
                </w:tcPr>
                <w:p w14:paraId="79B6E3FF">
                  <w:pPr>
                    <w:adjustRightInd w:val="0"/>
                    <w:snapToGrid w:val="0"/>
                    <w:jc w:val="center"/>
                    <w:rPr>
                      <w:szCs w:val="21"/>
                    </w:rPr>
                  </w:pPr>
                  <w:r>
                    <w:rPr>
                      <w:szCs w:val="21"/>
                    </w:rPr>
                    <w:t>编号</w:t>
                  </w:r>
                </w:p>
              </w:tc>
              <w:tc>
                <w:tcPr>
                  <w:tcW w:w="729" w:type="dxa"/>
                  <w:vMerge w:val="restart"/>
                  <w:vAlign w:val="center"/>
                </w:tcPr>
                <w:p w14:paraId="0E5BDB6F">
                  <w:pPr>
                    <w:adjustRightInd w:val="0"/>
                    <w:snapToGrid w:val="0"/>
                    <w:jc w:val="center"/>
                    <w:rPr>
                      <w:szCs w:val="21"/>
                    </w:rPr>
                  </w:pPr>
                  <w:r>
                    <w:rPr>
                      <w:szCs w:val="21"/>
                    </w:rPr>
                    <w:t>污染物</w:t>
                  </w:r>
                </w:p>
              </w:tc>
              <w:tc>
                <w:tcPr>
                  <w:tcW w:w="1984" w:type="dxa"/>
                  <w:gridSpan w:val="2"/>
                  <w:vAlign w:val="center"/>
                </w:tcPr>
                <w:p w14:paraId="03028D5F">
                  <w:pPr>
                    <w:adjustRightInd w:val="0"/>
                    <w:snapToGrid w:val="0"/>
                    <w:jc w:val="center"/>
                    <w:rPr>
                      <w:szCs w:val="21"/>
                    </w:rPr>
                  </w:pPr>
                  <w:r>
                    <w:rPr>
                      <w:szCs w:val="21"/>
                    </w:rPr>
                    <w:t>污染物产生</w:t>
                  </w:r>
                </w:p>
              </w:tc>
              <w:tc>
                <w:tcPr>
                  <w:tcW w:w="992" w:type="dxa"/>
                  <w:vMerge w:val="restart"/>
                  <w:vAlign w:val="center"/>
                </w:tcPr>
                <w:p w14:paraId="7F54B1C3">
                  <w:pPr>
                    <w:adjustRightInd w:val="0"/>
                    <w:snapToGrid w:val="0"/>
                    <w:jc w:val="center"/>
                    <w:rPr>
                      <w:szCs w:val="21"/>
                    </w:rPr>
                  </w:pPr>
                  <w:r>
                    <w:rPr>
                      <w:szCs w:val="21"/>
                    </w:rPr>
                    <w:t>排气筒高度</w:t>
                  </w:r>
                  <w:r>
                    <w:rPr>
                      <w:rFonts w:hint="eastAsia"/>
                      <w:szCs w:val="21"/>
                    </w:rPr>
                    <w:t>m</w:t>
                  </w:r>
                </w:p>
              </w:tc>
              <w:tc>
                <w:tcPr>
                  <w:tcW w:w="993" w:type="dxa"/>
                  <w:vMerge w:val="restart"/>
                  <w:vAlign w:val="center"/>
                </w:tcPr>
                <w:p w14:paraId="63B0B287">
                  <w:pPr>
                    <w:adjustRightInd w:val="0"/>
                    <w:snapToGrid w:val="0"/>
                    <w:jc w:val="center"/>
                    <w:rPr>
                      <w:szCs w:val="21"/>
                    </w:rPr>
                  </w:pPr>
                  <w:r>
                    <w:rPr>
                      <w:szCs w:val="21"/>
                    </w:rPr>
                    <w:t>排气筒出口内径</w:t>
                  </w:r>
                  <w:r>
                    <w:rPr>
                      <w:rFonts w:hint="eastAsia"/>
                      <w:szCs w:val="21"/>
                    </w:rPr>
                    <w:t>m</w:t>
                  </w:r>
                </w:p>
              </w:tc>
              <w:tc>
                <w:tcPr>
                  <w:tcW w:w="993" w:type="dxa"/>
                  <w:vMerge w:val="restart"/>
                  <w:vAlign w:val="center"/>
                </w:tcPr>
                <w:p w14:paraId="454E6CEB">
                  <w:pPr>
                    <w:adjustRightInd w:val="0"/>
                    <w:snapToGrid w:val="0"/>
                    <w:jc w:val="center"/>
                    <w:rPr>
                      <w:szCs w:val="21"/>
                    </w:rPr>
                  </w:pPr>
                  <w:r>
                    <w:rPr>
                      <w:szCs w:val="21"/>
                    </w:rPr>
                    <w:t>排气温度</w:t>
                  </w:r>
                  <w:r>
                    <w:rPr>
                      <w:rFonts w:hint="eastAsia" w:ascii="宋体" w:hAnsi="宋体"/>
                      <w:szCs w:val="21"/>
                    </w:rPr>
                    <w:t>℃</w:t>
                  </w:r>
                </w:p>
              </w:tc>
            </w:tr>
            <w:tr w14:paraId="5761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0" w:type="dxa"/>
                  <w:vMerge w:val="continue"/>
                  <w:vAlign w:val="center"/>
                </w:tcPr>
                <w:p w14:paraId="515E6CFA">
                  <w:pPr>
                    <w:adjustRightInd w:val="0"/>
                    <w:snapToGrid w:val="0"/>
                    <w:jc w:val="center"/>
                    <w:rPr>
                      <w:szCs w:val="21"/>
                    </w:rPr>
                  </w:pPr>
                </w:p>
              </w:tc>
              <w:tc>
                <w:tcPr>
                  <w:tcW w:w="1425" w:type="dxa"/>
                  <w:vMerge w:val="continue"/>
                  <w:vAlign w:val="center"/>
                </w:tcPr>
                <w:p w14:paraId="4241F9E3">
                  <w:pPr>
                    <w:adjustRightInd w:val="0"/>
                    <w:snapToGrid w:val="0"/>
                    <w:jc w:val="center"/>
                    <w:rPr>
                      <w:szCs w:val="21"/>
                    </w:rPr>
                  </w:pPr>
                </w:p>
              </w:tc>
              <w:tc>
                <w:tcPr>
                  <w:tcW w:w="729" w:type="dxa"/>
                  <w:vMerge w:val="continue"/>
                  <w:vAlign w:val="center"/>
                </w:tcPr>
                <w:p w14:paraId="05DBC9A4">
                  <w:pPr>
                    <w:adjustRightInd w:val="0"/>
                    <w:snapToGrid w:val="0"/>
                    <w:jc w:val="center"/>
                    <w:rPr>
                      <w:szCs w:val="21"/>
                    </w:rPr>
                  </w:pPr>
                </w:p>
              </w:tc>
              <w:tc>
                <w:tcPr>
                  <w:tcW w:w="992" w:type="dxa"/>
                  <w:vAlign w:val="center"/>
                </w:tcPr>
                <w:p w14:paraId="209F6DC4">
                  <w:pPr>
                    <w:adjustRightInd w:val="0"/>
                    <w:snapToGrid w:val="0"/>
                    <w:jc w:val="center"/>
                    <w:rPr>
                      <w:szCs w:val="21"/>
                    </w:rPr>
                  </w:pPr>
                  <w:r>
                    <w:rPr>
                      <w:szCs w:val="21"/>
                    </w:rPr>
                    <w:t>经度</w:t>
                  </w:r>
                </w:p>
              </w:tc>
              <w:tc>
                <w:tcPr>
                  <w:tcW w:w="992" w:type="dxa"/>
                  <w:vAlign w:val="center"/>
                </w:tcPr>
                <w:p w14:paraId="103C3161">
                  <w:pPr>
                    <w:adjustRightInd w:val="0"/>
                    <w:snapToGrid w:val="0"/>
                    <w:jc w:val="center"/>
                    <w:rPr>
                      <w:szCs w:val="21"/>
                    </w:rPr>
                  </w:pPr>
                  <w:r>
                    <w:rPr>
                      <w:szCs w:val="21"/>
                    </w:rPr>
                    <w:t>纬度</w:t>
                  </w:r>
                </w:p>
              </w:tc>
              <w:tc>
                <w:tcPr>
                  <w:tcW w:w="992" w:type="dxa"/>
                  <w:vMerge w:val="continue"/>
                  <w:vAlign w:val="center"/>
                </w:tcPr>
                <w:p w14:paraId="47FF4DD5">
                  <w:pPr>
                    <w:adjustRightInd w:val="0"/>
                    <w:snapToGrid w:val="0"/>
                    <w:jc w:val="center"/>
                    <w:rPr>
                      <w:szCs w:val="21"/>
                    </w:rPr>
                  </w:pPr>
                </w:p>
              </w:tc>
              <w:tc>
                <w:tcPr>
                  <w:tcW w:w="993" w:type="dxa"/>
                  <w:vMerge w:val="continue"/>
                  <w:vAlign w:val="center"/>
                </w:tcPr>
                <w:p w14:paraId="4812FCEA">
                  <w:pPr>
                    <w:adjustRightInd w:val="0"/>
                    <w:snapToGrid w:val="0"/>
                    <w:jc w:val="center"/>
                    <w:rPr>
                      <w:szCs w:val="21"/>
                    </w:rPr>
                  </w:pPr>
                </w:p>
              </w:tc>
              <w:tc>
                <w:tcPr>
                  <w:tcW w:w="993" w:type="dxa"/>
                  <w:vMerge w:val="continue"/>
                  <w:vAlign w:val="center"/>
                </w:tcPr>
                <w:p w14:paraId="357330E4">
                  <w:pPr>
                    <w:adjustRightInd w:val="0"/>
                    <w:snapToGrid w:val="0"/>
                    <w:jc w:val="center"/>
                    <w:rPr>
                      <w:szCs w:val="21"/>
                    </w:rPr>
                  </w:pPr>
                </w:p>
              </w:tc>
            </w:tr>
            <w:tr w14:paraId="6DA1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0" w:type="dxa"/>
                  <w:vMerge w:val="restart"/>
                  <w:vAlign w:val="center"/>
                </w:tcPr>
                <w:p w14:paraId="35DCE2B0">
                  <w:pPr>
                    <w:adjustRightInd w:val="0"/>
                    <w:snapToGrid w:val="0"/>
                    <w:jc w:val="center"/>
                    <w:rPr>
                      <w:szCs w:val="21"/>
                    </w:rPr>
                  </w:pPr>
                  <w:r>
                    <w:rPr>
                      <w:rFonts w:hint="eastAsia"/>
                      <w:szCs w:val="21"/>
                    </w:rPr>
                    <w:t>有组织</w:t>
                  </w:r>
                </w:p>
              </w:tc>
              <w:tc>
                <w:tcPr>
                  <w:tcW w:w="1425" w:type="dxa"/>
                  <w:shd w:val="clear" w:color="auto" w:fill="auto"/>
                  <w:vAlign w:val="center"/>
                </w:tcPr>
                <w:p w14:paraId="74D98939">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DA303（</w:t>
                  </w:r>
                  <w:r>
                    <w:rPr>
                      <w:rFonts w:hint="eastAsia"/>
                      <w:b w:val="0"/>
                      <w:bCs w:val="0"/>
                      <w:sz w:val="21"/>
                      <w:szCs w:val="21"/>
                    </w:rPr>
                    <w:t>配料</w:t>
                  </w:r>
                  <w:r>
                    <w:rPr>
                      <w:rFonts w:hint="eastAsia"/>
                      <w:b w:val="0"/>
                      <w:bCs w:val="0"/>
                      <w:sz w:val="21"/>
                      <w:szCs w:val="21"/>
                      <w:lang w:eastAsia="zh-CN"/>
                    </w:rPr>
                    <w:t>、</w:t>
                  </w:r>
                  <w:r>
                    <w:rPr>
                      <w:rFonts w:hint="eastAsia"/>
                      <w:b w:val="0"/>
                      <w:bCs w:val="0"/>
                      <w:sz w:val="21"/>
                      <w:szCs w:val="21"/>
                      <w:lang w:val="en-US" w:eastAsia="zh-CN"/>
                    </w:rPr>
                    <w:t>窑头窑尾废气排气筒</w:t>
                  </w:r>
                  <w:r>
                    <w:rPr>
                      <w:rFonts w:hint="eastAsia"/>
                      <w:szCs w:val="21"/>
                      <w:lang w:val="en-US" w:eastAsia="zh-CN"/>
                    </w:rPr>
                    <w:t>）</w:t>
                  </w:r>
                </w:p>
              </w:tc>
              <w:tc>
                <w:tcPr>
                  <w:tcW w:w="729" w:type="dxa"/>
                  <w:shd w:val="clear" w:color="auto" w:fill="auto"/>
                  <w:vAlign w:val="center"/>
                </w:tcPr>
                <w:p w14:paraId="62BE138B">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PM</w:t>
                  </w:r>
                  <w:r>
                    <w:rPr>
                      <w:rFonts w:hint="eastAsia"/>
                      <w:szCs w:val="21"/>
                      <w:vertAlign w:val="subscript"/>
                    </w:rPr>
                    <w:t>10</w:t>
                  </w:r>
                </w:p>
              </w:tc>
              <w:tc>
                <w:tcPr>
                  <w:tcW w:w="992" w:type="dxa"/>
                  <w:shd w:val="clear" w:color="auto" w:fill="auto"/>
                  <w:vAlign w:val="center"/>
                </w:tcPr>
                <w:p w14:paraId="6D2415BA">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108.408123</w:t>
                  </w:r>
                </w:p>
              </w:tc>
              <w:tc>
                <w:tcPr>
                  <w:tcW w:w="992" w:type="dxa"/>
                  <w:shd w:val="clear" w:color="auto" w:fill="auto"/>
                  <w:vAlign w:val="center"/>
                </w:tcPr>
                <w:p w14:paraId="6D096882">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21.680933</w:t>
                  </w:r>
                </w:p>
              </w:tc>
              <w:tc>
                <w:tcPr>
                  <w:tcW w:w="992" w:type="dxa"/>
                  <w:shd w:val="clear" w:color="auto" w:fill="auto"/>
                  <w:vAlign w:val="center"/>
                </w:tcPr>
                <w:p w14:paraId="65154E49">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26</w:t>
                  </w:r>
                </w:p>
              </w:tc>
              <w:tc>
                <w:tcPr>
                  <w:tcW w:w="993" w:type="dxa"/>
                  <w:shd w:val="clear" w:color="auto" w:fill="auto"/>
                  <w:vAlign w:val="center"/>
                </w:tcPr>
                <w:p w14:paraId="766DC3B3">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1.9</w:t>
                  </w:r>
                </w:p>
              </w:tc>
              <w:tc>
                <w:tcPr>
                  <w:tcW w:w="993" w:type="dxa"/>
                  <w:shd w:val="clear" w:color="auto" w:fill="auto"/>
                  <w:vAlign w:val="center"/>
                </w:tcPr>
                <w:p w14:paraId="723C0B0B">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Cs w:val="21"/>
                      <w:lang w:val="en-US" w:eastAsia="zh-CN"/>
                    </w:rPr>
                    <w:t>25</w:t>
                  </w:r>
                </w:p>
              </w:tc>
            </w:tr>
            <w:tr w14:paraId="309E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0" w:type="dxa"/>
                  <w:vMerge w:val="continue"/>
                  <w:vAlign w:val="center"/>
                </w:tcPr>
                <w:p w14:paraId="4D2ABE5E">
                  <w:pPr>
                    <w:adjustRightInd w:val="0"/>
                    <w:snapToGrid w:val="0"/>
                    <w:jc w:val="center"/>
                    <w:rPr>
                      <w:szCs w:val="21"/>
                    </w:rPr>
                  </w:pPr>
                </w:p>
              </w:tc>
              <w:tc>
                <w:tcPr>
                  <w:tcW w:w="1425" w:type="dxa"/>
                  <w:shd w:val="clear" w:color="auto" w:fill="auto"/>
                  <w:vAlign w:val="center"/>
                </w:tcPr>
                <w:p w14:paraId="0CA688FC">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DA304（回转窑烟气排气筒）</w:t>
                  </w:r>
                </w:p>
              </w:tc>
              <w:tc>
                <w:tcPr>
                  <w:tcW w:w="729" w:type="dxa"/>
                  <w:shd w:val="clear" w:color="auto" w:fill="auto"/>
                  <w:vAlign w:val="center"/>
                </w:tcPr>
                <w:p w14:paraId="7896D66E">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rPr>
                    <w:t>PM</w:t>
                  </w:r>
                  <w:r>
                    <w:rPr>
                      <w:rFonts w:hint="eastAsia"/>
                      <w:szCs w:val="21"/>
                      <w:vertAlign w:val="subscript"/>
                    </w:rPr>
                    <w:t>10</w:t>
                  </w:r>
                  <w:r>
                    <w:rPr>
                      <w:rFonts w:hint="eastAsia"/>
                      <w:szCs w:val="21"/>
                    </w:rPr>
                    <w:t>、SO</w:t>
                  </w:r>
                  <w:r>
                    <w:rPr>
                      <w:rFonts w:hint="eastAsia"/>
                      <w:szCs w:val="21"/>
                      <w:vertAlign w:val="subscript"/>
                    </w:rPr>
                    <w:t>2</w:t>
                  </w:r>
                  <w:r>
                    <w:rPr>
                      <w:rFonts w:hint="eastAsia"/>
                      <w:szCs w:val="21"/>
                    </w:rPr>
                    <w:t>、NO</w:t>
                  </w:r>
                  <w:r>
                    <w:rPr>
                      <w:rFonts w:hint="eastAsia"/>
                      <w:szCs w:val="21"/>
                      <w:vertAlign w:val="subscript"/>
                    </w:rPr>
                    <w:t>X</w:t>
                  </w:r>
                  <w:r>
                    <w:rPr>
                      <w:rFonts w:hint="eastAsia"/>
                      <w:szCs w:val="21"/>
                      <w:vertAlign w:val="baseline"/>
                      <w:lang w:eastAsia="zh-CN"/>
                    </w:rPr>
                    <w:t>、</w:t>
                  </w:r>
                  <w:r>
                    <w:rPr>
                      <w:rFonts w:hint="eastAsia"/>
                      <w:szCs w:val="21"/>
                      <w:vertAlign w:val="baseline"/>
                      <w:lang w:val="en-US" w:eastAsia="zh-CN"/>
                    </w:rPr>
                    <w:t>氟化物</w:t>
                  </w:r>
                </w:p>
              </w:tc>
              <w:tc>
                <w:tcPr>
                  <w:tcW w:w="992" w:type="dxa"/>
                  <w:shd w:val="clear" w:color="auto" w:fill="auto"/>
                  <w:vAlign w:val="center"/>
                </w:tcPr>
                <w:p w14:paraId="78BE7F67">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108.407592</w:t>
                  </w:r>
                </w:p>
              </w:tc>
              <w:tc>
                <w:tcPr>
                  <w:tcW w:w="992" w:type="dxa"/>
                  <w:shd w:val="clear" w:color="auto" w:fill="auto"/>
                  <w:vAlign w:val="center"/>
                </w:tcPr>
                <w:p w14:paraId="6D9E95C7">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21.679752</w:t>
                  </w:r>
                </w:p>
              </w:tc>
              <w:tc>
                <w:tcPr>
                  <w:tcW w:w="992" w:type="dxa"/>
                  <w:shd w:val="clear" w:color="auto" w:fill="auto"/>
                  <w:vAlign w:val="center"/>
                </w:tcPr>
                <w:p w14:paraId="2E642A58">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32</w:t>
                  </w:r>
                </w:p>
              </w:tc>
              <w:tc>
                <w:tcPr>
                  <w:tcW w:w="993" w:type="dxa"/>
                  <w:shd w:val="clear" w:color="auto" w:fill="auto"/>
                  <w:vAlign w:val="center"/>
                </w:tcPr>
                <w:p w14:paraId="3DAF70D4">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2.2</w:t>
                  </w:r>
                </w:p>
              </w:tc>
              <w:tc>
                <w:tcPr>
                  <w:tcW w:w="993" w:type="dxa"/>
                  <w:shd w:val="clear" w:color="auto" w:fill="auto"/>
                  <w:vAlign w:val="center"/>
                </w:tcPr>
                <w:p w14:paraId="0892BC45">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80</w:t>
                  </w:r>
                </w:p>
              </w:tc>
            </w:tr>
          </w:tbl>
          <w:p w14:paraId="43935745">
            <w:pPr>
              <w:spacing w:line="500" w:lineRule="exact"/>
              <w:ind w:firstLine="482" w:firstLineChars="200"/>
              <w:rPr>
                <w:b/>
                <w:kern w:val="0"/>
                <w:sz w:val="24"/>
              </w:rPr>
            </w:pPr>
            <w:r>
              <w:rPr>
                <w:rFonts w:hint="eastAsia"/>
                <w:b/>
                <w:kern w:val="0"/>
                <w:sz w:val="24"/>
                <w:lang w:val="en-US" w:eastAsia="zh-CN"/>
              </w:rPr>
              <w:t>7</w:t>
            </w:r>
            <w:r>
              <w:rPr>
                <w:rFonts w:hint="eastAsia"/>
                <w:b/>
                <w:kern w:val="0"/>
                <w:sz w:val="24"/>
              </w:rPr>
              <w:t>、自行监测要求</w:t>
            </w:r>
          </w:p>
          <w:p w14:paraId="79056565">
            <w:pPr>
              <w:spacing w:line="500" w:lineRule="exact"/>
              <w:ind w:firstLine="360" w:firstLineChars="150"/>
              <w:rPr>
                <w:rFonts w:hint="default" w:eastAsia="宋体"/>
                <w:kern w:val="0"/>
                <w:sz w:val="24"/>
                <w:lang w:val="en-US" w:eastAsia="zh-CN"/>
              </w:rPr>
            </w:pPr>
            <w:r>
              <w:rPr>
                <w:rFonts w:hint="eastAsia"/>
                <w:kern w:val="0"/>
                <w:sz w:val="24"/>
              </w:rPr>
              <w:t>根据《排污单位自行监测技术指南 总则》（HJ 819-2017）</w:t>
            </w:r>
            <w:r>
              <w:rPr>
                <w:rFonts w:hint="eastAsia"/>
                <w:kern w:val="0"/>
                <w:sz w:val="24"/>
                <w:lang w:eastAsia="zh-CN"/>
              </w:rPr>
              <w:t>、《排污许可证申请与核发技术规范 无机化学工业》（HJ1035-2019）</w:t>
            </w:r>
            <w:r>
              <w:rPr>
                <w:rFonts w:hint="eastAsia"/>
                <w:kern w:val="0"/>
                <w:sz w:val="24"/>
              </w:rPr>
              <w:t>，企业现有</w:t>
            </w:r>
            <w:r>
              <w:rPr>
                <w:rFonts w:hint="eastAsia"/>
                <w:kern w:val="0"/>
                <w:sz w:val="24"/>
                <w:lang w:val="en-US" w:eastAsia="zh-CN"/>
              </w:rPr>
              <w:t>无组织</w:t>
            </w:r>
            <w:r>
              <w:rPr>
                <w:rFonts w:hint="eastAsia"/>
                <w:kern w:val="0"/>
                <w:sz w:val="24"/>
              </w:rPr>
              <w:t>废气自行监测计划已满足本项目</w:t>
            </w:r>
            <w:r>
              <w:rPr>
                <w:rFonts w:hint="eastAsia"/>
                <w:kern w:val="0"/>
                <w:sz w:val="24"/>
                <w:lang w:val="en-US" w:eastAsia="zh-CN"/>
              </w:rPr>
              <w:t>无组织</w:t>
            </w:r>
            <w:r>
              <w:rPr>
                <w:rFonts w:hint="eastAsia"/>
                <w:kern w:val="0"/>
                <w:sz w:val="24"/>
              </w:rPr>
              <w:t>废气监测要求，无需增加</w:t>
            </w:r>
            <w:r>
              <w:rPr>
                <w:rFonts w:hint="eastAsia"/>
                <w:kern w:val="0"/>
                <w:sz w:val="24"/>
                <w:lang w:val="en-US" w:eastAsia="zh-CN"/>
              </w:rPr>
              <w:t>无组织</w:t>
            </w:r>
            <w:r>
              <w:rPr>
                <w:rFonts w:hint="eastAsia"/>
                <w:kern w:val="0"/>
                <w:sz w:val="24"/>
              </w:rPr>
              <w:t>废气自行监测计划</w:t>
            </w:r>
            <w:r>
              <w:rPr>
                <w:rFonts w:hint="eastAsia"/>
                <w:kern w:val="0"/>
                <w:sz w:val="24"/>
                <w:lang w:eastAsia="zh-CN"/>
              </w:rPr>
              <w:t>，</w:t>
            </w:r>
            <w:r>
              <w:rPr>
                <w:rFonts w:hint="eastAsia"/>
                <w:kern w:val="0"/>
                <w:sz w:val="24"/>
                <w:lang w:val="en-US" w:eastAsia="zh-CN"/>
              </w:rPr>
              <w:t>本</w:t>
            </w:r>
            <w:r>
              <w:rPr>
                <w:rFonts w:hint="eastAsia"/>
                <w:kern w:val="0"/>
                <w:sz w:val="24"/>
              </w:rPr>
              <w:t>项目</w:t>
            </w:r>
            <w:r>
              <w:rPr>
                <w:rFonts w:hint="eastAsia"/>
                <w:kern w:val="0"/>
                <w:sz w:val="24"/>
                <w:lang w:val="en-US" w:eastAsia="zh-CN"/>
              </w:rPr>
              <w:t>有组织</w:t>
            </w:r>
            <w:r>
              <w:rPr>
                <w:rFonts w:hint="eastAsia"/>
                <w:kern w:val="0"/>
                <w:sz w:val="24"/>
              </w:rPr>
              <w:t>废气监测计划见表4-</w:t>
            </w:r>
            <w:r>
              <w:rPr>
                <w:rFonts w:hint="eastAsia"/>
                <w:kern w:val="0"/>
                <w:sz w:val="24"/>
                <w:lang w:val="en-US" w:eastAsia="zh-CN"/>
              </w:rPr>
              <w:t>11</w:t>
            </w:r>
            <w:r>
              <w:rPr>
                <w:rFonts w:hint="eastAsia"/>
                <w:kern w:val="0"/>
                <w:sz w:val="24"/>
              </w:rPr>
              <w:t>。</w:t>
            </w:r>
          </w:p>
          <w:p w14:paraId="44D49A00">
            <w:pPr>
              <w:pStyle w:val="48"/>
              <w:numPr>
                <w:ilvl w:val="2"/>
                <w:numId w:val="4"/>
              </w:numPr>
              <w:spacing w:line="500" w:lineRule="atLeast"/>
              <w:ind w:firstLineChars="0"/>
              <w:jc w:val="center"/>
              <w:rPr>
                <w:b/>
                <w:sz w:val="24"/>
              </w:rPr>
            </w:pPr>
            <w:r>
              <w:rPr>
                <w:b/>
                <w:sz w:val="24"/>
              </w:rPr>
              <w:t>项目废气监测计划一览表</w:t>
            </w:r>
          </w:p>
          <w:tbl>
            <w:tblPr>
              <w:tblStyle w:val="24"/>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34"/>
              <w:gridCol w:w="1275"/>
              <w:gridCol w:w="1134"/>
              <w:gridCol w:w="3544"/>
            </w:tblGrid>
            <w:tr w14:paraId="37BA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dxa"/>
                  <w:vAlign w:val="center"/>
                </w:tcPr>
                <w:p w14:paraId="25D2DA75">
                  <w:pPr>
                    <w:adjustRightInd w:val="0"/>
                    <w:snapToGrid w:val="0"/>
                    <w:jc w:val="center"/>
                    <w:rPr>
                      <w:szCs w:val="21"/>
                    </w:rPr>
                  </w:pPr>
                  <w:r>
                    <w:rPr>
                      <w:szCs w:val="21"/>
                    </w:rPr>
                    <w:t>项目</w:t>
                  </w:r>
                </w:p>
              </w:tc>
              <w:tc>
                <w:tcPr>
                  <w:tcW w:w="1134" w:type="dxa"/>
                  <w:vAlign w:val="center"/>
                </w:tcPr>
                <w:p w14:paraId="4ABF34E9">
                  <w:pPr>
                    <w:adjustRightInd w:val="0"/>
                    <w:snapToGrid w:val="0"/>
                    <w:jc w:val="center"/>
                    <w:rPr>
                      <w:szCs w:val="21"/>
                    </w:rPr>
                  </w:pPr>
                  <w:r>
                    <w:rPr>
                      <w:szCs w:val="21"/>
                    </w:rPr>
                    <w:t>监测点位</w:t>
                  </w:r>
                </w:p>
              </w:tc>
              <w:tc>
                <w:tcPr>
                  <w:tcW w:w="1275" w:type="dxa"/>
                  <w:vAlign w:val="center"/>
                </w:tcPr>
                <w:p w14:paraId="38CDE062">
                  <w:pPr>
                    <w:adjustRightInd w:val="0"/>
                    <w:snapToGrid w:val="0"/>
                    <w:jc w:val="center"/>
                    <w:rPr>
                      <w:szCs w:val="21"/>
                    </w:rPr>
                  </w:pPr>
                  <w:r>
                    <w:rPr>
                      <w:szCs w:val="21"/>
                    </w:rPr>
                    <w:t>监测因子</w:t>
                  </w:r>
                </w:p>
              </w:tc>
              <w:tc>
                <w:tcPr>
                  <w:tcW w:w="1134" w:type="dxa"/>
                  <w:vAlign w:val="center"/>
                </w:tcPr>
                <w:p w14:paraId="48A5E0CA">
                  <w:pPr>
                    <w:adjustRightInd w:val="0"/>
                    <w:snapToGrid w:val="0"/>
                    <w:jc w:val="center"/>
                    <w:rPr>
                      <w:szCs w:val="21"/>
                    </w:rPr>
                  </w:pPr>
                  <w:r>
                    <w:rPr>
                      <w:szCs w:val="21"/>
                    </w:rPr>
                    <w:t>监测频率</w:t>
                  </w:r>
                </w:p>
              </w:tc>
              <w:tc>
                <w:tcPr>
                  <w:tcW w:w="3544" w:type="dxa"/>
                  <w:vAlign w:val="center"/>
                </w:tcPr>
                <w:p w14:paraId="46CFF8D3">
                  <w:pPr>
                    <w:adjustRightInd w:val="0"/>
                    <w:snapToGrid w:val="0"/>
                    <w:jc w:val="center"/>
                    <w:rPr>
                      <w:szCs w:val="21"/>
                    </w:rPr>
                  </w:pPr>
                  <w:r>
                    <w:rPr>
                      <w:szCs w:val="21"/>
                    </w:rPr>
                    <w:t>执行标准</w:t>
                  </w:r>
                </w:p>
              </w:tc>
            </w:tr>
            <w:tr w14:paraId="40DE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dxa"/>
                  <w:vMerge w:val="restart"/>
                  <w:vAlign w:val="center"/>
                </w:tcPr>
                <w:p w14:paraId="7F24A70F">
                  <w:pPr>
                    <w:adjustRightInd w:val="0"/>
                    <w:snapToGrid w:val="0"/>
                    <w:jc w:val="center"/>
                    <w:rPr>
                      <w:szCs w:val="21"/>
                    </w:rPr>
                  </w:pPr>
                  <w:r>
                    <w:rPr>
                      <w:rFonts w:hint="eastAsia"/>
                      <w:szCs w:val="21"/>
                    </w:rPr>
                    <w:t>有组织废气监测</w:t>
                  </w:r>
                </w:p>
              </w:tc>
              <w:tc>
                <w:tcPr>
                  <w:tcW w:w="1134" w:type="dxa"/>
                  <w:vAlign w:val="center"/>
                </w:tcPr>
                <w:p w14:paraId="3F342980">
                  <w:pPr>
                    <w:jc w:val="center"/>
                    <w:rPr>
                      <w:rFonts w:cs="宋体"/>
                      <w:color w:val="000000"/>
                      <w:szCs w:val="21"/>
                    </w:rPr>
                  </w:pPr>
                  <w:r>
                    <w:rPr>
                      <w:rFonts w:hint="eastAsia" w:cs="宋体"/>
                      <w:color w:val="000000"/>
                      <w:szCs w:val="21"/>
                      <w:lang w:val="en-US" w:eastAsia="zh-CN"/>
                    </w:rPr>
                    <w:t>1#</w:t>
                  </w:r>
                  <w:r>
                    <w:rPr>
                      <w:rFonts w:hint="eastAsia" w:cs="宋体"/>
                      <w:color w:val="000000"/>
                      <w:szCs w:val="21"/>
                    </w:rPr>
                    <w:t>排气筒</w:t>
                  </w:r>
                </w:p>
              </w:tc>
              <w:tc>
                <w:tcPr>
                  <w:tcW w:w="1275" w:type="dxa"/>
                  <w:vAlign w:val="center"/>
                </w:tcPr>
                <w:p w14:paraId="3C6252E9">
                  <w:pPr>
                    <w:jc w:val="center"/>
                    <w:rPr>
                      <w:rFonts w:cs="宋体"/>
                      <w:color w:val="000000"/>
                      <w:szCs w:val="21"/>
                    </w:rPr>
                  </w:pPr>
                  <w:r>
                    <w:rPr>
                      <w:rFonts w:hint="eastAsia" w:cs="宋体"/>
                      <w:color w:val="000000"/>
                      <w:szCs w:val="21"/>
                    </w:rPr>
                    <w:t>PM</w:t>
                  </w:r>
                  <w:r>
                    <w:rPr>
                      <w:rFonts w:hint="eastAsia" w:cs="宋体"/>
                      <w:color w:val="000000"/>
                      <w:szCs w:val="21"/>
                      <w:vertAlign w:val="subscript"/>
                    </w:rPr>
                    <w:t>10</w:t>
                  </w:r>
                </w:p>
              </w:tc>
              <w:tc>
                <w:tcPr>
                  <w:tcW w:w="1134" w:type="dxa"/>
                  <w:vAlign w:val="center"/>
                </w:tcPr>
                <w:p w14:paraId="142FAD03">
                  <w:pPr>
                    <w:adjustRightInd w:val="0"/>
                    <w:snapToGrid w:val="0"/>
                    <w:jc w:val="center"/>
                    <w:rPr>
                      <w:szCs w:val="21"/>
                    </w:rPr>
                  </w:pPr>
                  <w:r>
                    <w:rPr>
                      <w:rFonts w:hint="eastAsia"/>
                      <w:szCs w:val="21"/>
                    </w:rPr>
                    <w:t>1次/</w:t>
                  </w:r>
                  <w:r>
                    <w:rPr>
                      <w:rFonts w:hint="eastAsia"/>
                      <w:szCs w:val="21"/>
                      <w:lang w:val="en-US" w:eastAsia="zh-CN"/>
                    </w:rPr>
                    <w:t>季度</w:t>
                  </w:r>
                </w:p>
              </w:tc>
              <w:tc>
                <w:tcPr>
                  <w:tcW w:w="3544" w:type="dxa"/>
                  <w:vAlign w:val="center"/>
                </w:tcPr>
                <w:p w14:paraId="1E2B7F27">
                  <w:pPr>
                    <w:adjustRightInd w:val="0"/>
                    <w:snapToGrid w:val="0"/>
                    <w:jc w:val="center"/>
                    <w:rPr>
                      <w:szCs w:val="21"/>
                    </w:rPr>
                  </w:pPr>
                  <w:r>
                    <w:rPr>
                      <w:rFonts w:hint="eastAsia"/>
                      <w:szCs w:val="21"/>
                    </w:rPr>
                    <w:t>《大气污染物综合排放标准》（GB16297-1996）</w:t>
                  </w:r>
                </w:p>
              </w:tc>
            </w:tr>
            <w:tr w14:paraId="0192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dxa"/>
                  <w:vMerge w:val="continue"/>
                  <w:vAlign w:val="center"/>
                </w:tcPr>
                <w:p w14:paraId="65E2AF3A">
                  <w:pPr>
                    <w:adjustRightInd w:val="0"/>
                    <w:snapToGrid w:val="0"/>
                    <w:jc w:val="center"/>
                    <w:rPr>
                      <w:szCs w:val="21"/>
                    </w:rPr>
                  </w:pPr>
                </w:p>
              </w:tc>
              <w:tc>
                <w:tcPr>
                  <w:tcW w:w="1134" w:type="dxa"/>
                  <w:vMerge w:val="restart"/>
                  <w:vAlign w:val="center"/>
                </w:tcPr>
                <w:p w14:paraId="4C16AB8D">
                  <w:pPr>
                    <w:jc w:val="center"/>
                    <w:rPr>
                      <w:rFonts w:cs="宋体"/>
                      <w:color w:val="000000"/>
                      <w:szCs w:val="21"/>
                    </w:rPr>
                  </w:pPr>
                  <w:r>
                    <w:rPr>
                      <w:rFonts w:hint="eastAsia" w:cs="宋体"/>
                      <w:color w:val="000000"/>
                      <w:szCs w:val="21"/>
                      <w:lang w:val="en-US" w:eastAsia="zh-CN"/>
                    </w:rPr>
                    <w:t>2#</w:t>
                  </w:r>
                  <w:r>
                    <w:rPr>
                      <w:rFonts w:hint="eastAsia" w:cs="宋体"/>
                      <w:color w:val="000000"/>
                      <w:szCs w:val="21"/>
                    </w:rPr>
                    <w:t>排气筒</w:t>
                  </w:r>
                </w:p>
              </w:tc>
              <w:tc>
                <w:tcPr>
                  <w:tcW w:w="1275" w:type="dxa"/>
                  <w:vAlign w:val="center"/>
                </w:tcPr>
                <w:p w14:paraId="6E581003">
                  <w:pPr>
                    <w:jc w:val="center"/>
                    <w:rPr>
                      <w:rFonts w:hint="eastAsia" w:eastAsia="宋体" w:cs="宋体"/>
                      <w:color w:val="000000"/>
                      <w:szCs w:val="21"/>
                      <w:lang w:eastAsia="zh-CN"/>
                    </w:rPr>
                  </w:pPr>
                  <w:r>
                    <w:rPr>
                      <w:rFonts w:hint="eastAsia"/>
                      <w:szCs w:val="21"/>
                    </w:rPr>
                    <w:t>PM</w:t>
                  </w:r>
                  <w:r>
                    <w:rPr>
                      <w:rFonts w:hint="eastAsia"/>
                      <w:szCs w:val="21"/>
                      <w:vertAlign w:val="subscript"/>
                    </w:rPr>
                    <w:t>10</w:t>
                  </w:r>
                  <w:r>
                    <w:rPr>
                      <w:rFonts w:hint="eastAsia"/>
                      <w:szCs w:val="21"/>
                      <w:vertAlign w:val="baseline"/>
                      <w:lang w:eastAsia="zh-CN"/>
                    </w:rPr>
                    <w:t>、</w:t>
                  </w:r>
                  <w:r>
                    <w:rPr>
                      <w:rFonts w:hint="eastAsia"/>
                      <w:szCs w:val="21"/>
                    </w:rPr>
                    <w:t>SO</w:t>
                  </w:r>
                  <w:r>
                    <w:rPr>
                      <w:rFonts w:hint="eastAsia"/>
                      <w:szCs w:val="21"/>
                      <w:vertAlign w:val="subscript"/>
                    </w:rPr>
                    <w:t>2</w:t>
                  </w:r>
                  <w:r>
                    <w:rPr>
                      <w:rFonts w:hint="eastAsia"/>
                      <w:szCs w:val="21"/>
                    </w:rPr>
                    <w:t>、NO</w:t>
                  </w:r>
                  <w:r>
                    <w:rPr>
                      <w:rFonts w:hint="eastAsia"/>
                      <w:szCs w:val="21"/>
                      <w:vertAlign w:val="subscript"/>
                    </w:rPr>
                    <w:t>X</w:t>
                  </w:r>
                </w:p>
              </w:tc>
              <w:tc>
                <w:tcPr>
                  <w:tcW w:w="1134" w:type="dxa"/>
                  <w:vAlign w:val="center"/>
                </w:tcPr>
                <w:p w14:paraId="22F133C1">
                  <w:pPr>
                    <w:adjustRightInd w:val="0"/>
                    <w:snapToGrid w:val="0"/>
                    <w:jc w:val="center"/>
                    <w:rPr>
                      <w:rFonts w:hint="default" w:eastAsia="宋体"/>
                      <w:szCs w:val="21"/>
                      <w:lang w:val="en-US" w:eastAsia="zh-CN"/>
                    </w:rPr>
                  </w:pPr>
                  <w:r>
                    <w:rPr>
                      <w:rFonts w:hint="eastAsia"/>
                      <w:szCs w:val="21"/>
                      <w:lang w:val="en-US" w:eastAsia="zh-CN"/>
                    </w:rPr>
                    <w:t>在线监测</w:t>
                  </w:r>
                </w:p>
              </w:tc>
              <w:tc>
                <w:tcPr>
                  <w:tcW w:w="3544" w:type="dxa"/>
                  <w:vMerge w:val="restart"/>
                  <w:vAlign w:val="center"/>
                </w:tcPr>
                <w:p w14:paraId="7BC646F6">
                  <w:pPr>
                    <w:adjustRightInd w:val="0"/>
                    <w:snapToGrid w:val="0"/>
                    <w:jc w:val="center"/>
                    <w:rPr>
                      <w:szCs w:val="21"/>
                    </w:rPr>
                  </w:pPr>
                  <w:r>
                    <w:rPr>
                      <w:rFonts w:hint="eastAsia"/>
                      <w:sz w:val="21"/>
                      <w:szCs w:val="21"/>
                      <w:lang w:val="en-US" w:eastAsia="zh-CN"/>
                    </w:rPr>
                    <w:t>《无机化学工业污染物排放标准》（GB31573-2015）</w:t>
                  </w:r>
                </w:p>
              </w:tc>
            </w:tr>
            <w:tr w14:paraId="484B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dxa"/>
                  <w:vMerge w:val="continue"/>
                  <w:vAlign w:val="center"/>
                </w:tcPr>
                <w:p w14:paraId="054BE66C">
                  <w:pPr>
                    <w:adjustRightInd w:val="0"/>
                    <w:snapToGrid w:val="0"/>
                    <w:jc w:val="center"/>
                    <w:rPr>
                      <w:szCs w:val="21"/>
                    </w:rPr>
                  </w:pPr>
                </w:p>
              </w:tc>
              <w:tc>
                <w:tcPr>
                  <w:tcW w:w="1134" w:type="dxa"/>
                  <w:vMerge w:val="continue"/>
                  <w:vAlign w:val="center"/>
                </w:tcPr>
                <w:p w14:paraId="5139131C">
                  <w:pPr>
                    <w:jc w:val="center"/>
                    <w:rPr>
                      <w:rFonts w:hint="eastAsia" w:cs="宋体"/>
                      <w:color w:val="000000"/>
                      <w:szCs w:val="21"/>
                      <w:lang w:val="en-US" w:eastAsia="zh-CN"/>
                    </w:rPr>
                  </w:pPr>
                </w:p>
              </w:tc>
              <w:tc>
                <w:tcPr>
                  <w:tcW w:w="1275" w:type="dxa"/>
                  <w:vAlign w:val="center"/>
                </w:tcPr>
                <w:p w14:paraId="12104CD0">
                  <w:pPr>
                    <w:jc w:val="center"/>
                    <w:rPr>
                      <w:rFonts w:hint="eastAsia" w:eastAsia="宋体"/>
                      <w:szCs w:val="21"/>
                      <w:lang w:val="en-US" w:eastAsia="zh-CN"/>
                    </w:rPr>
                  </w:pPr>
                  <w:r>
                    <w:rPr>
                      <w:rFonts w:hint="eastAsia"/>
                      <w:szCs w:val="21"/>
                      <w:lang w:val="en-US" w:eastAsia="zh-CN"/>
                    </w:rPr>
                    <w:t>氟化物</w:t>
                  </w:r>
                </w:p>
              </w:tc>
              <w:tc>
                <w:tcPr>
                  <w:tcW w:w="1134" w:type="dxa"/>
                  <w:vAlign w:val="center"/>
                </w:tcPr>
                <w:p w14:paraId="1DF5E754">
                  <w:pPr>
                    <w:adjustRightInd w:val="0"/>
                    <w:snapToGrid w:val="0"/>
                    <w:jc w:val="center"/>
                    <w:rPr>
                      <w:rFonts w:hint="eastAsia"/>
                      <w:szCs w:val="21"/>
                    </w:rPr>
                  </w:pPr>
                  <w:r>
                    <w:rPr>
                      <w:rFonts w:hint="eastAsia"/>
                      <w:szCs w:val="21"/>
                    </w:rPr>
                    <w:t>1次/</w:t>
                  </w:r>
                  <w:r>
                    <w:rPr>
                      <w:rFonts w:hint="eastAsia"/>
                      <w:szCs w:val="21"/>
                      <w:lang w:val="en-US" w:eastAsia="zh-CN"/>
                    </w:rPr>
                    <w:t>季度</w:t>
                  </w:r>
                </w:p>
              </w:tc>
              <w:tc>
                <w:tcPr>
                  <w:tcW w:w="3544" w:type="dxa"/>
                  <w:vMerge w:val="continue"/>
                  <w:vAlign w:val="center"/>
                </w:tcPr>
                <w:p w14:paraId="09FFDB77">
                  <w:pPr>
                    <w:adjustRightInd w:val="0"/>
                    <w:snapToGrid w:val="0"/>
                    <w:jc w:val="center"/>
                    <w:rPr>
                      <w:rFonts w:hint="eastAsia"/>
                      <w:sz w:val="21"/>
                      <w:szCs w:val="21"/>
                      <w:lang w:val="en-US" w:eastAsia="zh-CN"/>
                    </w:rPr>
                  </w:pPr>
                </w:p>
              </w:tc>
            </w:tr>
          </w:tbl>
          <w:p w14:paraId="62EEFDE4">
            <w:pPr>
              <w:spacing w:line="500" w:lineRule="exact"/>
              <w:ind w:firstLine="361" w:firstLineChars="150"/>
              <w:rPr>
                <w:b/>
                <w:kern w:val="0"/>
                <w:sz w:val="24"/>
              </w:rPr>
            </w:pPr>
            <w:r>
              <w:rPr>
                <w:rFonts w:hint="eastAsia"/>
                <w:b/>
                <w:kern w:val="0"/>
                <w:sz w:val="24"/>
              </w:rPr>
              <w:t>（三）</w:t>
            </w:r>
            <w:r>
              <w:rPr>
                <w:b/>
                <w:kern w:val="0"/>
                <w:sz w:val="24"/>
              </w:rPr>
              <w:t>噪声</w:t>
            </w:r>
          </w:p>
          <w:p w14:paraId="77D0562E">
            <w:pPr>
              <w:spacing w:line="500" w:lineRule="exact"/>
              <w:ind w:firstLine="482"/>
              <w:rPr>
                <w:b/>
                <w:sz w:val="24"/>
              </w:rPr>
            </w:pPr>
            <w:r>
              <w:rPr>
                <w:rFonts w:hint="eastAsia"/>
                <w:b/>
                <w:sz w:val="24"/>
              </w:rPr>
              <w:t>（1）噪声源强及降噪措施</w:t>
            </w:r>
          </w:p>
          <w:p w14:paraId="5F7080FB">
            <w:pPr>
              <w:spacing w:line="500" w:lineRule="exact"/>
              <w:ind w:firstLine="482"/>
              <w:rPr>
                <w:rFonts w:hint="default" w:eastAsia="宋体"/>
                <w:sz w:val="24"/>
                <w:lang w:val="en-US" w:eastAsia="zh-CN"/>
              </w:rPr>
            </w:pPr>
            <w:r>
              <w:rPr>
                <w:rFonts w:hint="eastAsia"/>
                <w:sz w:val="24"/>
              </w:rPr>
              <w:t>项目的噪声污染源主要是机械设备运行产生的噪声，噪声源强</w:t>
            </w:r>
            <w:r>
              <w:rPr>
                <w:rFonts w:hint="eastAsia"/>
                <w:sz w:val="24"/>
                <w:lang w:val="en-US" w:eastAsia="zh-CN"/>
              </w:rPr>
              <w:t>参考</w:t>
            </w:r>
            <w:r>
              <w:rPr>
                <w:rFonts w:hint="eastAsia"/>
                <w:sz w:val="24"/>
              </w:rPr>
              <w:t>《污染源源强核算技术指南 钢铁工业》（HJ 885—2018）表G.1钢铁工业主要噪声源声压级一览表</w:t>
            </w:r>
            <w:r>
              <w:rPr>
                <w:rFonts w:hint="eastAsia"/>
                <w:sz w:val="24"/>
                <w:lang w:eastAsia="zh-CN"/>
              </w:rPr>
              <w:t>，各类设备噪声级见表</w:t>
            </w:r>
            <w:r>
              <w:rPr>
                <w:rFonts w:hint="eastAsia"/>
                <w:sz w:val="24"/>
                <w:lang w:val="en-US" w:eastAsia="zh-CN"/>
              </w:rPr>
              <w:t>4-12。</w:t>
            </w:r>
          </w:p>
          <w:p w14:paraId="5B29B639">
            <w:pPr>
              <w:pStyle w:val="48"/>
              <w:numPr>
                <w:ilvl w:val="2"/>
                <w:numId w:val="4"/>
              </w:numPr>
              <w:spacing w:line="500" w:lineRule="atLeast"/>
              <w:ind w:firstLineChars="0"/>
              <w:jc w:val="center"/>
              <w:rPr>
                <w:b/>
                <w:sz w:val="24"/>
              </w:rPr>
            </w:pPr>
            <w:r>
              <w:rPr>
                <w:rFonts w:hint="eastAsia"/>
                <w:b/>
                <w:sz w:val="24"/>
              </w:rPr>
              <w:t>项目主要噪声源强一览表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350"/>
              <w:gridCol w:w="758"/>
              <w:gridCol w:w="743"/>
              <w:gridCol w:w="1022"/>
              <w:gridCol w:w="882"/>
              <w:gridCol w:w="882"/>
              <w:gridCol w:w="882"/>
              <w:gridCol w:w="882"/>
            </w:tblGrid>
            <w:tr w14:paraId="28A8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5" w:type="dxa"/>
                  <w:vMerge w:val="restart"/>
                  <w:vAlign w:val="center"/>
                </w:tcPr>
                <w:p w14:paraId="57AD88C6">
                  <w:pPr>
                    <w:pStyle w:val="8"/>
                    <w:widowControl w:val="0"/>
                    <w:spacing w:before="0" w:after="0" w:line="240" w:lineRule="auto"/>
                    <w:ind w:right="0"/>
                    <w:jc w:val="center"/>
                    <w:rPr>
                      <w:color w:val="auto"/>
                      <w:sz w:val="21"/>
                      <w:szCs w:val="21"/>
                    </w:rPr>
                  </w:pPr>
                  <w:r>
                    <w:rPr>
                      <w:color w:val="auto"/>
                      <w:sz w:val="21"/>
                      <w:szCs w:val="21"/>
                    </w:rPr>
                    <w:t>序号</w:t>
                  </w:r>
                </w:p>
              </w:tc>
              <w:tc>
                <w:tcPr>
                  <w:tcW w:w="1350" w:type="dxa"/>
                  <w:vMerge w:val="restart"/>
                  <w:vAlign w:val="center"/>
                </w:tcPr>
                <w:p w14:paraId="706EC71B">
                  <w:pPr>
                    <w:pStyle w:val="8"/>
                    <w:widowControl w:val="0"/>
                    <w:spacing w:before="0" w:after="0" w:line="240" w:lineRule="auto"/>
                    <w:ind w:right="0"/>
                    <w:jc w:val="center"/>
                    <w:rPr>
                      <w:color w:val="auto"/>
                      <w:sz w:val="21"/>
                      <w:szCs w:val="21"/>
                    </w:rPr>
                  </w:pPr>
                  <w:r>
                    <w:rPr>
                      <w:color w:val="auto"/>
                      <w:sz w:val="21"/>
                      <w:szCs w:val="21"/>
                    </w:rPr>
                    <w:t>声源名称</w:t>
                  </w:r>
                </w:p>
              </w:tc>
              <w:tc>
                <w:tcPr>
                  <w:tcW w:w="758" w:type="dxa"/>
                  <w:vMerge w:val="restart"/>
                  <w:vAlign w:val="center"/>
                </w:tcPr>
                <w:p w14:paraId="1C4B4133">
                  <w:pPr>
                    <w:adjustRightInd w:val="0"/>
                    <w:jc w:val="center"/>
                    <w:rPr>
                      <w:rFonts w:hint="eastAsia" w:eastAsia="宋体"/>
                      <w:color w:val="auto"/>
                      <w:kern w:val="0"/>
                      <w:szCs w:val="21"/>
                      <w:lang w:eastAsia="zh-CN"/>
                    </w:rPr>
                  </w:pPr>
                  <w:r>
                    <w:rPr>
                      <w:rFonts w:hint="eastAsia"/>
                      <w:color w:val="auto"/>
                      <w:szCs w:val="21"/>
                      <w:lang w:val="en-US" w:eastAsia="zh-CN"/>
                    </w:rPr>
                    <w:t>数量</w:t>
                  </w:r>
                </w:p>
              </w:tc>
              <w:tc>
                <w:tcPr>
                  <w:tcW w:w="2647" w:type="dxa"/>
                  <w:gridSpan w:val="3"/>
                  <w:vAlign w:val="center"/>
                </w:tcPr>
                <w:p w14:paraId="63D9D24F">
                  <w:pPr>
                    <w:adjustRightInd w:val="0"/>
                    <w:jc w:val="center"/>
                    <w:rPr>
                      <w:color w:val="auto"/>
                      <w:kern w:val="0"/>
                      <w:szCs w:val="21"/>
                    </w:rPr>
                  </w:pPr>
                  <w:r>
                    <w:rPr>
                      <w:color w:val="auto"/>
                      <w:szCs w:val="21"/>
                    </w:rPr>
                    <w:t>空间相对位置/m</w:t>
                  </w:r>
                </w:p>
              </w:tc>
              <w:tc>
                <w:tcPr>
                  <w:tcW w:w="882" w:type="dxa"/>
                  <w:vAlign w:val="center"/>
                </w:tcPr>
                <w:p w14:paraId="2B82C950">
                  <w:pPr>
                    <w:adjustRightInd w:val="0"/>
                    <w:jc w:val="center"/>
                    <w:rPr>
                      <w:color w:val="auto"/>
                      <w:kern w:val="0"/>
                      <w:szCs w:val="21"/>
                    </w:rPr>
                  </w:pPr>
                  <w:r>
                    <w:rPr>
                      <w:color w:val="auto"/>
                      <w:szCs w:val="21"/>
                    </w:rPr>
                    <w:t>声源源强</w:t>
                  </w:r>
                </w:p>
              </w:tc>
              <w:tc>
                <w:tcPr>
                  <w:tcW w:w="882" w:type="dxa"/>
                  <w:vMerge w:val="restart"/>
                  <w:vAlign w:val="center"/>
                </w:tcPr>
                <w:p w14:paraId="50604C94">
                  <w:pPr>
                    <w:adjustRightInd w:val="0"/>
                    <w:jc w:val="center"/>
                    <w:rPr>
                      <w:color w:val="auto"/>
                      <w:kern w:val="0"/>
                      <w:szCs w:val="21"/>
                    </w:rPr>
                  </w:pPr>
                  <w:r>
                    <w:rPr>
                      <w:color w:val="auto"/>
                      <w:szCs w:val="21"/>
                    </w:rPr>
                    <w:t>声源控制措施</w:t>
                  </w:r>
                </w:p>
              </w:tc>
              <w:tc>
                <w:tcPr>
                  <w:tcW w:w="882" w:type="dxa"/>
                  <w:vMerge w:val="restart"/>
                  <w:vAlign w:val="center"/>
                </w:tcPr>
                <w:p w14:paraId="4861584D">
                  <w:pPr>
                    <w:adjustRightInd w:val="0"/>
                    <w:jc w:val="center"/>
                    <w:rPr>
                      <w:color w:val="auto"/>
                      <w:szCs w:val="21"/>
                    </w:rPr>
                  </w:pPr>
                  <w:r>
                    <w:rPr>
                      <w:color w:val="auto"/>
                      <w:szCs w:val="21"/>
                    </w:rPr>
                    <w:t>运行</w:t>
                  </w:r>
                </w:p>
                <w:p w14:paraId="278B5196">
                  <w:pPr>
                    <w:adjustRightInd w:val="0"/>
                    <w:jc w:val="center"/>
                    <w:rPr>
                      <w:color w:val="auto"/>
                      <w:kern w:val="0"/>
                      <w:szCs w:val="21"/>
                    </w:rPr>
                  </w:pPr>
                  <w:r>
                    <w:rPr>
                      <w:color w:val="auto"/>
                      <w:szCs w:val="21"/>
                    </w:rPr>
                    <w:t>时段</w:t>
                  </w:r>
                </w:p>
              </w:tc>
            </w:tr>
            <w:tr w14:paraId="4D5A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dxa"/>
                  <w:vMerge w:val="continue"/>
                  <w:vAlign w:val="center"/>
                </w:tcPr>
                <w:p w14:paraId="4495DEBF">
                  <w:pPr>
                    <w:adjustRightInd w:val="0"/>
                    <w:jc w:val="center"/>
                    <w:rPr>
                      <w:color w:val="auto"/>
                      <w:kern w:val="0"/>
                      <w:szCs w:val="21"/>
                    </w:rPr>
                  </w:pPr>
                </w:p>
              </w:tc>
              <w:tc>
                <w:tcPr>
                  <w:tcW w:w="1350" w:type="dxa"/>
                  <w:vMerge w:val="continue"/>
                  <w:vAlign w:val="center"/>
                </w:tcPr>
                <w:p w14:paraId="4B2AFAE7">
                  <w:pPr>
                    <w:adjustRightInd w:val="0"/>
                    <w:jc w:val="center"/>
                    <w:rPr>
                      <w:color w:val="auto"/>
                      <w:kern w:val="0"/>
                      <w:szCs w:val="21"/>
                    </w:rPr>
                  </w:pPr>
                </w:p>
              </w:tc>
              <w:tc>
                <w:tcPr>
                  <w:tcW w:w="758" w:type="dxa"/>
                  <w:vMerge w:val="continue"/>
                  <w:vAlign w:val="center"/>
                </w:tcPr>
                <w:p w14:paraId="44E0CD03">
                  <w:pPr>
                    <w:adjustRightInd w:val="0"/>
                    <w:jc w:val="center"/>
                    <w:rPr>
                      <w:color w:val="auto"/>
                      <w:kern w:val="0"/>
                      <w:szCs w:val="21"/>
                    </w:rPr>
                  </w:pPr>
                </w:p>
              </w:tc>
              <w:tc>
                <w:tcPr>
                  <w:tcW w:w="743" w:type="dxa"/>
                  <w:vAlign w:val="center"/>
                </w:tcPr>
                <w:p w14:paraId="108A723A">
                  <w:pPr>
                    <w:pStyle w:val="8"/>
                    <w:widowControl w:val="0"/>
                    <w:spacing w:before="0" w:after="0" w:line="240" w:lineRule="auto"/>
                    <w:ind w:right="0"/>
                    <w:jc w:val="center"/>
                    <w:rPr>
                      <w:color w:val="auto"/>
                      <w:sz w:val="21"/>
                      <w:szCs w:val="21"/>
                    </w:rPr>
                  </w:pPr>
                  <w:r>
                    <w:rPr>
                      <w:color w:val="auto"/>
                      <w:sz w:val="21"/>
                      <w:szCs w:val="21"/>
                    </w:rPr>
                    <w:t>X</w:t>
                  </w:r>
                </w:p>
              </w:tc>
              <w:tc>
                <w:tcPr>
                  <w:tcW w:w="1022" w:type="dxa"/>
                  <w:vAlign w:val="center"/>
                </w:tcPr>
                <w:p w14:paraId="7C6A3136">
                  <w:pPr>
                    <w:pStyle w:val="8"/>
                    <w:widowControl w:val="0"/>
                    <w:spacing w:before="0" w:after="0" w:line="240" w:lineRule="auto"/>
                    <w:ind w:right="0"/>
                    <w:jc w:val="center"/>
                    <w:rPr>
                      <w:color w:val="auto"/>
                      <w:sz w:val="21"/>
                      <w:szCs w:val="21"/>
                    </w:rPr>
                  </w:pPr>
                  <w:r>
                    <w:rPr>
                      <w:color w:val="auto"/>
                      <w:sz w:val="21"/>
                      <w:szCs w:val="21"/>
                    </w:rPr>
                    <w:t>Y</w:t>
                  </w:r>
                </w:p>
              </w:tc>
              <w:tc>
                <w:tcPr>
                  <w:tcW w:w="882" w:type="dxa"/>
                  <w:vAlign w:val="center"/>
                </w:tcPr>
                <w:p w14:paraId="55D38527">
                  <w:pPr>
                    <w:pStyle w:val="8"/>
                    <w:widowControl w:val="0"/>
                    <w:spacing w:before="0" w:after="0" w:line="240" w:lineRule="auto"/>
                    <w:ind w:right="0"/>
                    <w:jc w:val="center"/>
                    <w:rPr>
                      <w:color w:val="auto"/>
                      <w:sz w:val="21"/>
                      <w:szCs w:val="21"/>
                    </w:rPr>
                  </w:pPr>
                  <w:r>
                    <w:rPr>
                      <w:color w:val="auto"/>
                      <w:sz w:val="21"/>
                      <w:szCs w:val="21"/>
                    </w:rPr>
                    <w:t>Z</w:t>
                  </w:r>
                </w:p>
              </w:tc>
              <w:tc>
                <w:tcPr>
                  <w:tcW w:w="882" w:type="dxa"/>
                  <w:vAlign w:val="center"/>
                </w:tcPr>
                <w:p w14:paraId="70D2CB75">
                  <w:pPr>
                    <w:adjustRightInd w:val="0"/>
                    <w:jc w:val="center"/>
                    <w:rPr>
                      <w:color w:val="auto"/>
                      <w:kern w:val="0"/>
                      <w:szCs w:val="21"/>
                    </w:rPr>
                  </w:pPr>
                  <w:r>
                    <w:rPr>
                      <w:color w:val="auto"/>
                      <w:szCs w:val="21"/>
                    </w:rPr>
                    <w:t>声功率级/dB（A）</w:t>
                  </w:r>
                </w:p>
              </w:tc>
              <w:tc>
                <w:tcPr>
                  <w:tcW w:w="882" w:type="dxa"/>
                  <w:vMerge w:val="continue"/>
                  <w:vAlign w:val="center"/>
                </w:tcPr>
                <w:p w14:paraId="117628BC">
                  <w:pPr>
                    <w:adjustRightInd w:val="0"/>
                    <w:jc w:val="center"/>
                    <w:rPr>
                      <w:color w:val="auto"/>
                      <w:kern w:val="0"/>
                      <w:szCs w:val="21"/>
                    </w:rPr>
                  </w:pPr>
                </w:p>
              </w:tc>
              <w:tc>
                <w:tcPr>
                  <w:tcW w:w="882" w:type="dxa"/>
                  <w:vMerge w:val="continue"/>
                  <w:vAlign w:val="center"/>
                </w:tcPr>
                <w:p w14:paraId="0C6AA2B3">
                  <w:pPr>
                    <w:adjustRightInd w:val="0"/>
                    <w:jc w:val="center"/>
                    <w:rPr>
                      <w:color w:val="auto"/>
                      <w:kern w:val="0"/>
                      <w:szCs w:val="21"/>
                    </w:rPr>
                  </w:pPr>
                </w:p>
              </w:tc>
            </w:tr>
            <w:tr w14:paraId="1590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dxa"/>
                  <w:vAlign w:val="center"/>
                </w:tcPr>
                <w:p w14:paraId="5AC181FE">
                  <w:pPr>
                    <w:pStyle w:val="8"/>
                    <w:widowControl w:val="0"/>
                    <w:spacing w:before="0" w:after="0" w:line="240" w:lineRule="auto"/>
                    <w:ind w:right="0"/>
                    <w:jc w:val="center"/>
                    <w:rPr>
                      <w:color w:val="auto"/>
                      <w:sz w:val="21"/>
                      <w:szCs w:val="21"/>
                    </w:rPr>
                  </w:pPr>
                  <w:r>
                    <w:rPr>
                      <w:color w:val="auto"/>
                      <w:sz w:val="21"/>
                      <w:szCs w:val="21"/>
                    </w:rPr>
                    <w:t>1</w:t>
                  </w:r>
                </w:p>
              </w:tc>
              <w:tc>
                <w:tcPr>
                  <w:tcW w:w="1350" w:type="dxa"/>
                  <w:vAlign w:val="center"/>
                </w:tcPr>
                <w:p w14:paraId="3E38F036">
                  <w:pPr>
                    <w:jc w:val="center"/>
                    <w:rPr>
                      <w:rFonts w:hint="eastAsia" w:eastAsia="宋体"/>
                      <w:color w:val="auto"/>
                      <w:szCs w:val="21"/>
                      <w:lang w:eastAsia="zh-CN"/>
                    </w:rPr>
                  </w:pPr>
                  <w:r>
                    <w:rPr>
                      <w:rFonts w:hint="eastAsia"/>
                      <w:color w:val="auto"/>
                      <w:szCs w:val="21"/>
                      <w:lang w:val="en-US" w:eastAsia="zh-CN"/>
                    </w:rPr>
                    <w:t>搅拌机</w:t>
                  </w:r>
                </w:p>
              </w:tc>
              <w:tc>
                <w:tcPr>
                  <w:tcW w:w="758" w:type="dxa"/>
                  <w:vAlign w:val="center"/>
                </w:tcPr>
                <w:p w14:paraId="34078769">
                  <w:pPr>
                    <w:adjustRightInd w:val="0"/>
                    <w:jc w:val="center"/>
                    <w:rPr>
                      <w:rFonts w:hint="eastAsia" w:eastAsia="宋体"/>
                      <w:color w:val="auto"/>
                      <w:kern w:val="0"/>
                      <w:szCs w:val="21"/>
                      <w:lang w:eastAsia="zh-CN"/>
                    </w:rPr>
                  </w:pPr>
                  <w:r>
                    <w:rPr>
                      <w:rFonts w:hint="eastAsia"/>
                      <w:color w:val="auto"/>
                      <w:kern w:val="0"/>
                      <w:szCs w:val="21"/>
                      <w:lang w:val="en-US" w:eastAsia="zh-CN"/>
                    </w:rPr>
                    <w:t>4</w:t>
                  </w:r>
                </w:p>
              </w:tc>
              <w:tc>
                <w:tcPr>
                  <w:tcW w:w="743" w:type="dxa"/>
                  <w:vAlign w:val="center"/>
                </w:tcPr>
                <w:p w14:paraId="67092EE1">
                  <w:pPr>
                    <w:adjustRightInd w:val="0"/>
                    <w:jc w:val="center"/>
                    <w:rPr>
                      <w:color w:val="auto"/>
                      <w:kern w:val="0"/>
                      <w:szCs w:val="21"/>
                    </w:rPr>
                  </w:pPr>
                  <w:r>
                    <w:rPr>
                      <w:rFonts w:hint="eastAsia"/>
                      <w:color w:val="auto"/>
                      <w:kern w:val="0"/>
                      <w:szCs w:val="21"/>
                    </w:rPr>
                    <w:t>-48</w:t>
                  </w:r>
                </w:p>
              </w:tc>
              <w:tc>
                <w:tcPr>
                  <w:tcW w:w="1022" w:type="dxa"/>
                  <w:vAlign w:val="center"/>
                </w:tcPr>
                <w:p w14:paraId="1E8CAAC6">
                  <w:pPr>
                    <w:adjustRightInd w:val="0"/>
                    <w:jc w:val="center"/>
                    <w:rPr>
                      <w:color w:val="auto"/>
                      <w:kern w:val="0"/>
                      <w:szCs w:val="21"/>
                    </w:rPr>
                  </w:pPr>
                  <w:r>
                    <w:rPr>
                      <w:rFonts w:hint="eastAsia"/>
                      <w:color w:val="auto"/>
                      <w:kern w:val="0"/>
                      <w:szCs w:val="21"/>
                    </w:rPr>
                    <w:t>-8.5</w:t>
                  </w:r>
                </w:p>
              </w:tc>
              <w:tc>
                <w:tcPr>
                  <w:tcW w:w="882" w:type="dxa"/>
                  <w:vAlign w:val="center"/>
                </w:tcPr>
                <w:p w14:paraId="4A559ED4">
                  <w:pPr>
                    <w:adjustRightInd w:val="0"/>
                    <w:jc w:val="center"/>
                    <w:rPr>
                      <w:color w:val="auto"/>
                      <w:kern w:val="0"/>
                      <w:szCs w:val="21"/>
                    </w:rPr>
                  </w:pPr>
                  <w:r>
                    <w:rPr>
                      <w:rFonts w:hint="eastAsia"/>
                      <w:color w:val="auto"/>
                      <w:kern w:val="0"/>
                      <w:szCs w:val="21"/>
                    </w:rPr>
                    <w:t>0.2</w:t>
                  </w:r>
                </w:p>
              </w:tc>
              <w:tc>
                <w:tcPr>
                  <w:tcW w:w="882" w:type="dxa"/>
                  <w:vAlign w:val="center"/>
                </w:tcPr>
                <w:p w14:paraId="261CBD7C">
                  <w:pPr>
                    <w:pStyle w:val="8"/>
                    <w:widowControl w:val="0"/>
                    <w:spacing w:before="0" w:after="0" w:line="240" w:lineRule="auto"/>
                    <w:ind w:right="0"/>
                    <w:jc w:val="center"/>
                    <w:rPr>
                      <w:rFonts w:hint="default" w:eastAsia="宋体"/>
                      <w:color w:val="auto"/>
                      <w:sz w:val="21"/>
                      <w:szCs w:val="21"/>
                      <w:lang w:val="en-US" w:eastAsia="zh-CN"/>
                    </w:rPr>
                  </w:pPr>
                  <w:r>
                    <w:rPr>
                      <w:rFonts w:hint="eastAsia"/>
                      <w:color w:val="auto"/>
                      <w:sz w:val="21"/>
                      <w:szCs w:val="21"/>
                      <w:lang w:val="en-US" w:eastAsia="zh-CN"/>
                    </w:rPr>
                    <w:t>95</w:t>
                  </w:r>
                </w:p>
              </w:tc>
              <w:tc>
                <w:tcPr>
                  <w:tcW w:w="882" w:type="dxa"/>
                  <w:vMerge w:val="restart"/>
                  <w:vAlign w:val="center"/>
                </w:tcPr>
                <w:p w14:paraId="446DD441">
                  <w:pPr>
                    <w:adjustRightInd w:val="0"/>
                    <w:jc w:val="center"/>
                    <w:rPr>
                      <w:color w:val="auto"/>
                      <w:kern w:val="0"/>
                      <w:szCs w:val="21"/>
                    </w:rPr>
                  </w:pPr>
                  <w:r>
                    <w:rPr>
                      <w:color w:val="auto"/>
                      <w:szCs w:val="21"/>
                    </w:rPr>
                    <w:t>基础减振、消音器</w:t>
                  </w:r>
                </w:p>
              </w:tc>
              <w:tc>
                <w:tcPr>
                  <w:tcW w:w="882" w:type="dxa"/>
                  <w:vMerge w:val="restart"/>
                  <w:vAlign w:val="center"/>
                </w:tcPr>
                <w:p w14:paraId="79A94794">
                  <w:pPr>
                    <w:adjustRightInd w:val="0"/>
                    <w:jc w:val="center"/>
                    <w:rPr>
                      <w:rFonts w:hint="eastAsia" w:eastAsia="宋体"/>
                      <w:color w:val="auto"/>
                      <w:kern w:val="0"/>
                      <w:szCs w:val="21"/>
                      <w:lang w:eastAsia="zh-CN"/>
                    </w:rPr>
                  </w:pPr>
                  <w:r>
                    <w:rPr>
                      <w:color w:val="auto"/>
                      <w:kern w:val="0"/>
                      <w:szCs w:val="21"/>
                    </w:rPr>
                    <w:t>昼间</w:t>
                  </w:r>
                  <w:r>
                    <w:rPr>
                      <w:rFonts w:hint="eastAsia"/>
                      <w:color w:val="auto"/>
                      <w:kern w:val="0"/>
                      <w:szCs w:val="21"/>
                      <w:lang w:eastAsia="zh-CN"/>
                    </w:rPr>
                    <w:t>、</w:t>
                  </w:r>
                </w:p>
                <w:p w14:paraId="6C0E2431">
                  <w:pPr>
                    <w:adjustRightInd w:val="0"/>
                    <w:jc w:val="center"/>
                    <w:rPr>
                      <w:color w:val="auto"/>
                      <w:kern w:val="0"/>
                      <w:szCs w:val="21"/>
                    </w:rPr>
                  </w:pPr>
                  <w:r>
                    <w:rPr>
                      <w:color w:val="auto"/>
                      <w:kern w:val="0"/>
                      <w:szCs w:val="21"/>
                    </w:rPr>
                    <w:t>夜间</w:t>
                  </w:r>
                </w:p>
              </w:tc>
            </w:tr>
            <w:tr w14:paraId="60C0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dxa"/>
                  <w:vAlign w:val="center"/>
                </w:tcPr>
                <w:p w14:paraId="5B897AAB">
                  <w:pPr>
                    <w:pStyle w:val="8"/>
                    <w:widowControl w:val="0"/>
                    <w:spacing w:before="0" w:after="0" w:line="240" w:lineRule="auto"/>
                    <w:ind w:right="0"/>
                    <w:jc w:val="center"/>
                    <w:rPr>
                      <w:color w:val="auto"/>
                      <w:sz w:val="21"/>
                      <w:szCs w:val="21"/>
                    </w:rPr>
                  </w:pPr>
                  <w:r>
                    <w:rPr>
                      <w:color w:val="auto"/>
                      <w:sz w:val="21"/>
                      <w:szCs w:val="21"/>
                    </w:rPr>
                    <w:t>2</w:t>
                  </w:r>
                </w:p>
              </w:tc>
              <w:tc>
                <w:tcPr>
                  <w:tcW w:w="1350" w:type="dxa"/>
                  <w:vAlign w:val="center"/>
                </w:tcPr>
                <w:p w14:paraId="331C5DD0">
                  <w:pPr>
                    <w:jc w:val="center"/>
                    <w:rPr>
                      <w:rFonts w:hint="default" w:eastAsia="宋体"/>
                      <w:color w:val="auto"/>
                      <w:szCs w:val="21"/>
                      <w:lang w:val="en-US" w:eastAsia="zh-CN"/>
                    </w:rPr>
                  </w:pPr>
                  <w:r>
                    <w:rPr>
                      <w:rFonts w:hint="eastAsia"/>
                      <w:color w:val="auto"/>
                      <w:szCs w:val="21"/>
                      <w:lang w:val="en-US" w:eastAsia="zh-CN"/>
                    </w:rPr>
                    <w:t>立式混合机</w:t>
                  </w:r>
                </w:p>
              </w:tc>
              <w:tc>
                <w:tcPr>
                  <w:tcW w:w="758" w:type="dxa"/>
                  <w:vAlign w:val="center"/>
                </w:tcPr>
                <w:p w14:paraId="2938EE2B">
                  <w:pPr>
                    <w:adjustRightInd w:val="0"/>
                    <w:jc w:val="center"/>
                    <w:rPr>
                      <w:rFonts w:hint="eastAsia" w:eastAsia="宋体"/>
                      <w:color w:val="auto"/>
                      <w:kern w:val="0"/>
                      <w:szCs w:val="21"/>
                      <w:lang w:eastAsia="zh-CN"/>
                    </w:rPr>
                  </w:pPr>
                  <w:r>
                    <w:rPr>
                      <w:rFonts w:hint="eastAsia"/>
                      <w:color w:val="auto"/>
                      <w:kern w:val="0"/>
                      <w:szCs w:val="21"/>
                      <w:lang w:val="en-US" w:eastAsia="zh-CN"/>
                    </w:rPr>
                    <w:t>1</w:t>
                  </w:r>
                </w:p>
              </w:tc>
              <w:tc>
                <w:tcPr>
                  <w:tcW w:w="743" w:type="dxa"/>
                  <w:vAlign w:val="center"/>
                </w:tcPr>
                <w:p w14:paraId="2C15C351">
                  <w:pPr>
                    <w:adjustRightInd w:val="0"/>
                    <w:jc w:val="center"/>
                    <w:rPr>
                      <w:color w:val="auto"/>
                      <w:kern w:val="0"/>
                      <w:szCs w:val="21"/>
                    </w:rPr>
                  </w:pPr>
                  <w:r>
                    <w:rPr>
                      <w:rFonts w:hint="eastAsia"/>
                      <w:color w:val="auto"/>
                      <w:kern w:val="0"/>
                      <w:szCs w:val="21"/>
                    </w:rPr>
                    <w:t>-42</w:t>
                  </w:r>
                </w:p>
              </w:tc>
              <w:tc>
                <w:tcPr>
                  <w:tcW w:w="1022" w:type="dxa"/>
                  <w:vAlign w:val="center"/>
                </w:tcPr>
                <w:p w14:paraId="22C5CF26">
                  <w:pPr>
                    <w:adjustRightInd w:val="0"/>
                    <w:jc w:val="center"/>
                    <w:rPr>
                      <w:color w:val="auto"/>
                      <w:kern w:val="0"/>
                      <w:szCs w:val="21"/>
                    </w:rPr>
                  </w:pPr>
                  <w:r>
                    <w:rPr>
                      <w:rFonts w:hint="eastAsia"/>
                      <w:color w:val="auto"/>
                      <w:kern w:val="0"/>
                      <w:szCs w:val="21"/>
                    </w:rPr>
                    <w:t>-8.5</w:t>
                  </w:r>
                </w:p>
              </w:tc>
              <w:tc>
                <w:tcPr>
                  <w:tcW w:w="882" w:type="dxa"/>
                  <w:vAlign w:val="center"/>
                </w:tcPr>
                <w:p w14:paraId="4595A2DC">
                  <w:pPr>
                    <w:adjustRightInd w:val="0"/>
                    <w:jc w:val="center"/>
                    <w:rPr>
                      <w:color w:val="auto"/>
                      <w:kern w:val="0"/>
                      <w:szCs w:val="21"/>
                    </w:rPr>
                  </w:pPr>
                  <w:r>
                    <w:rPr>
                      <w:rFonts w:hint="eastAsia"/>
                      <w:color w:val="auto"/>
                      <w:kern w:val="0"/>
                      <w:szCs w:val="21"/>
                    </w:rPr>
                    <w:t>0.2</w:t>
                  </w:r>
                </w:p>
              </w:tc>
              <w:tc>
                <w:tcPr>
                  <w:tcW w:w="882" w:type="dxa"/>
                  <w:vAlign w:val="center"/>
                </w:tcPr>
                <w:p w14:paraId="38A499FE">
                  <w:pPr>
                    <w:pStyle w:val="8"/>
                    <w:widowControl w:val="0"/>
                    <w:spacing w:before="0" w:after="0" w:line="240" w:lineRule="auto"/>
                    <w:ind w:right="0"/>
                    <w:jc w:val="center"/>
                    <w:rPr>
                      <w:rFonts w:hint="default" w:eastAsia="宋体"/>
                      <w:color w:val="auto"/>
                      <w:sz w:val="21"/>
                      <w:szCs w:val="21"/>
                      <w:lang w:val="en-US" w:eastAsia="zh-CN"/>
                    </w:rPr>
                  </w:pPr>
                  <w:r>
                    <w:rPr>
                      <w:rFonts w:hint="eastAsia"/>
                      <w:color w:val="auto"/>
                      <w:sz w:val="21"/>
                      <w:szCs w:val="21"/>
                      <w:lang w:val="en-US" w:eastAsia="zh-CN"/>
                    </w:rPr>
                    <w:t>90</w:t>
                  </w:r>
                </w:p>
              </w:tc>
              <w:tc>
                <w:tcPr>
                  <w:tcW w:w="882" w:type="dxa"/>
                  <w:vMerge w:val="continue"/>
                  <w:vAlign w:val="center"/>
                </w:tcPr>
                <w:p w14:paraId="0B32F1BA">
                  <w:pPr>
                    <w:adjustRightInd w:val="0"/>
                    <w:jc w:val="center"/>
                    <w:rPr>
                      <w:color w:val="auto"/>
                      <w:kern w:val="0"/>
                      <w:szCs w:val="21"/>
                    </w:rPr>
                  </w:pPr>
                </w:p>
              </w:tc>
              <w:tc>
                <w:tcPr>
                  <w:tcW w:w="882" w:type="dxa"/>
                  <w:vMerge w:val="continue"/>
                  <w:vAlign w:val="center"/>
                </w:tcPr>
                <w:p w14:paraId="009D4DB8">
                  <w:pPr>
                    <w:adjustRightInd w:val="0"/>
                    <w:jc w:val="center"/>
                    <w:rPr>
                      <w:color w:val="auto"/>
                      <w:kern w:val="0"/>
                      <w:szCs w:val="21"/>
                    </w:rPr>
                  </w:pPr>
                </w:p>
              </w:tc>
            </w:tr>
            <w:tr w14:paraId="788F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dxa"/>
                  <w:vAlign w:val="center"/>
                </w:tcPr>
                <w:p w14:paraId="2F26C5B6">
                  <w:pPr>
                    <w:pStyle w:val="8"/>
                    <w:widowControl w:val="0"/>
                    <w:spacing w:before="0" w:after="0" w:line="240" w:lineRule="auto"/>
                    <w:ind w:right="0"/>
                    <w:jc w:val="center"/>
                    <w:rPr>
                      <w:color w:val="auto"/>
                      <w:sz w:val="21"/>
                      <w:szCs w:val="21"/>
                    </w:rPr>
                  </w:pPr>
                  <w:r>
                    <w:rPr>
                      <w:rFonts w:hint="eastAsia"/>
                      <w:color w:val="auto"/>
                      <w:sz w:val="21"/>
                      <w:szCs w:val="21"/>
                    </w:rPr>
                    <w:t>3</w:t>
                  </w:r>
                </w:p>
              </w:tc>
              <w:tc>
                <w:tcPr>
                  <w:tcW w:w="1350" w:type="dxa"/>
                  <w:vAlign w:val="center"/>
                </w:tcPr>
                <w:p w14:paraId="1D8EF281">
                  <w:pPr>
                    <w:jc w:val="center"/>
                    <w:rPr>
                      <w:rFonts w:hint="eastAsia" w:eastAsia="宋体"/>
                      <w:color w:val="auto"/>
                      <w:szCs w:val="21"/>
                      <w:lang w:eastAsia="zh-CN"/>
                    </w:rPr>
                  </w:pPr>
                  <w:r>
                    <w:rPr>
                      <w:rFonts w:hint="eastAsia"/>
                      <w:color w:val="auto"/>
                      <w:szCs w:val="21"/>
                      <w:lang w:val="en-US" w:eastAsia="zh-CN"/>
                    </w:rPr>
                    <w:t>圆盘造球机</w:t>
                  </w:r>
                </w:p>
              </w:tc>
              <w:tc>
                <w:tcPr>
                  <w:tcW w:w="758" w:type="dxa"/>
                  <w:vAlign w:val="center"/>
                </w:tcPr>
                <w:p w14:paraId="2BCD6C19">
                  <w:pPr>
                    <w:adjustRightInd w:val="0"/>
                    <w:jc w:val="center"/>
                    <w:rPr>
                      <w:rFonts w:hint="eastAsia" w:eastAsia="宋体"/>
                      <w:color w:val="auto"/>
                      <w:kern w:val="0"/>
                      <w:szCs w:val="21"/>
                      <w:lang w:eastAsia="zh-CN"/>
                    </w:rPr>
                  </w:pPr>
                  <w:r>
                    <w:rPr>
                      <w:rFonts w:hint="eastAsia"/>
                      <w:color w:val="auto"/>
                      <w:kern w:val="0"/>
                      <w:szCs w:val="21"/>
                      <w:lang w:val="en-US" w:eastAsia="zh-CN"/>
                    </w:rPr>
                    <w:t>1</w:t>
                  </w:r>
                </w:p>
              </w:tc>
              <w:tc>
                <w:tcPr>
                  <w:tcW w:w="743" w:type="dxa"/>
                  <w:vAlign w:val="center"/>
                </w:tcPr>
                <w:p w14:paraId="1E8AF197">
                  <w:pPr>
                    <w:adjustRightInd w:val="0"/>
                    <w:jc w:val="center"/>
                    <w:rPr>
                      <w:color w:val="auto"/>
                      <w:kern w:val="0"/>
                      <w:szCs w:val="21"/>
                    </w:rPr>
                  </w:pPr>
                  <w:r>
                    <w:rPr>
                      <w:rFonts w:hint="eastAsia"/>
                      <w:color w:val="auto"/>
                      <w:kern w:val="0"/>
                      <w:szCs w:val="21"/>
                    </w:rPr>
                    <w:t>-33.5</w:t>
                  </w:r>
                </w:p>
              </w:tc>
              <w:tc>
                <w:tcPr>
                  <w:tcW w:w="1022" w:type="dxa"/>
                  <w:vAlign w:val="center"/>
                </w:tcPr>
                <w:p w14:paraId="5653FD9B">
                  <w:pPr>
                    <w:adjustRightInd w:val="0"/>
                    <w:jc w:val="center"/>
                    <w:rPr>
                      <w:color w:val="auto"/>
                      <w:kern w:val="0"/>
                      <w:szCs w:val="21"/>
                    </w:rPr>
                  </w:pPr>
                  <w:r>
                    <w:rPr>
                      <w:rFonts w:hint="eastAsia"/>
                      <w:color w:val="auto"/>
                      <w:kern w:val="0"/>
                      <w:szCs w:val="21"/>
                    </w:rPr>
                    <w:t>11</w:t>
                  </w:r>
                </w:p>
              </w:tc>
              <w:tc>
                <w:tcPr>
                  <w:tcW w:w="882" w:type="dxa"/>
                  <w:vAlign w:val="center"/>
                </w:tcPr>
                <w:p w14:paraId="4EC27E04">
                  <w:pPr>
                    <w:adjustRightInd w:val="0"/>
                    <w:jc w:val="center"/>
                    <w:rPr>
                      <w:color w:val="auto"/>
                      <w:kern w:val="0"/>
                      <w:szCs w:val="21"/>
                    </w:rPr>
                  </w:pPr>
                  <w:r>
                    <w:rPr>
                      <w:rFonts w:hint="eastAsia"/>
                      <w:color w:val="auto"/>
                      <w:kern w:val="0"/>
                      <w:szCs w:val="21"/>
                    </w:rPr>
                    <w:t>0.2</w:t>
                  </w:r>
                </w:p>
              </w:tc>
              <w:tc>
                <w:tcPr>
                  <w:tcW w:w="882" w:type="dxa"/>
                  <w:vAlign w:val="center"/>
                </w:tcPr>
                <w:p w14:paraId="765A9C4C">
                  <w:pPr>
                    <w:pStyle w:val="8"/>
                    <w:widowControl w:val="0"/>
                    <w:spacing w:before="0" w:after="0" w:line="240" w:lineRule="auto"/>
                    <w:ind w:right="0"/>
                    <w:jc w:val="center"/>
                    <w:rPr>
                      <w:rFonts w:hint="default" w:eastAsia="宋体"/>
                      <w:color w:val="auto"/>
                      <w:sz w:val="21"/>
                      <w:szCs w:val="21"/>
                      <w:lang w:val="en-US" w:eastAsia="zh-CN"/>
                    </w:rPr>
                  </w:pPr>
                  <w:r>
                    <w:rPr>
                      <w:rFonts w:hint="eastAsia"/>
                      <w:color w:val="auto"/>
                      <w:sz w:val="21"/>
                      <w:szCs w:val="21"/>
                      <w:lang w:val="en-US" w:eastAsia="zh-CN"/>
                    </w:rPr>
                    <w:t>90</w:t>
                  </w:r>
                </w:p>
              </w:tc>
              <w:tc>
                <w:tcPr>
                  <w:tcW w:w="882" w:type="dxa"/>
                  <w:vMerge w:val="continue"/>
                  <w:vAlign w:val="center"/>
                </w:tcPr>
                <w:p w14:paraId="18D8B15E">
                  <w:pPr>
                    <w:adjustRightInd w:val="0"/>
                    <w:jc w:val="center"/>
                    <w:rPr>
                      <w:color w:val="auto"/>
                      <w:kern w:val="0"/>
                      <w:szCs w:val="21"/>
                    </w:rPr>
                  </w:pPr>
                </w:p>
              </w:tc>
              <w:tc>
                <w:tcPr>
                  <w:tcW w:w="882" w:type="dxa"/>
                  <w:vMerge w:val="continue"/>
                  <w:vAlign w:val="center"/>
                </w:tcPr>
                <w:p w14:paraId="68FF659C">
                  <w:pPr>
                    <w:adjustRightInd w:val="0"/>
                    <w:jc w:val="center"/>
                    <w:rPr>
                      <w:color w:val="auto"/>
                      <w:kern w:val="0"/>
                      <w:szCs w:val="21"/>
                    </w:rPr>
                  </w:pPr>
                </w:p>
              </w:tc>
            </w:tr>
            <w:tr w14:paraId="519A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dxa"/>
                  <w:vAlign w:val="center"/>
                </w:tcPr>
                <w:p w14:paraId="6AE9FCE6">
                  <w:pPr>
                    <w:pStyle w:val="8"/>
                    <w:widowControl w:val="0"/>
                    <w:spacing w:before="0" w:after="0" w:line="240" w:lineRule="auto"/>
                    <w:ind w:right="0"/>
                    <w:jc w:val="center"/>
                    <w:rPr>
                      <w:color w:val="auto"/>
                      <w:sz w:val="21"/>
                      <w:szCs w:val="21"/>
                    </w:rPr>
                  </w:pPr>
                  <w:r>
                    <w:rPr>
                      <w:rFonts w:hint="eastAsia"/>
                      <w:color w:val="auto"/>
                      <w:sz w:val="21"/>
                      <w:szCs w:val="21"/>
                    </w:rPr>
                    <w:t>4</w:t>
                  </w:r>
                </w:p>
              </w:tc>
              <w:tc>
                <w:tcPr>
                  <w:tcW w:w="1350" w:type="dxa"/>
                  <w:vAlign w:val="center"/>
                </w:tcPr>
                <w:p w14:paraId="67191F89">
                  <w:pPr>
                    <w:jc w:val="center"/>
                    <w:rPr>
                      <w:rFonts w:hint="eastAsia" w:eastAsia="宋体"/>
                      <w:color w:val="auto"/>
                      <w:szCs w:val="21"/>
                      <w:lang w:eastAsia="zh-CN"/>
                    </w:rPr>
                  </w:pPr>
                  <w:r>
                    <w:rPr>
                      <w:rFonts w:hint="eastAsia"/>
                      <w:color w:val="auto"/>
                      <w:szCs w:val="21"/>
                      <w:lang w:val="en-US" w:eastAsia="zh-CN"/>
                    </w:rPr>
                    <w:t>回转窑</w:t>
                  </w:r>
                </w:p>
              </w:tc>
              <w:tc>
                <w:tcPr>
                  <w:tcW w:w="758" w:type="dxa"/>
                  <w:vAlign w:val="center"/>
                </w:tcPr>
                <w:p w14:paraId="72D4A32A">
                  <w:pPr>
                    <w:adjustRightInd w:val="0"/>
                    <w:jc w:val="center"/>
                    <w:rPr>
                      <w:rFonts w:hint="eastAsia" w:eastAsia="宋体"/>
                      <w:color w:val="auto"/>
                      <w:kern w:val="0"/>
                      <w:szCs w:val="21"/>
                      <w:lang w:eastAsia="zh-CN"/>
                    </w:rPr>
                  </w:pPr>
                  <w:r>
                    <w:rPr>
                      <w:rFonts w:hint="eastAsia"/>
                      <w:color w:val="auto"/>
                      <w:kern w:val="0"/>
                      <w:szCs w:val="21"/>
                      <w:lang w:val="en-US" w:eastAsia="zh-CN"/>
                    </w:rPr>
                    <w:t>1</w:t>
                  </w:r>
                </w:p>
              </w:tc>
              <w:tc>
                <w:tcPr>
                  <w:tcW w:w="743" w:type="dxa"/>
                  <w:vAlign w:val="center"/>
                </w:tcPr>
                <w:p w14:paraId="13999689">
                  <w:pPr>
                    <w:adjustRightInd w:val="0"/>
                    <w:jc w:val="center"/>
                    <w:rPr>
                      <w:color w:val="auto"/>
                      <w:kern w:val="0"/>
                      <w:szCs w:val="21"/>
                    </w:rPr>
                  </w:pPr>
                  <w:r>
                    <w:rPr>
                      <w:rFonts w:hint="eastAsia"/>
                      <w:color w:val="auto"/>
                      <w:kern w:val="0"/>
                      <w:szCs w:val="21"/>
                    </w:rPr>
                    <w:t>-29</w:t>
                  </w:r>
                </w:p>
              </w:tc>
              <w:tc>
                <w:tcPr>
                  <w:tcW w:w="1022" w:type="dxa"/>
                  <w:vAlign w:val="center"/>
                </w:tcPr>
                <w:p w14:paraId="1433A6BA">
                  <w:pPr>
                    <w:adjustRightInd w:val="0"/>
                    <w:jc w:val="center"/>
                    <w:rPr>
                      <w:color w:val="auto"/>
                      <w:kern w:val="0"/>
                      <w:szCs w:val="21"/>
                    </w:rPr>
                  </w:pPr>
                  <w:r>
                    <w:rPr>
                      <w:rFonts w:hint="eastAsia"/>
                      <w:color w:val="auto"/>
                      <w:kern w:val="0"/>
                      <w:szCs w:val="21"/>
                    </w:rPr>
                    <w:t>11</w:t>
                  </w:r>
                </w:p>
              </w:tc>
              <w:tc>
                <w:tcPr>
                  <w:tcW w:w="882" w:type="dxa"/>
                  <w:vAlign w:val="center"/>
                </w:tcPr>
                <w:p w14:paraId="1075C2A0">
                  <w:pPr>
                    <w:adjustRightInd w:val="0"/>
                    <w:jc w:val="center"/>
                    <w:rPr>
                      <w:color w:val="auto"/>
                      <w:kern w:val="0"/>
                      <w:szCs w:val="21"/>
                    </w:rPr>
                  </w:pPr>
                  <w:r>
                    <w:rPr>
                      <w:rFonts w:hint="eastAsia"/>
                      <w:color w:val="auto"/>
                      <w:kern w:val="0"/>
                      <w:szCs w:val="21"/>
                    </w:rPr>
                    <w:t>0.2</w:t>
                  </w:r>
                </w:p>
              </w:tc>
              <w:tc>
                <w:tcPr>
                  <w:tcW w:w="882" w:type="dxa"/>
                  <w:vAlign w:val="center"/>
                </w:tcPr>
                <w:p w14:paraId="1C75F457">
                  <w:pPr>
                    <w:pStyle w:val="8"/>
                    <w:widowControl w:val="0"/>
                    <w:spacing w:before="0" w:after="0" w:line="240" w:lineRule="auto"/>
                    <w:ind w:right="0"/>
                    <w:jc w:val="center"/>
                    <w:rPr>
                      <w:rFonts w:hint="default" w:eastAsia="宋体"/>
                      <w:color w:val="auto"/>
                      <w:sz w:val="21"/>
                      <w:szCs w:val="21"/>
                      <w:lang w:val="en-US" w:eastAsia="zh-CN"/>
                    </w:rPr>
                  </w:pPr>
                  <w:r>
                    <w:rPr>
                      <w:rFonts w:hint="eastAsia"/>
                      <w:color w:val="auto"/>
                      <w:sz w:val="21"/>
                      <w:szCs w:val="21"/>
                      <w:lang w:val="en-US" w:eastAsia="zh-CN"/>
                    </w:rPr>
                    <w:t>100</w:t>
                  </w:r>
                </w:p>
              </w:tc>
              <w:tc>
                <w:tcPr>
                  <w:tcW w:w="882" w:type="dxa"/>
                  <w:vMerge w:val="continue"/>
                  <w:vAlign w:val="center"/>
                </w:tcPr>
                <w:p w14:paraId="4A1EC915">
                  <w:pPr>
                    <w:adjustRightInd w:val="0"/>
                    <w:jc w:val="center"/>
                    <w:rPr>
                      <w:color w:val="auto"/>
                      <w:kern w:val="0"/>
                      <w:szCs w:val="21"/>
                    </w:rPr>
                  </w:pPr>
                </w:p>
              </w:tc>
              <w:tc>
                <w:tcPr>
                  <w:tcW w:w="882" w:type="dxa"/>
                  <w:vMerge w:val="continue"/>
                  <w:vAlign w:val="center"/>
                </w:tcPr>
                <w:p w14:paraId="5911CF78">
                  <w:pPr>
                    <w:adjustRightInd w:val="0"/>
                    <w:jc w:val="center"/>
                    <w:rPr>
                      <w:color w:val="auto"/>
                      <w:kern w:val="0"/>
                      <w:szCs w:val="21"/>
                    </w:rPr>
                  </w:pPr>
                </w:p>
              </w:tc>
            </w:tr>
            <w:tr w14:paraId="445A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dxa"/>
                  <w:vAlign w:val="center"/>
                </w:tcPr>
                <w:p w14:paraId="7383B847">
                  <w:pPr>
                    <w:pStyle w:val="8"/>
                    <w:widowControl w:val="0"/>
                    <w:spacing w:before="0" w:after="0" w:line="240" w:lineRule="auto"/>
                    <w:ind w:right="0"/>
                    <w:jc w:val="center"/>
                    <w:rPr>
                      <w:color w:val="auto"/>
                      <w:sz w:val="21"/>
                      <w:szCs w:val="21"/>
                    </w:rPr>
                  </w:pPr>
                  <w:r>
                    <w:rPr>
                      <w:rFonts w:hint="eastAsia"/>
                      <w:color w:val="auto"/>
                      <w:sz w:val="21"/>
                      <w:szCs w:val="21"/>
                    </w:rPr>
                    <w:t>5</w:t>
                  </w:r>
                </w:p>
              </w:tc>
              <w:tc>
                <w:tcPr>
                  <w:tcW w:w="1350" w:type="dxa"/>
                  <w:vAlign w:val="center"/>
                </w:tcPr>
                <w:p w14:paraId="774D7207">
                  <w:pPr>
                    <w:jc w:val="center"/>
                    <w:rPr>
                      <w:rFonts w:hint="default" w:eastAsia="宋体"/>
                      <w:color w:val="auto"/>
                      <w:szCs w:val="21"/>
                      <w:lang w:val="en-US" w:eastAsia="zh-CN"/>
                    </w:rPr>
                  </w:pPr>
                  <w:r>
                    <w:rPr>
                      <w:rFonts w:hint="eastAsia"/>
                      <w:color w:val="auto"/>
                      <w:szCs w:val="21"/>
                      <w:lang w:val="en-US" w:eastAsia="zh-CN"/>
                    </w:rPr>
                    <w:t>冲渣泵</w:t>
                  </w:r>
                </w:p>
              </w:tc>
              <w:tc>
                <w:tcPr>
                  <w:tcW w:w="758" w:type="dxa"/>
                  <w:vAlign w:val="center"/>
                </w:tcPr>
                <w:p w14:paraId="6CB4A29B">
                  <w:pPr>
                    <w:adjustRightInd w:val="0"/>
                    <w:jc w:val="center"/>
                    <w:rPr>
                      <w:rFonts w:hint="eastAsia" w:eastAsia="宋体"/>
                      <w:color w:val="auto"/>
                      <w:kern w:val="0"/>
                      <w:szCs w:val="21"/>
                      <w:lang w:eastAsia="zh-CN"/>
                    </w:rPr>
                  </w:pPr>
                  <w:r>
                    <w:rPr>
                      <w:rFonts w:hint="eastAsia"/>
                      <w:color w:val="auto"/>
                      <w:kern w:val="0"/>
                      <w:szCs w:val="21"/>
                      <w:lang w:val="en-US" w:eastAsia="zh-CN"/>
                    </w:rPr>
                    <w:t>2</w:t>
                  </w:r>
                </w:p>
              </w:tc>
              <w:tc>
                <w:tcPr>
                  <w:tcW w:w="743" w:type="dxa"/>
                  <w:vAlign w:val="center"/>
                </w:tcPr>
                <w:p w14:paraId="709A2957">
                  <w:pPr>
                    <w:adjustRightInd w:val="0"/>
                    <w:jc w:val="center"/>
                    <w:rPr>
                      <w:color w:val="auto"/>
                      <w:kern w:val="0"/>
                      <w:szCs w:val="21"/>
                    </w:rPr>
                  </w:pPr>
                  <w:r>
                    <w:rPr>
                      <w:rFonts w:hint="eastAsia"/>
                      <w:color w:val="auto"/>
                      <w:kern w:val="0"/>
                      <w:szCs w:val="21"/>
                    </w:rPr>
                    <w:t>-42</w:t>
                  </w:r>
                </w:p>
              </w:tc>
              <w:tc>
                <w:tcPr>
                  <w:tcW w:w="1022" w:type="dxa"/>
                  <w:vAlign w:val="center"/>
                </w:tcPr>
                <w:p w14:paraId="500BA8F6">
                  <w:pPr>
                    <w:adjustRightInd w:val="0"/>
                    <w:jc w:val="center"/>
                    <w:rPr>
                      <w:color w:val="auto"/>
                      <w:kern w:val="0"/>
                      <w:szCs w:val="21"/>
                    </w:rPr>
                  </w:pPr>
                  <w:r>
                    <w:rPr>
                      <w:rFonts w:hint="eastAsia"/>
                      <w:color w:val="auto"/>
                      <w:kern w:val="0"/>
                      <w:szCs w:val="21"/>
                    </w:rPr>
                    <w:t>2.5</w:t>
                  </w:r>
                </w:p>
              </w:tc>
              <w:tc>
                <w:tcPr>
                  <w:tcW w:w="882" w:type="dxa"/>
                  <w:vAlign w:val="center"/>
                </w:tcPr>
                <w:p w14:paraId="1CC79F6F">
                  <w:pPr>
                    <w:adjustRightInd w:val="0"/>
                    <w:jc w:val="center"/>
                    <w:rPr>
                      <w:color w:val="auto"/>
                      <w:kern w:val="0"/>
                      <w:szCs w:val="21"/>
                    </w:rPr>
                  </w:pPr>
                  <w:r>
                    <w:rPr>
                      <w:rFonts w:hint="eastAsia"/>
                      <w:color w:val="auto"/>
                      <w:kern w:val="0"/>
                      <w:szCs w:val="21"/>
                    </w:rPr>
                    <w:t>0.5</w:t>
                  </w:r>
                </w:p>
              </w:tc>
              <w:tc>
                <w:tcPr>
                  <w:tcW w:w="882" w:type="dxa"/>
                  <w:vAlign w:val="center"/>
                </w:tcPr>
                <w:p w14:paraId="498727D1">
                  <w:pPr>
                    <w:pStyle w:val="8"/>
                    <w:widowControl w:val="0"/>
                    <w:spacing w:before="0" w:after="0" w:line="240" w:lineRule="auto"/>
                    <w:ind w:right="0"/>
                    <w:jc w:val="center"/>
                    <w:rPr>
                      <w:rFonts w:hint="default" w:eastAsia="宋体"/>
                      <w:color w:val="auto"/>
                      <w:sz w:val="21"/>
                      <w:szCs w:val="21"/>
                      <w:lang w:val="en-US" w:eastAsia="zh-CN"/>
                    </w:rPr>
                  </w:pPr>
                  <w:r>
                    <w:rPr>
                      <w:rFonts w:hint="eastAsia"/>
                      <w:color w:val="auto"/>
                      <w:sz w:val="21"/>
                      <w:szCs w:val="21"/>
                      <w:lang w:val="en-US" w:eastAsia="zh-CN"/>
                    </w:rPr>
                    <w:t>85</w:t>
                  </w:r>
                </w:p>
              </w:tc>
              <w:tc>
                <w:tcPr>
                  <w:tcW w:w="882" w:type="dxa"/>
                  <w:vMerge w:val="continue"/>
                  <w:vAlign w:val="center"/>
                </w:tcPr>
                <w:p w14:paraId="7EFCF040">
                  <w:pPr>
                    <w:adjustRightInd w:val="0"/>
                    <w:jc w:val="center"/>
                    <w:rPr>
                      <w:color w:val="auto"/>
                      <w:kern w:val="0"/>
                      <w:szCs w:val="21"/>
                    </w:rPr>
                  </w:pPr>
                </w:p>
              </w:tc>
              <w:tc>
                <w:tcPr>
                  <w:tcW w:w="882" w:type="dxa"/>
                  <w:vMerge w:val="continue"/>
                  <w:vAlign w:val="center"/>
                </w:tcPr>
                <w:p w14:paraId="598B7242">
                  <w:pPr>
                    <w:adjustRightInd w:val="0"/>
                    <w:jc w:val="center"/>
                    <w:rPr>
                      <w:color w:val="auto"/>
                      <w:kern w:val="0"/>
                      <w:szCs w:val="21"/>
                    </w:rPr>
                  </w:pPr>
                </w:p>
              </w:tc>
            </w:tr>
            <w:tr w14:paraId="0741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5" w:type="dxa"/>
                  <w:vAlign w:val="center"/>
                </w:tcPr>
                <w:p w14:paraId="7E79A46C">
                  <w:pPr>
                    <w:pStyle w:val="8"/>
                    <w:widowControl w:val="0"/>
                    <w:spacing w:before="0" w:after="0" w:line="240" w:lineRule="auto"/>
                    <w:ind w:right="0"/>
                    <w:jc w:val="center"/>
                    <w:rPr>
                      <w:color w:val="auto"/>
                      <w:sz w:val="21"/>
                      <w:szCs w:val="21"/>
                    </w:rPr>
                  </w:pPr>
                  <w:r>
                    <w:rPr>
                      <w:rFonts w:hint="eastAsia"/>
                      <w:color w:val="auto"/>
                      <w:sz w:val="21"/>
                      <w:szCs w:val="21"/>
                    </w:rPr>
                    <w:t>6</w:t>
                  </w:r>
                </w:p>
              </w:tc>
              <w:tc>
                <w:tcPr>
                  <w:tcW w:w="1350" w:type="dxa"/>
                  <w:vAlign w:val="center"/>
                </w:tcPr>
                <w:p w14:paraId="4A0713C4">
                  <w:pPr>
                    <w:jc w:val="center"/>
                    <w:rPr>
                      <w:color w:val="auto"/>
                      <w:szCs w:val="21"/>
                    </w:rPr>
                  </w:pPr>
                  <w:r>
                    <w:rPr>
                      <w:color w:val="auto"/>
                      <w:szCs w:val="21"/>
                    </w:rPr>
                    <w:t>风机</w:t>
                  </w:r>
                </w:p>
              </w:tc>
              <w:tc>
                <w:tcPr>
                  <w:tcW w:w="758" w:type="dxa"/>
                  <w:vAlign w:val="center"/>
                </w:tcPr>
                <w:p w14:paraId="2AEBA497">
                  <w:pPr>
                    <w:adjustRightInd w:val="0"/>
                    <w:jc w:val="center"/>
                    <w:rPr>
                      <w:rFonts w:hint="eastAsia" w:eastAsia="宋体"/>
                      <w:color w:val="auto"/>
                      <w:kern w:val="0"/>
                      <w:szCs w:val="21"/>
                      <w:lang w:eastAsia="zh-CN"/>
                    </w:rPr>
                  </w:pPr>
                  <w:r>
                    <w:rPr>
                      <w:rFonts w:hint="eastAsia"/>
                      <w:color w:val="auto"/>
                      <w:kern w:val="0"/>
                      <w:szCs w:val="21"/>
                      <w:lang w:val="en-US" w:eastAsia="zh-CN"/>
                    </w:rPr>
                    <w:t>5</w:t>
                  </w:r>
                </w:p>
              </w:tc>
              <w:tc>
                <w:tcPr>
                  <w:tcW w:w="743" w:type="dxa"/>
                  <w:vAlign w:val="center"/>
                </w:tcPr>
                <w:p w14:paraId="6500CE6D">
                  <w:pPr>
                    <w:adjustRightInd w:val="0"/>
                    <w:jc w:val="center"/>
                    <w:rPr>
                      <w:color w:val="auto"/>
                      <w:kern w:val="0"/>
                      <w:szCs w:val="21"/>
                    </w:rPr>
                  </w:pPr>
                  <w:r>
                    <w:rPr>
                      <w:rFonts w:hint="eastAsia"/>
                      <w:color w:val="auto"/>
                      <w:kern w:val="0"/>
                      <w:szCs w:val="21"/>
                    </w:rPr>
                    <w:t>-26.5</w:t>
                  </w:r>
                </w:p>
              </w:tc>
              <w:tc>
                <w:tcPr>
                  <w:tcW w:w="1022" w:type="dxa"/>
                  <w:vAlign w:val="center"/>
                </w:tcPr>
                <w:p w14:paraId="7A7191D1">
                  <w:pPr>
                    <w:adjustRightInd w:val="0"/>
                    <w:jc w:val="center"/>
                    <w:rPr>
                      <w:color w:val="auto"/>
                      <w:kern w:val="0"/>
                      <w:szCs w:val="21"/>
                    </w:rPr>
                  </w:pPr>
                  <w:r>
                    <w:rPr>
                      <w:rFonts w:hint="eastAsia"/>
                      <w:color w:val="auto"/>
                      <w:kern w:val="0"/>
                      <w:szCs w:val="21"/>
                    </w:rPr>
                    <w:t>-3</w:t>
                  </w:r>
                </w:p>
              </w:tc>
              <w:tc>
                <w:tcPr>
                  <w:tcW w:w="882" w:type="dxa"/>
                  <w:vAlign w:val="center"/>
                </w:tcPr>
                <w:p w14:paraId="1DB3E0BA">
                  <w:pPr>
                    <w:adjustRightInd w:val="0"/>
                    <w:jc w:val="center"/>
                    <w:rPr>
                      <w:color w:val="auto"/>
                      <w:kern w:val="0"/>
                      <w:szCs w:val="21"/>
                    </w:rPr>
                  </w:pPr>
                  <w:r>
                    <w:rPr>
                      <w:rFonts w:hint="eastAsia"/>
                      <w:color w:val="auto"/>
                      <w:kern w:val="0"/>
                      <w:szCs w:val="21"/>
                    </w:rPr>
                    <w:t>0.5</w:t>
                  </w:r>
                </w:p>
              </w:tc>
              <w:tc>
                <w:tcPr>
                  <w:tcW w:w="882" w:type="dxa"/>
                  <w:vAlign w:val="center"/>
                </w:tcPr>
                <w:p w14:paraId="7231F88C">
                  <w:pPr>
                    <w:pStyle w:val="8"/>
                    <w:widowControl w:val="0"/>
                    <w:spacing w:before="0" w:after="0" w:line="240" w:lineRule="auto"/>
                    <w:ind w:right="0"/>
                    <w:jc w:val="center"/>
                    <w:rPr>
                      <w:rFonts w:hint="default" w:eastAsia="宋体"/>
                      <w:color w:val="auto"/>
                      <w:sz w:val="21"/>
                      <w:szCs w:val="21"/>
                      <w:lang w:val="en-US" w:eastAsia="zh-CN"/>
                    </w:rPr>
                  </w:pPr>
                  <w:r>
                    <w:rPr>
                      <w:rFonts w:hint="eastAsia"/>
                      <w:color w:val="auto"/>
                      <w:sz w:val="21"/>
                      <w:szCs w:val="21"/>
                      <w:lang w:val="en-US" w:eastAsia="zh-CN"/>
                    </w:rPr>
                    <w:t>95</w:t>
                  </w:r>
                </w:p>
              </w:tc>
              <w:tc>
                <w:tcPr>
                  <w:tcW w:w="882" w:type="dxa"/>
                  <w:vMerge w:val="continue"/>
                  <w:vAlign w:val="center"/>
                </w:tcPr>
                <w:p w14:paraId="61900934">
                  <w:pPr>
                    <w:adjustRightInd w:val="0"/>
                    <w:jc w:val="center"/>
                    <w:rPr>
                      <w:color w:val="auto"/>
                      <w:kern w:val="0"/>
                      <w:szCs w:val="21"/>
                    </w:rPr>
                  </w:pPr>
                </w:p>
              </w:tc>
              <w:tc>
                <w:tcPr>
                  <w:tcW w:w="882" w:type="dxa"/>
                  <w:vMerge w:val="continue"/>
                  <w:vAlign w:val="center"/>
                </w:tcPr>
                <w:p w14:paraId="7228A7FB">
                  <w:pPr>
                    <w:adjustRightInd w:val="0"/>
                    <w:jc w:val="center"/>
                    <w:rPr>
                      <w:color w:val="auto"/>
                      <w:kern w:val="0"/>
                      <w:szCs w:val="21"/>
                    </w:rPr>
                  </w:pPr>
                </w:p>
              </w:tc>
            </w:tr>
          </w:tbl>
          <w:p w14:paraId="74802111">
            <w:pPr>
              <w:adjustRightInd w:val="0"/>
              <w:spacing w:line="500" w:lineRule="exact"/>
              <w:ind w:firstLine="482" w:firstLineChars="200"/>
              <w:jc w:val="left"/>
              <w:rPr>
                <w:b/>
                <w:kern w:val="0"/>
                <w:sz w:val="24"/>
                <w:szCs w:val="20"/>
              </w:rPr>
            </w:pPr>
            <w:r>
              <w:rPr>
                <w:rFonts w:hint="eastAsia"/>
                <w:b/>
                <w:kern w:val="0"/>
                <w:sz w:val="24"/>
                <w:szCs w:val="20"/>
              </w:rPr>
              <w:t>（2）噪声影响及达标分析</w:t>
            </w:r>
          </w:p>
          <w:p w14:paraId="5D2558B4">
            <w:pPr>
              <w:adjustRightInd w:val="0"/>
              <w:spacing w:line="500" w:lineRule="exact"/>
              <w:ind w:firstLine="480" w:firstLineChars="200"/>
              <w:rPr>
                <w:kern w:val="0"/>
                <w:sz w:val="24"/>
                <w:szCs w:val="20"/>
              </w:rPr>
            </w:pPr>
            <w:r>
              <w:rPr>
                <w:bCs/>
                <w:kern w:val="0"/>
                <w:sz w:val="24"/>
              </w:rPr>
              <w:t>根据《环境影响评价技术导则—声环境》</w:t>
            </w:r>
            <w:r>
              <w:rPr>
                <w:rFonts w:hint="eastAsia"/>
                <w:bCs/>
                <w:kern w:val="0"/>
                <w:sz w:val="24"/>
              </w:rPr>
              <w:t>（</w:t>
            </w:r>
            <w:r>
              <w:rPr>
                <w:bCs/>
                <w:kern w:val="0"/>
                <w:sz w:val="24"/>
              </w:rPr>
              <w:t>HJ2.4－20</w:t>
            </w:r>
            <w:r>
              <w:rPr>
                <w:rFonts w:hint="eastAsia"/>
                <w:bCs/>
                <w:kern w:val="0"/>
                <w:sz w:val="24"/>
              </w:rPr>
              <w:t>21）</w:t>
            </w:r>
            <w:r>
              <w:rPr>
                <w:bCs/>
                <w:kern w:val="0"/>
                <w:sz w:val="24"/>
              </w:rPr>
              <w:t>基本公式，对</w:t>
            </w:r>
            <w:r>
              <w:rPr>
                <w:rFonts w:hint="eastAsia"/>
                <w:kern w:val="0"/>
                <w:sz w:val="24"/>
                <w:szCs w:val="20"/>
              </w:rPr>
              <w:t>各</w:t>
            </w:r>
            <w:r>
              <w:rPr>
                <w:kern w:val="0"/>
                <w:sz w:val="24"/>
                <w:szCs w:val="20"/>
              </w:rPr>
              <w:t>设备噪声的影响范围进行预测</w:t>
            </w:r>
            <w:r>
              <w:rPr>
                <w:rFonts w:hint="eastAsia"/>
                <w:kern w:val="0"/>
                <w:sz w:val="24"/>
                <w:szCs w:val="20"/>
              </w:rPr>
              <w:t>，</w:t>
            </w:r>
            <w:r>
              <w:rPr>
                <w:kern w:val="0"/>
                <w:sz w:val="24"/>
                <w:szCs w:val="20"/>
              </w:rPr>
              <w:t>本次评价只考虑几何发散衰减和屏障</w:t>
            </w:r>
            <w:r>
              <w:rPr>
                <w:rFonts w:hint="eastAsia"/>
                <w:kern w:val="0"/>
                <w:sz w:val="24"/>
                <w:szCs w:val="20"/>
              </w:rPr>
              <w:t>衰减</w:t>
            </w:r>
            <w:r>
              <w:rPr>
                <w:kern w:val="0"/>
                <w:sz w:val="24"/>
                <w:szCs w:val="20"/>
              </w:rPr>
              <w:t>。</w:t>
            </w:r>
          </w:p>
          <w:p w14:paraId="0B266ACD">
            <w:pPr>
              <w:adjustRightInd w:val="0"/>
              <w:spacing w:line="500" w:lineRule="exact"/>
              <w:ind w:firstLine="480" w:firstLineChars="200"/>
              <w:jc w:val="center"/>
              <w:rPr>
                <w:kern w:val="0"/>
                <w:sz w:val="24"/>
                <w:szCs w:val="20"/>
              </w:rPr>
            </w:pPr>
            <w:r>
              <w:rPr>
                <w:rFonts w:hint="eastAsia"/>
                <w:kern w:val="0"/>
                <w:sz w:val="24"/>
                <w:szCs w:val="20"/>
              </w:rPr>
              <w:t>LA</w:t>
            </w:r>
            <w:r>
              <w:rPr>
                <w:kern w:val="0"/>
                <w:sz w:val="24"/>
                <w:szCs w:val="20"/>
              </w:rPr>
              <w:t>(</w:t>
            </w:r>
            <w:r>
              <w:rPr>
                <w:rFonts w:hint="eastAsia"/>
                <w:kern w:val="0"/>
                <w:sz w:val="24"/>
                <w:szCs w:val="20"/>
              </w:rPr>
              <w:t>r</w:t>
            </w:r>
            <w:r>
              <w:rPr>
                <w:kern w:val="0"/>
                <w:sz w:val="24"/>
                <w:szCs w:val="20"/>
              </w:rPr>
              <w:t>)</w:t>
            </w:r>
            <w:r>
              <w:rPr>
                <w:rFonts w:hint="eastAsia"/>
                <w:kern w:val="0"/>
                <w:sz w:val="24"/>
                <w:szCs w:val="20"/>
              </w:rPr>
              <w:t>=LA</w:t>
            </w:r>
            <w:r>
              <w:rPr>
                <w:kern w:val="0"/>
                <w:sz w:val="24"/>
                <w:szCs w:val="20"/>
              </w:rPr>
              <w:t>(</w:t>
            </w:r>
            <w:r>
              <w:rPr>
                <w:rFonts w:hint="eastAsia"/>
                <w:kern w:val="0"/>
                <w:sz w:val="24"/>
                <w:szCs w:val="20"/>
              </w:rPr>
              <w:t>r0</w:t>
            </w:r>
            <w:r>
              <w:rPr>
                <w:kern w:val="0"/>
                <w:sz w:val="24"/>
                <w:szCs w:val="20"/>
              </w:rPr>
              <w:t>)</w:t>
            </w:r>
            <w:r>
              <w:rPr>
                <w:rFonts w:hint="eastAsia"/>
                <w:kern w:val="0"/>
                <w:sz w:val="24"/>
                <w:szCs w:val="20"/>
              </w:rPr>
              <w:t>－20lg</w:t>
            </w:r>
            <w:r>
              <w:rPr>
                <w:kern w:val="0"/>
                <w:sz w:val="24"/>
                <w:szCs w:val="20"/>
              </w:rPr>
              <w:t>(</w:t>
            </w:r>
            <w:r>
              <w:rPr>
                <w:rFonts w:hint="eastAsia"/>
                <w:kern w:val="0"/>
                <w:sz w:val="24"/>
                <w:szCs w:val="20"/>
              </w:rPr>
              <w:t>r/r0</w:t>
            </w:r>
            <w:r>
              <w:rPr>
                <w:kern w:val="0"/>
                <w:sz w:val="24"/>
                <w:szCs w:val="20"/>
              </w:rPr>
              <w:t>)</w:t>
            </w:r>
            <w:r>
              <w:rPr>
                <w:rFonts w:hint="eastAsia"/>
                <w:kern w:val="0"/>
                <w:sz w:val="24"/>
                <w:szCs w:val="20"/>
              </w:rPr>
              <w:t>—TL</w:t>
            </w:r>
          </w:p>
          <w:p w14:paraId="5CD5BEA7">
            <w:pPr>
              <w:adjustRightInd w:val="0"/>
              <w:spacing w:line="500" w:lineRule="exact"/>
              <w:ind w:firstLine="480" w:firstLineChars="200"/>
              <w:rPr>
                <w:rFonts w:hint="eastAsia" w:eastAsia="宋体"/>
                <w:kern w:val="0"/>
                <w:sz w:val="24"/>
                <w:szCs w:val="20"/>
                <w:lang w:eastAsia="zh-CN"/>
              </w:rPr>
            </w:pPr>
            <w:r>
              <w:rPr>
                <w:rFonts w:hint="eastAsia"/>
                <w:kern w:val="0"/>
                <w:sz w:val="24"/>
                <w:szCs w:val="20"/>
              </w:rPr>
              <w:t>式中：LA（r）为距离声源r处的A声级dB（A）</w:t>
            </w:r>
            <w:r>
              <w:rPr>
                <w:rFonts w:hint="eastAsia"/>
                <w:kern w:val="0"/>
                <w:sz w:val="24"/>
                <w:szCs w:val="20"/>
                <w:lang w:eastAsia="zh-CN"/>
              </w:rPr>
              <w:t>；</w:t>
            </w:r>
          </w:p>
          <w:p w14:paraId="1E507DF5">
            <w:pPr>
              <w:adjustRightInd w:val="0"/>
              <w:spacing w:line="500" w:lineRule="exact"/>
              <w:ind w:firstLine="480" w:firstLineChars="200"/>
              <w:rPr>
                <w:kern w:val="0"/>
                <w:sz w:val="24"/>
                <w:szCs w:val="20"/>
              </w:rPr>
            </w:pPr>
            <w:r>
              <w:rPr>
                <w:rFonts w:hint="eastAsia"/>
                <w:kern w:val="0"/>
                <w:sz w:val="24"/>
                <w:szCs w:val="20"/>
              </w:rPr>
              <w:t>LA（r0）为参考位置r0处的A声级dB（A）；</w:t>
            </w:r>
          </w:p>
          <w:p w14:paraId="07C6F44A">
            <w:pPr>
              <w:adjustRightInd w:val="0"/>
              <w:spacing w:line="500" w:lineRule="exact"/>
              <w:ind w:firstLine="480" w:firstLineChars="200"/>
              <w:rPr>
                <w:kern w:val="0"/>
                <w:sz w:val="24"/>
                <w:szCs w:val="20"/>
              </w:rPr>
            </w:pPr>
            <w:r>
              <w:rPr>
                <w:rFonts w:hint="eastAsia"/>
                <w:kern w:val="0"/>
                <w:sz w:val="24"/>
                <w:szCs w:val="20"/>
              </w:rPr>
              <w:t>r为声源与预测点的距离（m）；</w:t>
            </w:r>
          </w:p>
          <w:p w14:paraId="69F2B85A">
            <w:pPr>
              <w:adjustRightInd w:val="0"/>
              <w:spacing w:line="500" w:lineRule="exact"/>
              <w:ind w:firstLine="480" w:firstLineChars="200"/>
              <w:rPr>
                <w:kern w:val="0"/>
                <w:sz w:val="24"/>
                <w:szCs w:val="20"/>
              </w:rPr>
            </w:pPr>
            <w:r>
              <w:rPr>
                <w:rFonts w:hint="eastAsia"/>
                <w:kern w:val="0"/>
                <w:sz w:val="24"/>
                <w:szCs w:val="20"/>
              </w:rPr>
              <w:t>TL为机房墙体隔声量。</w:t>
            </w:r>
          </w:p>
          <w:p w14:paraId="39CE53AA">
            <w:pPr>
              <w:adjustRightInd w:val="0"/>
              <w:spacing w:line="500" w:lineRule="exact"/>
              <w:ind w:firstLine="480" w:firstLineChars="200"/>
              <w:jc w:val="left"/>
              <w:rPr>
                <w:kern w:val="0"/>
                <w:sz w:val="24"/>
                <w:szCs w:val="20"/>
              </w:rPr>
            </w:pPr>
            <w:r>
              <w:rPr>
                <w:rFonts w:hint="eastAsia"/>
                <w:kern w:val="0"/>
                <w:sz w:val="24"/>
                <w:szCs w:val="20"/>
              </w:rPr>
              <w:t>各设备取平均噪声源强，由于设备为整套运作，噪声声源位置距离较近，可近似为一个噪声声源，根据导则中推荐的计算公式进行能量叠加，结果约为80db（A），TL按15db（A）经验值计算。</w:t>
            </w:r>
          </w:p>
          <w:p w14:paraId="72500A4A">
            <w:pPr>
              <w:spacing w:line="500" w:lineRule="exact"/>
              <w:ind w:firstLine="480"/>
              <w:rPr>
                <w:kern w:val="0"/>
                <w:sz w:val="24"/>
              </w:rPr>
            </w:pPr>
            <w:r>
              <w:rPr>
                <w:kern w:val="0"/>
                <w:sz w:val="24"/>
              </w:rPr>
              <w:t xml:space="preserve"> 多个声压级不同声音的叠加模式</w:t>
            </w:r>
          </w:p>
          <w:p w14:paraId="7F2950EC">
            <w:pPr>
              <w:spacing w:line="500" w:lineRule="exact"/>
              <w:ind w:left="420" w:leftChars="200" w:firstLine="480"/>
              <w:rPr>
                <w:kern w:val="0"/>
                <w:sz w:val="24"/>
              </w:rPr>
            </w:pPr>
            <w:r>
              <w:rPr>
                <w:kern w:val="0"/>
                <w:sz w:val="24"/>
              </w:rPr>
              <w:t xml:space="preserve">      </w:t>
            </w:r>
            <w:r>
              <w:rPr>
                <w:position w:val="-10"/>
                <w:sz w:val="24"/>
              </w:rPr>
              <w:drawing>
                <wp:inline distT="0" distB="0" distL="0" distR="0">
                  <wp:extent cx="2657475" cy="238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57475" cy="238125"/>
                          </a:xfrm>
                          <a:prstGeom prst="rect">
                            <a:avLst/>
                          </a:prstGeom>
                          <a:noFill/>
                          <a:ln>
                            <a:noFill/>
                          </a:ln>
                        </pic:spPr>
                      </pic:pic>
                    </a:graphicData>
                  </a:graphic>
                </wp:inline>
              </w:drawing>
            </w:r>
            <w:r>
              <w:rPr>
                <w:kern w:val="0"/>
                <w:sz w:val="24"/>
              </w:rPr>
              <w:t xml:space="preserve"> </w:t>
            </w:r>
          </w:p>
          <w:p w14:paraId="6B4235B9">
            <w:pPr>
              <w:tabs>
                <w:tab w:val="center" w:pos="4464"/>
              </w:tabs>
              <w:spacing w:line="500" w:lineRule="exact"/>
              <w:ind w:left="420" w:leftChars="200" w:firstLine="480"/>
              <w:rPr>
                <w:kern w:val="0"/>
                <w:sz w:val="24"/>
              </w:rPr>
            </w:pPr>
            <w:r>
              <w:rPr>
                <w:kern w:val="0"/>
                <w:sz w:val="24"/>
              </w:rPr>
              <w:t xml:space="preserve"> 其中：L——总噪声值  dB</w:t>
            </w:r>
          </w:p>
          <w:p w14:paraId="6D5410E3">
            <w:pPr>
              <w:adjustRightInd w:val="0"/>
              <w:spacing w:line="500" w:lineRule="exact"/>
              <w:ind w:firstLine="1200" w:firstLineChars="500"/>
              <w:jc w:val="left"/>
              <w:rPr>
                <w:kern w:val="0"/>
                <w:sz w:val="24"/>
                <w:szCs w:val="20"/>
              </w:rPr>
            </w:pPr>
            <w:r>
              <w:rPr>
                <w:kern w:val="0"/>
                <w:sz w:val="24"/>
                <w:szCs w:val="20"/>
              </w:rPr>
              <w:t xml:space="preserve"> </w:t>
            </w:r>
            <w:r>
              <w:rPr>
                <w:rFonts w:hint="eastAsia"/>
                <w:kern w:val="0"/>
                <w:sz w:val="24"/>
                <w:szCs w:val="20"/>
              </w:rPr>
              <w:t xml:space="preserve"> </w:t>
            </w:r>
            <w:r>
              <w:rPr>
                <w:kern w:val="0"/>
                <w:sz w:val="24"/>
                <w:szCs w:val="20"/>
              </w:rPr>
              <w:t xml:space="preserve">   L1、L2、L3——各不同声源的噪声值dB</w:t>
            </w:r>
          </w:p>
          <w:p w14:paraId="2B49718A">
            <w:pPr>
              <w:spacing w:line="500" w:lineRule="exact"/>
              <w:ind w:firstLine="482"/>
              <w:rPr>
                <w:rFonts w:hint="eastAsia"/>
                <w:kern w:val="0"/>
                <w:sz w:val="24"/>
                <w:szCs w:val="20"/>
              </w:rPr>
            </w:pPr>
            <w:r>
              <w:rPr>
                <w:rFonts w:hint="eastAsia"/>
                <w:kern w:val="0"/>
                <w:sz w:val="24"/>
                <w:szCs w:val="20"/>
              </w:rPr>
              <w:t>噪声预测结果见表4-</w:t>
            </w:r>
            <w:r>
              <w:rPr>
                <w:rFonts w:hint="eastAsia"/>
                <w:kern w:val="0"/>
                <w:sz w:val="24"/>
                <w:szCs w:val="20"/>
                <w:lang w:val="en-US" w:eastAsia="zh-CN"/>
              </w:rPr>
              <w:t>13</w:t>
            </w:r>
            <w:r>
              <w:rPr>
                <w:rFonts w:hint="eastAsia"/>
                <w:kern w:val="0"/>
                <w:sz w:val="24"/>
                <w:szCs w:val="20"/>
              </w:rPr>
              <w:t>。</w:t>
            </w:r>
          </w:p>
          <w:p w14:paraId="142FF9C7">
            <w:pPr>
              <w:pStyle w:val="48"/>
              <w:numPr>
                <w:ilvl w:val="2"/>
                <w:numId w:val="4"/>
              </w:numPr>
              <w:spacing w:line="500" w:lineRule="atLeast"/>
              <w:ind w:firstLineChars="0"/>
              <w:jc w:val="center"/>
              <w:rPr>
                <w:b/>
                <w:sz w:val="24"/>
              </w:rPr>
            </w:pPr>
            <w:r>
              <w:rPr>
                <w:b/>
                <w:sz w:val="24"/>
              </w:rPr>
              <w:t>噪声影响范围预测结果</w:t>
            </w:r>
            <w:r>
              <w:rPr>
                <w:rFonts w:hint="eastAsia"/>
                <w:b/>
                <w:sz w:val="24"/>
              </w:rPr>
              <w:t xml:space="preserve">（贡献值） </w:t>
            </w:r>
            <w:r>
              <w:rPr>
                <w:b/>
                <w:sz w:val="24"/>
              </w:rPr>
              <w:t>单位：dB（A）</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012"/>
              <w:gridCol w:w="703"/>
              <w:gridCol w:w="788"/>
              <w:gridCol w:w="673"/>
              <w:gridCol w:w="765"/>
              <w:gridCol w:w="779"/>
              <w:gridCol w:w="765"/>
              <w:gridCol w:w="660"/>
              <w:gridCol w:w="661"/>
              <w:gridCol w:w="648"/>
            </w:tblGrid>
            <w:tr w14:paraId="3FFF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82" w:type="dxa"/>
                  <w:vMerge w:val="restart"/>
                  <w:tcBorders>
                    <w:top w:val="single" w:color="auto" w:sz="4" w:space="0"/>
                    <w:left w:val="single" w:color="auto" w:sz="4" w:space="0"/>
                    <w:bottom w:val="single" w:color="auto" w:sz="4" w:space="0"/>
                    <w:right w:val="single" w:color="auto" w:sz="4" w:space="0"/>
                  </w:tcBorders>
                  <w:vAlign w:val="center"/>
                </w:tcPr>
                <w:p w14:paraId="6BE29622">
                  <w:pPr>
                    <w:jc w:val="center"/>
                    <w:rPr>
                      <w:color w:val="auto"/>
                      <w:szCs w:val="21"/>
                    </w:rPr>
                  </w:pPr>
                  <w:r>
                    <w:rPr>
                      <w:color w:val="auto"/>
                      <w:szCs w:val="21"/>
                    </w:rPr>
                    <w:t>序号</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16A37D91">
                  <w:pPr>
                    <w:jc w:val="center"/>
                    <w:rPr>
                      <w:color w:val="auto"/>
                      <w:szCs w:val="21"/>
                    </w:rPr>
                  </w:pPr>
                  <w:r>
                    <w:rPr>
                      <w:color w:val="auto"/>
                      <w:szCs w:val="21"/>
                    </w:rPr>
                    <w:t>预测点位置</w:t>
                  </w:r>
                </w:p>
              </w:tc>
              <w:tc>
                <w:tcPr>
                  <w:tcW w:w="1491" w:type="dxa"/>
                  <w:gridSpan w:val="2"/>
                  <w:tcBorders>
                    <w:top w:val="single" w:color="auto" w:sz="4" w:space="0"/>
                    <w:left w:val="single" w:color="auto" w:sz="4" w:space="0"/>
                    <w:bottom w:val="single" w:color="auto" w:sz="4" w:space="0"/>
                    <w:right w:val="single" w:color="auto" w:sz="4" w:space="0"/>
                  </w:tcBorders>
                  <w:vAlign w:val="center"/>
                </w:tcPr>
                <w:p w14:paraId="313F1313">
                  <w:pPr>
                    <w:jc w:val="center"/>
                    <w:rPr>
                      <w:color w:val="auto"/>
                      <w:szCs w:val="21"/>
                    </w:rPr>
                  </w:pPr>
                  <w:r>
                    <w:rPr>
                      <w:color w:val="auto"/>
                      <w:szCs w:val="21"/>
                    </w:rPr>
                    <w:t>贡献值</w:t>
                  </w: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4C1166E6">
                  <w:pPr>
                    <w:jc w:val="center"/>
                    <w:rPr>
                      <w:color w:val="auto"/>
                      <w:szCs w:val="21"/>
                    </w:rPr>
                  </w:pPr>
                  <w:r>
                    <w:rPr>
                      <w:rFonts w:hint="eastAsia"/>
                      <w:color w:val="auto"/>
                      <w:szCs w:val="21"/>
                    </w:rPr>
                    <w:t>背景值</w:t>
                  </w:r>
                </w:p>
              </w:tc>
              <w:tc>
                <w:tcPr>
                  <w:tcW w:w="1544" w:type="dxa"/>
                  <w:gridSpan w:val="2"/>
                  <w:tcBorders>
                    <w:top w:val="single" w:color="auto" w:sz="4" w:space="0"/>
                    <w:left w:val="single" w:color="auto" w:sz="4" w:space="0"/>
                    <w:bottom w:val="single" w:color="auto" w:sz="4" w:space="0"/>
                    <w:right w:val="single" w:color="auto" w:sz="4" w:space="0"/>
                  </w:tcBorders>
                  <w:vAlign w:val="center"/>
                </w:tcPr>
                <w:p w14:paraId="7271A4C7">
                  <w:pPr>
                    <w:jc w:val="center"/>
                    <w:rPr>
                      <w:color w:val="auto"/>
                      <w:szCs w:val="21"/>
                    </w:rPr>
                  </w:pPr>
                  <w:r>
                    <w:rPr>
                      <w:rFonts w:hint="eastAsia"/>
                      <w:color w:val="auto"/>
                      <w:szCs w:val="21"/>
                    </w:rPr>
                    <w:t>叠加值</w:t>
                  </w:r>
                </w:p>
              </w:tc>
              <w:tc>
                <w:tcPr>
                  <w:tcW w:w="1321" w:type="dxa"/>
                  <w:gridSpan w:val="2"/>
                  <w:tcBorders>
                    <w:top w:val="single" w:color="auto" w:sz="4" w:space="0"/>
                    <w:left w:val="single" w:color="auto" w:sz="4" w:space="0"/>
                    <w:bottom w:val="single" w:color="auto" w:sz="4" w:space="0"/>
                    <w:right w:val="single" w:color="auto" w:sz="4" w:space="0"/>
                  </w:tcBorders>
                  <w:vAlign w:val="center"/>
                </w:tcPr>
                <w:p w14:paraId="1957C588">
                  <w:pPr>
                    <w:jc w:val="center"/>
                    <w:rPr>
                      <w:color w:val="auto"/>
                      <w:szCs w:val="21"/>
                    </w:rPr>
                  </w:pPr>
                  <w:r>
                    <w:rPr>
                      <w:color w:val="auto"/>
                      <w:szCs w:val="21"/>
                    </w:rPr>
                    <w:t>标准值</w:t>
                  </w:r>
                </w:p>
              </w:tc>
              <w:tc>
                <w:tcPr>
                  <w:tcW w:w="648" w:type="dxa"/>
                  <w:vMerge w:val="restart"/>
                  <w:tcBorders>
                    <w:top w:val="single" w:color="auto" w:sz="4" w:space="0"/>
                    <w:left w:val="single" w:color="auto" w:sz="4" w:space="0"/>
                    <w:bottom w:val="single" w:color="auto" w:sz="4" w:space="0"/>
                    <w:right w:val="single" w:color="auto" w:sz="4" w:space="0"/>
                  </w:tcBorders>
                  <w:vAlign w:val="center"/>
                </w:tcPr>
                <w:p w14:paraId="7072338E">
                  <w:pPr>
                    <w:jc w:val="center"/>
                    <w:rPr>
                      <w:color w:val="auto"/>
                      <w:szCs w:val="21"/>
                    </w:rPr>
                  </w:pPr>
                  <w:r>
                    <w:rPr>
                      <w:color w:val="auto"/>
                      <w:szCs w:val="21"/>
                    </w:rPr>
                    <w:t>达标情况</w:t>
                  </w:r>
                </w:p>
              </w:tc>
            </w:tr>
            <w:tr w14:paraId="7980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329552E8">
                  <w:pPr>
                    <w:rPr>
                      <w:color w:val="auto"/>
                      <w:szCs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442D432C">
                  <w:pPr>
                    <w:rPr>
                      <w:color w:val="auto"/>
                      <w:szCs w:val="21"/>
                    </w:rPr>
                  </w:pPr>
                </w:p>
              </w:tc>
              <w:tc>
                <w:tcPr>
                  <w:tcW w:w="703" w:type="dxa"/>
                  <w:tcBorders>
                    <w:top w:val="single" w:color="auto" w:sz="4" w:space="0"/>
                    <w:left w:val="single" w:color="auto" w:sz="4" w:space="0"/>
                    <w:bottom w:val="single" w:color="auto" w:sz="4" w:space="0"/>
                    <w:right w:val="single" w:color="auto" w:sz="4" w:space="0"/>
                  </w:tcBorders>
                  <w:vAlign w:val="center"/>
                </w:tcPr>
                <w:p w14:paraId="4615DC13">
                  <w:pPr>
                    <w:jc w:val="center"/>
                    <w:rPr>
                      <w:color w:val="auto"/>
                      <w:szCs w:val="21"/>
                    </w:rPr>
                  </w:pPr>
                  <w:r>
                    <w:rPr>
                      <w:color w:val="auto"/>
                      <w:szCs w:val="21"/>
                    </w:rPr>
                    <w:t>昼间</w:t>
                  </w:r>
                </w:p>
              </w:tc>
              <w:tc>
                <w:tcPr>
                  <w:tcW w:w="788" w:type="dxa"/>
                  <w:tcBorders>
                    <w:top w:val="single" w:color="auto" w:sz="4" w:space="0"/>
                    <w:left w:val="single" w:color="auto" w:sz="4" w:space="0"/>
                    <w:bottom w:val="single" w:color="auto" w:sz="4" w:space="0"/>
                    <w:right w:val="single" w:color="auto" w:sz="4" w:space="0"/>
                  </w:tcBorders>
                  <w:vAlign w:val="center"/>
                </w:tcPr>
                <w:p w14:paraId="3B83EAAB">
                  <w:pPr>
                    <w:jc w:val="center"/>
                    <w:rPr>
                      <w:color w:val="auto"/>
                      <w:szCs w:val="21"/>
                    </w:rPr>
                  </w:pPr>
                  <w:r>
                    <w:rPr>
                      <w:color w:val="auto"/>
                      <w:szCs w:val="21"/>
                    </w:rPr>
                    <w:t>夜间</w:t>
                  </w:r>
                </w:p>
              </w:tc>
              <w:tc>
                <w:tcPr>
                  <w:tcW w:w="673" w:type="dxa"/>
                  <w:tcBorders>
                    <w:top w:val="single" w:color="auto" w:sz="4" w:space="0"/>
                    <w:left w:val="single" w:color="auto" w:sz="4" w:space="0"/>
                    <w:bottom w:val="single" w:color="auto" w:sz="4" w:space="0"/>
                    <w:right w:val="single" w:color="auto" w:sz="4" w:space="0"/>
                  </w:tcBorders>
                  <w:vAlign w:val="center"/>
                </w:tcPr>
                <w:p w14:paraId="3FAB195A">
                  <w:pPr>
                    <w:jc w:val="center"/>
                    <w:rPr>
                      <w:color w:val="auto"/>
                      <w:szCs w:val="21"/>
                    </w:rPr>
                  </w:pPr>
                  <w:r>
                    <w:rPr>
                      <w:color w:val="auto"/>
                      <w:szCs w:val="21"/>
                    </w:rPr>
                    <w:t>昼间</w:t>
                  </w:r>
                </w:p>
              </w:tc>
              <w:tc>
                <w:tcPr>
                  <w:tcW w:w="765" w:type="dxa"/>
                  <w:tcBorders>
                    <w:top w:val="single" w:color="auto" w:sz="4" w:space="0"/>
                    <w:left w:val="single" w:color="auto" w:sz="4" w:space="0"/>
                    <w:bottom w:val="single" w:color="auto" w:sz="4" w:space="0"/>
                    <w:right w:val="single" w:color="auto" w:sz="4" w:space="0"/>
                  </w:tcBorders>
                  <w:vAlign w:val="center"/>
                </w:tcPr>
                <w:p w14:paraId="368B1708">
                  <w:pPr>
                    <w:jc w:val="center"/>
                    <w:rPr>
                      <w:color w:val="auto"/>
                      <w:szCs w:val="21"/>
                    </w:rPr>
                  </w:pPr>
                  <w:r>
                    <w:rPr>
                      <w:color w:val="auto"/>
                      <w:szCs w:val="21"/>
                    </w:rPr>
                    <w:t>夜间</w:t>
                  </w:r>
                </w:p>
              </w:tc>
              <w:tc>
                <w:tcPr>
                  <w:tcW w:w="779" w:type="dxa"/>
                  <w:tcBorders>
                    <w:top w:val="single" w:color="auto" w:sz="4" w:space="0"/>
                    <w:left w:val="single" w:color="auto" w:sz="4" w:space="0"/>
                    <w:bottom w:val="single" w:color="auto" w:sz="4" w:space="0"/>
                    <w:right w:val="single" w:color="auto" w:sz="4" w:space="0"/>
                  </w:tcBorders>
                  <w:vAlign w:val="center"/>
                </w:tcPr>
                <w:p w14:paraId="3E341596">
                  <w:pPr>
                    <w:jc w:val="center"/>
                    <w:rPr>
                      <w:color w:val="auto"/>
                      <w:szCs w:val="21"/>
                    </w:rPr>
                  </w:pPr>
                  <w:r>
                    <w:rPr>
                      <w:color w:val="auto"/>
                      <w:szCs w:val="21"/>
                    </w:rPr>
                    <w:t>昼间</w:t>
                  </w:r>
                </w:p>
              </w:tc>
              <w:tc>
                <w:tcPr>
                  <w:tcW w:w="765" w:type="dxa"/>
                  <w:tcBorders>
                    <w:top w:val="single" w:color="auto" w:sz="4" w:space="0"/>
                    <w:left w:val="single" w:color="auto" w:sz="4" w:space="0"/>
                    <w:bottom w:val="single" w:color="auto" w:sz="4" w:space="0"/>
                    <w:right w:val="single" w:color="auto" w:sz="4" w:space="0"/>
                  </w:tcBorders>
                  <w:vAlign w:val="center"/>
                </w:tcPr>
                <w:p w14:paraId="256F782B">
                  <w:pPr>
                    <w:jc w:val="center"/>
                    <w:rPr>
                      <w:color w:val="auto"/>
                      <w:szCs w:val="21"/>
                    </w:rPr>
                  </w:pPr>
                  <w:r>
                    <w:rPr>
                      <w:color w:val="auto"/>
                      <w:szCs w:val="21"/>
                    </w:rPr>
                    <w:t>夜间</w:t>
                  </w:r>
                </w:p>
              </w:tc>
              <w:tc>
                <w:tcPr>
                  <w:tcW w:w="660" w:type="dxa"/>
                  <w:tcBorders>
                    <w:top w:val="single" w:color="auto" w:sz="4" w:space="0"/>
                    <w:left w:val="single" w:color="auto" w:sz="4" w:space="0"/>
                    <w:bottom w:val="single" w:color="auto" w:sz="4" w:space="0"/>
                    <w:right w:val="single" w:color="auto" w:sz="4" w:space="0"/>
                  </w:tcBorders>
                  <w:vAlign w:val="center"/>
                </w:tcPr>
                <w:p w14:paraId="6B2984E6">
                  <w:pPr>
                    <w:jc w:val="center"/>
                    <w:rPr>
                      <w:color w:val="auto"/>
                      <w:szCs w:val="21"/>
                    </w:rPr>
                  </w:pPr>
                  <w:r>
                    <w:rPr>
                      <w:color w:val="auto"/>
                      <w:szCs w:val="21"/>
                    </w:rPr>
                    <w:t>昼间</w:t>
                  </w:r>
                </w:p>
              </w:tc>
              <w:tc>
                <w:tcPr>
                  <w:tcW w:w="661" w:type="dxa"/>
                  <w:tcBorders>
                    <w:top w:val="single" w:color="auto" w:sz="4" w:space="0"/>
                    <w:left w:val="single" w:color="auto" w:sz="4" w:space="0"/>
                    <w:bottom w:val="single" w:color="auto" w:sz="4" w:space="0"/>
                    <w:right w:val="single" w:color="auto" w:sz="4" w:space="0"/>
                  </w:tcBorders>
                  <w:vAlign w:val="center"/>
                </w:tcPr>
                <w:p w14:paraId="07BAA118">
                  <w:pPr>
                    <w:jc w:val="center"/>
                    <w:rPr>
                      <w:color w:val="auto"/>
                      <w:szCs w:val="21"/>
                    </w:rPr>
                  </w:pPr>
                  <w:r>
                    <w:rPr>
                      <w:color w:val="auto"/>
                      <w:szCs w:val="21"/>
                    </w:rPr>
                    <w:t>夜间</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311671AB">
                  <w:pPr>
                    <w:rPr>
                      <w:color w:val="auto"/>
                      <w:szCs w:val="21"/>
                    </w:rPr>
                  </w:pPr>
                </w:p>
              </w:tc>
            </w:tr>
            <w:tr w14:paraId="101C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1AB8ADF7">
                  <w:pPr>
                    <w:jc w:val="center"/>
                    <w:rPr>
                      <w:color w:val="auto"/>
                      <w:szCs w:val="21"/>
                    </w:rPr>
                  </w:pPr>
                  <w:r>
                    <w:rPr>
                      <w:color w:val="auto"/>
                      <w:szCs w:val="21"/>
                    </w:rPr>
                    <w:t>1</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69728FB0">
                  <w:pPr>
                    <w:jc w:val="center"/>
                    <w:rPr>
                      <w:rFonts w:ascii="Times New Roman" w:hAnsi="Times New Roman" w:eastAsia="宋体" w:cs="Times New Roman"/>
                      <w:color w:val="auto"/>
                      <w:kern w:val="2"/>
                      <w:sz w:val="21"/>
                      <w:szCs w:val="21"/>
                      <w:lang w:val="en-US" w:eastAsia="zh-CN" w:bidi="ar-SA"/>
                    </w:rPr>
                  </w:pPr>
                  <w:r>
                    <w:rPr>
                      <w:color w:val="auto"/>
                      <w:szCs w:val="21"/>
                    </w:rPr>
                    <w:t>厂界东面</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62CA125E">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35.47</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D1E8520">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35.47</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639EA5EC">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FD5220">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48353093">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4054D0C">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9C34089">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70</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47A40926">
                  <w:pPr>
                    <w:jc w:val="center"/>
                    <w:rPr>
                      <w:rFonts w:ascii="Times New Roman" w:hAnsi="Times New Roman" w:eastAsia="宋体" w:cs="Times New Roman"/>
                      <w:color w:val="auto"/>
                      <w:kern w:val="2"/>
                      <w:sz w:val="21"/>
                      <w:szCs w:val="21"/>
                      <w:lang w:val="en-US" w:eastAsia="zh-CN" w:bidi="ar-SA"/>
                    </w:rPr>
                  </w:pPr>
                  <w:r>
                    <w:rPr>
                      <w:color w:val="auto"/>
                      <w:szCs w:val="21"/>
                    </w:rPr>
                    <w:t>55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9082F4B">
                  <w:pPr>
                    <w:jc w:val="center"/>
                    <w:rPr>
                      <w:rFonts w:ascii="Times New Roman" w:hAnsi="Times New Roman" w:eastAsia="宋体" w:cs="Times New Roman"/>
                      <w:color w:val="auto"/>
                      <w:kern w:val="2"/>
                      <w:sz w:val="21"/>
                      <w:szCs w:val="21"/>
                      <w:lang w:val="en-US" w:eastAsia="zh-CN" w:bidi="ar-SA"/>
                    </w:rPr>
                  </w:pPr>
                  <w:r>
                    <w:rPr>
                      <w:color w:val="auto"/>
                      <w:szCs w:val="21"/>
                    </w:rPr>
                    <w:t>达标</w:t>
                  </w:r>
                </w:p>
              </w:tc>
            </w:tr>
            <w:tr w14:paraId="6D3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7CBA9AFB">
                  <w:pPr>
                    <w:jc w:val="center"/>
                    <w:rPr>
                      <w:color w:val="auto"/>
                      <w:szCs w:val="21"/>
                    </w:rPr>
                  </w:pPr>
                  <w:r>
                    <w:rPr>
                      <w:color w:val="auto"/>
                      <w:szCs w:val="21"/>
                    </w:rPr>
                    <w:t>2</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0B7C7385">
                  <w:pPr>
                    <w:jc w:val="center"/>
                    <w:rPr>
                      <w:rFonts w:ascii="Times New Roman" w:hAnsi="Times New Roman" w:eastAsia="宋体" w:cs="Times New Roman"/>
                      <w:color w:val="auto"/>
                      <w:kern w:val="2"/>
                      <w:sz w:val="21"/>
                      <w:szCs w:val="21"/>
                      <w:lang w:val="en-US" w:eastAsia="zh-CN" w:bidi="ar-SA"/>
                    </w:rPr>
                  </w:pPr>
                  <w:r>
                    <w:rPr>
                      <w:color w:val="auto"/>
                      <w:szCs w:val="21"/>
                    </w:rPr>
                    <w:t>厂界南面</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6EE0B7A8">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31.33</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BAB2DCA">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31.33</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32E16E9F">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EBE2F4E">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7D2A228F">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ABBAA89">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0471ED2">
                  <w:pPr>
                    <w:jc w:val="center"/>
                    <w:rPr>
                      <w:rFonts w:ascii="Times New Roman" w:hAnsi="Times New Roman" w:eastAsia="宋体" w:cs="Times New Roman"/>
                      <w:color w:val="auto"/>
                      <w:kern w:val="2"/>
                      <w:sz w:val="21"/>
                      <w:szCs w:val="21"/>
                      <w:lang w:val="en-US" w:eastAsia="zh-CN" w:bidi="ar-SA"/>
                    </w:rPr>
                  </w:pPr>
                  <w:r>
                    <w:rPr>
                      <w:color w:val="auto"/>
                      <w:szCs w:val="21"/>
                    </w:rPr>
                    <w:t>65</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5CC60681">
                  <w:pPr>
                    <w:jc w:val="center"/>
                    <w:rPr>
                      <w:rFonts w:ascii="Times New Roman" w:hAnsi="Times New Roman" w:eastAsia="宋体" w:cs="Times New Roman"/>
                      <w:color w:val="auto"/>
                      <w:kern w:val="2"/>
                      <w:sz w:val="21"/>
                      <w:szCs w:val="21"/>
                      <w:lang w:val="en-US" w:eastAsia="zh-CN" w:bidi="ar-SA"/>
                    </w:rPr>
                  </w:pPr>
                  <w:r>
                    <w:rPr>
                      <w:color w:val="auto"/>
                      <w:szCs w:val="21"/>
                    </w:rPr>
                    <w:t>55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D1D1C04">
                  <w:pPr>
                    <w:jc w:val="center"/>
                    <w:rPr>
                      <w:rFonts w:ascii="Times New Roman" w:hAnsi="Times New Roman" w:eastAsia="宋体" w:cs="Times New Roman"/>
                      <w:color w:val="auto"/>
                      <w:kern w:val="2"/>
                      <w:sz w:val="21"/>
                      <w:szCs w:val="21"/>
                      <w:lang w:val="en-US" w:eastAsia="zh-CN" w:bidi="ar-SA"/>
                    </w:rPr>
                  </w:pPr>
                  <w:r>
                    <w:rPr>
                      <w:color w:val="auto"/>
                      <w:szCs w:val="21"/>
                    </w:rPr>
                    <w:t>达标</w:t>
                  </w:r>
                </w:p>
              </w:tc>
            </w:tr>
            <w:tr w14:paraId="4E50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7D2AAD2C">
                  <w:pPr>
                    <w:jc w:val="center"/>
                    <w:rPr>
                      <w:color w:val="auto"/>
                      <w:szCs w:val="21"/>
                    </w:rPr>
                  </w:pPr>
                  <w:r>
                    <w:rPr>
                      <w:color w:val="auto"/>
                      <w:szCs w:val="21"/>
                    </w:rPr>
                    <w:t>3</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34808E24">
                  <w:pPr>
                    <w:jc w:val="center"/>
                    <w:rPr>
                      <w:rFonts w:ascii="Times New Roman" w:hAnsi="Times New Roman" w:eastAsia="宋体" w:cs="Times New Roman"/>
                      <w:color w:val="auto"/>
                      <w:kern w:val="2"/>
                      <w:sz w:val="21"/>
                      <w:szCs w:val="21"/>
                      <w:lang w:val="en-US" w:eastAsia="zh-CN" w:bidi="ar-SA"/>
                    </w:rPr>
                  </w:pPr>
                  <w:r>
                    <w:rPr>
                      <w:color w:val="auto"/>
                      <w:szCs w:val="21"/>
                    </w:rPr>
                    <w:t>厂界西面</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72BC9EA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40.40</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2665455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40.40</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2D31C639">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39EDB17">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1BF235B9">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7F224BF">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67E4BC89">
                  <w:pPr>
                    <w:jc w:val="center"/>
                    <w:rPr>
                      <w:rFonts w:ascii="Times New Roman" w:hAnsi="Times New Roman" w:eastAsia="宋体" w:cs="Times New Roman"/>
                      <w:color w:val="auto"/>
                      <w:kern w:val="2"/>
                      <w:sz w:val="21"/>
                      <w:szCs w:val="21"/>
                      <w:lang w:val="en-US" w:eastAsia="zh-CN" w:bidi="ar-SA"/>
                    </w:rPr>
                  </w:pPr>
                  <w:r>
                    <w:rPr>
                      <w:color w:val="auto"/>
                      <w:szCs w:val="21"/>
                    </w:rPr>
                    <w:t>65</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1E1FBCDA">
                  <w:pPr>
                    <w:jc w:val="center"/>
                    <w:rPr>
                      <w:rFonts w:ascii="Times New Roman" w:hAnsi="Times New Roman" w:eastAsia="宋体" w:cs="Times New Roman"/>
                      <w:color w:val="auto"/>
                      <w:kern w:val="2"/>
                      <w:sz w:val="21"/>
                      <w:szCs w:val="21"/>
                      <w:lang w:val="en-US" w:eastAsia="zh-CN" w:bidi="ar-SA"/>
                    </w:rPr>
                  </w:pPr>
                  <w:r>
                    <w:rPr>
                      <w:color w:val="auto"/>
                      <w:szCs w:val="21"/>
                    </w:rPr>
                    <w:t>55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A5C0FC2">
                  <w:pPr>
                    <w:jc w:val="center"/>
                    <w:rPr>
                      <w:rFonts w:ascii="Times New Roman" w:hAnsi="Times New Roman" w:eastAsia="宋体" w:cs="Times New Roman"/>
                      <w:color w:val="auto"/>
                      <w:kern w:val="2"/>
                      <w:sz w:val="21"/>
                      <w:szCs w:val="21"/>
                      <w:lang w:val="en-US" w:eastAsia="zh-CN" w:bidi="ar-SA"/>
                    </w:rPr>
                  </w:pPr>
                  <w:r>
                    <w:rPr>
                      <w:color w:val="auto"/>
                      <w:szCs w:val="21"/>
                    </w:rPr>
                    <w:t>达标</w:t>
                  </w:r>
                </w:p>
              </w:tc>
            </w:tr>
            <w:tr w14:paraId="1167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3F8CB280">
                  <w:pPr>
                    <w:jc w:val="center"/>
                    <w:rPr>
                      <w:color w:val="auto"/>
                      <w:szCs w:val="21"/>
                    </w:rPr>
                  </w:pPr>
                  <w:r>
                    <w:rPr>
                      <w:color w:val="auto"/>
                      <w:szCs w:val="21"/>
                    </w:rPr>
                    <w:t>4</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4A636B58">
                  <w:pPr>
                    <w:jc w:val="center"/>
                    <w:rPr>
                      <w:rFonts w:ascii="Times New Roman" w:hAnsi="Times New Roman" w:eastAsia="宋体" w:cs="Times New Roman"/>
                      <w:color w:val="auto"/>
                      <w:kern w:val="2"/>
                      <w:sz w:val="21"/>
                      <w:szCs w:val="21"/>
                      <w:lang w:val="en-US" w:eastAsia="zh-CN" w:bidi="ar-SA"/>
                    </w:rPr>
                  </w:pPr>
                  <w:r>
                    <w:rPr>
                      <w:color w:val="auto"/>
                      <w:szCs w:val="21"/>
                    </w:rPr>
                    <w:t>厂界北面</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7F51B5E9">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27.04</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1AA97B1">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27.04</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527E31D7">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168B817">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16A4B8C8">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4EB1605">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6328676C">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70</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41C02EBB">
                  <w:pPr>
                    <w:jc w:val="center"/>
                    <w:rPr>
                      <w:rFonts w:ascii="Times New Roman" w:hAnsi="Times New Roman" w:eastAsia="宋体" w:cs="Times New Roman"/>
                      <w:color w:val="auto"/>
                      <w:kern w:val="2"/>
                      <w:sz w:val="21"/>
                      <w:szCs w:val="21"/>
                      <w:lang w:val="en-US" w:eastAsia="zh-CN" w:bidi="ar-SA"/>
                    </w:rPr>
                  </w:pPr>
                  <w:r>
                    <w:rPr>
                      <w:color w:val="auto"/>
                      <w:szCs w:val="21"/>
                    </w:rPr>
                    <w:t>55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166D778">
                  <w:pPr>
                    <w:jc w:val="center"/>
                    <w:rPr>
                      <w:rFonts w:ascii="Times New Roman" w:hAnsi="Times New Roman" w:eastAsia="宋体" w:cs="Times New Roman"/>
                      <w:color w:val="auto"/>
                      <w:kern w:val="2"/>
                      <w:sz w:val="21"/>
                      <w:szCs w:val="21"/>
                      <w:lang w:val="en-US" w:eastAsia="zh-CN" w:bidi="ar-SA"/>
                    </w:rPr>
                  </w:pPr>
                  <w:r>
                    <w:rPr>
                      <w:color w:val="auto"/>
                      <w:szCs w:val="21"/>
                    </w:rPr>
                    <w:t>达标</w:t>
                  </w:r>
                </w:p>
              </w:tc>
            </w:tr>
          </w:tbl>
          <w:p w14:paraId="7D40767C">
            <w:pPr>
              <w:spacing w:line="500" w:lineRule="exact"/>
              <w:ind w:firstLine="482"/>
              <w:rPr>
                <w:kern w:val="0"/>
                <w:sz w:val="24"/>
              </w:rPr>
            </w:pPr>
            <w:r>
              <w:rPr>
                <w:rFonts w:hint="eastAsia"/>
                <w:color w:val="auto"/>
                <w:kern w:val="0"/>
                <w:sz w:val="24"/>
              </w:rPr>
              <w:t>根据预测结果所示，本项目产生的噪声均能够得到合理有效</w:t>
            </w:r>
            <w:r>
              <w:rPr>
                <w:rFonts w:hint="eastAsia"/>
                <w:color w:val="auto"/>
                <w:kern w:val="0"/>
                <w:sz w:val="24"/>
                <w:lang w:eastAsia="zh-CN"/>
              </w:rPr>
              <w:t>地</w:t>
            </w:r>
            <w:r>
              <w:rPr>
                <w:rFonts w:hint="eastAsia"/>
                <w:color w:val="auto"/>
                <w:kern w:val="0"/>
                <w:sz w:val="24"/>
              </w:rPr>
              <w:t>控制，厂界北面和东面噪声贡献值能够满足《工业企业厂界环境噪声排放标准》（GB12348-2008）中的4类排放限值要求；厂界南面和西面噪声贡献值能够满足（GB12348-2008）中的3类排放限值要求</w:t>
            </w:r>
            <w:r>
              <w:rPr>
                <w:rFonts w:hint="eastAsia"/>
                <w:kern w:val="0"/>
                <w:sz w:val="24"/>
              </w:rPr>
              <w:t>。本项目噪声能够达标排放，对周边环境及敏感点影响不大。</w:t>
            </w:r>
          </w:p>
          <w:p w14:paraId="48FFC4BB">
            <w:pPr>
              <w:spacing w:line="500" w:lineRule="exact"/>
              <w:ind w:firstLine="482"/>
              <w:rPr>
                <w:b/>
                <w:kern w:val="0"/>
                <w:sz w:val="24"/>
              </w:rPr>
            </w:pPr>
            <w:r>
              <w:rPr>
                <w:rFonts w:hint="eastAsia"/>
                <w:b/>
                <w:kern w:val="0"/>
                <w:sz w:val="24"/>
              </w:rPr>
              <w:t>（3）项目噪声监测计划</w:t>
            </w:r>
          </w:p>
          <w:p w14:paraId="286D4E6E">
            <w:pPr>
              <w:spacing w:line="500" w:lineRule="exact"/>
              <w:ind w:firstLine="482"/>
              <w:rPr>
                <w:rFonts w:hint="eastAsia"/>
                <w:kern w:val="0"/>
                <w:sz w:val="24"/>
              </w:rPr>
            </w:pPr>
            <w:r>
              <w:rPr>
                <w:rFonts w:hint="eastAsia"/>
                <w:kern w:val="0"/>
                <w:sz w:val="24"/>
              </w:rPr>
              <w:t>根据《排污单位自行监测技术指南 总则》（HJ 819-2017）</w:t>
            </w:r>
            <w:r>
              <w:rPr>
                <w:rFonts w:hint="eastAsia"/>
                <w:kern w:val="0"/>
                <w:sz w:val="24"/>
                <w:lang w:eastAsia="zh-CN"/>
              </w:rPr>
              <w:t>、《排污许可证申请与核发技术规范</w:t>
            </w:r>
            <w:r>
              <w:rPr>
                <w:rFonts w:hint="eastAsia"/>
                <w:kern w:val="0"/>
                <w:sz w:val="24"/>
                <w:lang w:val="en-US" w:eastAsia="zh-CN"/>
              </w:rPr>
              <w:t xml:space="preserve"> </w:t>
            </w:r>
            <w:r>
              <w:rPr>
                <w:rFonts w:hint="eastAsia"/>
                <w:kern w:val="0"/>
                <w:sz w:val="24"/>
                <w:lang w:eastAsia="zh-CN"/>
              </w:rPr>
              <w:t>工业噪声》（HJ1301-2023）</w:t>
            </w:r>
            <w:r>
              <w:rPr>
                <w:rFonts w:hint="eastAsia"/>
                <w:kern w:val="0"/>
                <w:sz w:val="24"/>
              </w:rPr>
              <w:t>，企业现有工程噪声自行监测计划已满足扩建项目噪声监测要求，无需增加噪声自行监测计划。</w:t>
            </w:r>
          </w:p>
          <w:p w14:paraId="552EAAF5">
            <w:pPr>
              <w:spacing w:line="500" w:lineRule="exact"/>
              <w:ind w:firstLine="482"/>
              <w:rPr>
                <w:b/>
                <w:kern w:val="0"/>
                <w:sz w:val="24"/>
              </w:rPr>
            </w:pPr>
            <w:r>
              <w:rPr>
                <w:rFonts w:hint="eastAsia"/>
                <w:b/>
                <w:kern w:val="0"/>
                <w:sz w:val="24"/>
              </w:rPr>
              <w:t>（四）</w:t>
            </w:r>
            <w:r>
              <w:rPr>
                <w:b/>
                <w:kern w:val="0"/>
                <w:sz w:val="24"/>
              </w:rPr>
              <w:t>固体废物</w:t>
            </w:r>
          </w:p>
          <w:p w14:paraId="2763E80A">
            <w:pPr>
              <w:spacing w:line="500" w:lineRule="exact"/>
              <w:ind w:firstLine="482"/>
              <w:rPr>
                <w:rFonts w:hint="default"/>
                <w:b/>
                <w:kern w:val="0"/>
                <w:sz w:val="24"/>
                <w:lang w:val="en-US"/>
              </w:rPr>
            </w:pPr>
            <w:r>
              <w:rPr>
                <w:rFonts w:hint="eastAsia"/>
                <w:b/>
                <w:kern w:val="0"/>
                <w:sz w:val="24"/>
              </w:rPr>
              <w:t>1、</w:t>
            </w:r>
            <w:r>
              <w:rPr>
                <w:rFonts w:hint="eastAsia"/>
                <w:b/>
                <w:kern w:val="0"/>
                <w:sz w:val="24"/>
                <w:lang w:val="en-US" w:eastAsia="zh-CN"/>
              </w:rPr>
              <w:t>固废产生情况</w:t>
            </w:r>
          </w:p>
          <w:p w14:paraId="33EC2504">
            <w:pPr>
              <w:spacing w:line="500" w:lineRule="exact"/>
              <w:ind w:firstLine="482"/>
              <w:rPr>
                <w:kern w:val="0"/>
                <w:sz w:val="24"/>
              </w:rPr>
            </w:pPr>
            <w:r>
              <w:rPr>
                <w:rFonts w:hint="eastAsia"/>
                <w:kern w:val="0"/>
                <w:sz w:val="24"/>
              </w:rPr>
              <w:t>根据《固体废物鉴别标准 通则》（GB34330-2017）</w:t>
            </w:r>
            <w:r>
              <w:rPr>
                <w:rFonts w:hint="eastAsia"/>
                <w:kern w:val="0"/>
                <w:sz w:val="24"/>
                <w:lang w:eastAsia="zh-CN"/>
              </w:rPr>
              <w:t>，配料（上料、搅拌、造球）、窑头窑尾粉尘</w:t>
            </w:r>
            <w:r>
              <w:rPr>
                <w:rFonts w:hint="eastAsia"/>
                <w:kern w:val="0"/>
                <w:sz w:val="24"/>
                <w:lang w:val="en-US" w:eastAsia="zh-CN"/>
              </w:rPr>
              <w:t>经过布袋除尘器处理后排放，布袋除尘器收集到的除尘会返回料仓重新进入配料工序，属于《固体废物鉴别标准 通则》（GB34330-2017）中6.1-b-a，不经过贮存或堆积过程，在现场直接返回原始用途的物质，不作为固体废物管理；回转窑烟气经过布袋除尘器处理后排放，布袋除尘器收集到的粉尘主要为次氧化锌粉，作为产品外售。本</w:t>
            </w:r>
            <w:r>
              <w:rPr>
                <w:rFonts w:hint="eastAsia"/>
                <w:kern w:val="0"/>
                <w:sz w:val="24"/>
              </w:rPr>
              <w:t>项目运营过程中产生的固废主要为</w:t>
            </w:r>
            <w:r>
              <w:rPr>
                <w:rFonts w:hint="eastAsia"/>
                <w:kern w:val="0"/>
                <w:sz w:val="24"/>
                <w:lang w:val="en-US" w:eastAsia="zh-CN"/>
              </w:rPr>
              <w:t>窑渣、废耐火材料、废油、废含油抹布</w:t>
            </w:r>
            <w:r>
              <w:rPr>
                <w:rFonts w:hint="eastAsia"/>
                <w:kern w:val="0"/>
                <w:sz w:val="24"/>
              </w:rPr>
              <w:t>。</w:t>
            </w:r>
          </w:p>
          <w:p w14:paraId="44957A7D">
            <w:pPr>
              <w:adjustRightInd w:val="0"/>
              <w:snapToGrid w:val="0"/>
              <w:spacing w:line="360" w:lineRule="auto"/>
              <w:ind w:firstLine="482" w:firstLineChars="200"/>
              <w:jc w:val="left"/>
              <w:rPr>
                <w:rFonts w:hint="eastAsia" w:eastAsia="宋体"/>
                <w:b/>
                <w:sz w:val="24"/>
                <w:lang w:val="en-US" w:eastAsia="zh-CN"/>
              </w:rPr>
            </w:pPr>
            <w:r>
              <w:rPr>
                <w:rFonts w:hint="eastAsia"/>
                <w:b/>
                <w:sz w:val="24"/>
              </w:rPr>
              <w:t>（1）</w:t>
            </w:r>
            <w:r>
              <w:rPr>
                <w:rFonts w:hint="eastAsia"/>
                <w:b/>
                <w:sz w:val="24"/>
                <w:lang w:val="en-US" w:eastAsia="zh-CN"/>
              </w:rPr>
              <w:t>窑渣</w:t>
            </w:r>
          </w:p>
          <w:p w14:paraId="002018FD">
            <w:pPr>
              <w:adjustRightInd w:val="0"/>
              <w:snapToGrid w:val="0"/>
              <w:spacing w:line="360" w:lineRule="auto"/>
              <w:ind w:firstLine="480" w:firstLineChars="200"/>
              <w:jc w:val="left"/>
              <w:rPr>
                <w:sz w:val="24"/>
              </w:rPr>
            </w:pPr>
            <w:r>
              <w:rPr>
                <w:rFonts w:hint="eastAsia"/>
                <w:sz w:val="24"/>
              </w:rPr>
              <w:t>根据业主提供资料，本项目</w:t>
            </w:r>
            <w:r>
              <w:rPr>
                <w:rFonts w:hint="eastAsia"/>
                <w:sz w:val="24"/>
                <w:lang w:val="en-US" w:eastAsia="zh-CN"/>
              </w:rPr>
              <w:t>窑</w:t>
            </w:r>
            <w:r>
              <w:rPr>
                <w:rFonts w:hint="eastAsia"/>
                <w:sz w:val="24"/>
              </w:rPr>
              <w:t>渣产生量约</w:t>
            </w:r>
            <w:r>
              <w:rPr>
                <w:rFonts w:hint="eastAsia"/>
                <w:sz w:val="24"/>
                <w:lang w:val="en-US" w:eastAsia="zh-CN"/>
              </w:rPr>
              <w:t>9.69万</w:t>
            </w:r>
            <w:r>
              <w:rPr>
                <w:rFonts w:hint="eastAsia"/>
                <w:sz w:val="24"/>
              </w:rPr>
              <w:t>t/a，</w:t>
            </w:r>
            <w:r>
              <w:rPr>
                <w:rFonts w:hint="eastAsia"/>
                <w:sz w:val="24"/>
                <w:lang w:val="en-US" w:eastAsia="zh-CN"/>
              </w:rPr>
              <w:t>属于一般工业固体废物，废物代码为900-099-S03，</w:t>
            </w:r>
            <w:r>
              <w:rPr>
                <w:rFonts w:hint="eastAsia"/>
                <w:sz w:val="24"/>
              </w:rPr>
              <w:t>集中收集后</w:t>
            </w:r>
            <w:r>
              <w:rPr>
                <w:rFonts w:hint="eastAsia"/>
                <w:sz w:val="24"/>
                <w:lang w:val="en-US" w:eastAsia="zh-CN"/>
              </w:rPr>
              <w:t>返回盛隆炼钢工序综合利用</w:t>
            </w:r>
            <w:r>
              <w:rPr>
                <w:rFonts w:hint="eastAsia"/>
                <w:sz w:val="24"/>
              </w:rPr>
              <w:t>。</w:t>
            </w:r>
          </w:p>
          <w:p w14:paraId="23F6B6EA">
            <w:pPr>
              <w:adjustRightInd w:val="0"/>
              <w:snapToGrid w:val="0"/>
              <w:spacing w:line="360" w:lineRule="auto"/>
              <w:ind w:firstLine="482" w:firstLineChars="200"/>
              <w:jc w:val="left"/>
              <w:rPr>
                <w:rFonts w:hint="default" w:eastAsia="宋体"/>
                <w:b/>
                <w:sz w:val="24"/>
                <w:lang w:val="en-US" w:eastAsia="zh-CN"/>
              </w:rPr>
            </w:pPr>
            <w:r>
              <w:rPr>
                <w:rFonts w:hint="eastAsia"/>
                <w:b/>
                <w:sz w:val="24"/>
              </w:rPr>
              <w:t>（2）</w:t>
            </w:r>
            <w:r>
              <w:rPr>
                <w:rFonts w:hint="eastAsia"/>
                <w:b/>
                <w:sz w:val="24"/>
                <w:lang w:val="en-US" w:eastAsia="zh-CN"/>
              </w:rPr>
              <w:t>废耐火材料</w:t>
            </w:r>
          </w:p>
          <w:p w14:paraId="4E7465FC">
            <w:pPr>
              <w:adjustRightInd w:val="0"/>
              <w:snapToGrid w:val="0"/>
              <w:spacing w:line="360" w:lineRule="auto"/>
              <w:ind w:firstLine="480" w:firstLineChars="200"/>
              <w:jc w:val="left"/>
              <w:rPr>
                <w:sz w:val="24"/>
              </w:rPr>
            </w:pPr>
            <w:r>
              <w:rPr>
                <w:rFonts w:hint="eastAsia"/>
                <w:sz w:val="24"/>
              </w:rPr>
              <w:t>根据业主提供资料，本项目</w:t>
            </w:r>
            <w:r>
              <w:rPr>
                <w:rFonts w:hint="eastAsia"/>
                <w:sz w:val="24"/>
                <w:lang w:val="en-US" w:eastAsia="zh-CN"/>
              </w:rPr>
              <w:t>废耐火材料</w:t>
            </w:r>
            <w:r>
              <w:rPr>
                <w:rFonts w:hint="eastAsia"/>
                <w:sz w:val="24"/>
              </w:rPr>
              <w:t>产生量约</w:t>
            </w:r>
            <w:r>
              <w:rPr>
                <w:rFonts w:hint="eastAsia"/>
                <w:sz w:val="24"/>
                <w:lang w:val="en-US" w:eastAsia="zh-CN"/>
              </w:rPr>
              <w:t>50</w:t>
            </w:r>
            <w:r>
              <w:rPr>
                <w:rFonts w:hint="eastAsia"/>
                <w:sz w:val="24"/>
              </w:rPr>
              <w:t>t/a，</w:t>
            </w:r>
            <w:r>
              <w:rPr>
                <w:rFonts w:hint="eastAsia"/>
                <w:sz w:val="24"/>
                <w:lang w:val="en-US" w:eastAsia="zh-CN"/>
              </w:rPr>
              <w:t>属于一般工业固体废物，废物代码为900-003-S59，</w:t>
            </w:r>
            <w:r>
              <w:rPr>
                <w:rFonts w:hint="eastAsia"/>
                <w:sz w:val="24"/>
              </w:rPr>
              <w:t>集中收集后外售回收商综合利用。</w:t>
            </w:r>
          </w:p>
          <w:p w14:paraId="2B7EE7B4">
            <w:pPr>
              <w:adjustRightInd w:val="0"/>
              <w:snapToGrid w:val="0"/>
              <w:spacing w:line="360" w:lineRule="auto"/>
              <w:ind w:firstLine="482" w:firstLineChars="200"/>
              <w:jc w:val="left"/>
              <w:rPr>
                <w:b/>
                <w:sz w:val="24"/>
              </w:rPr>
            </w:pPr>
            <w:r>
              <w:rPr>
                <w:rFonts w:hint="eastAsia"/>
                <w:b/>
                <w:sz w:val="24"/>
              </w:rPr>
              <w:t>（</w:t>
            </w:r>
            <w:r>
              <w:rPr>
                <w:rFonts w:hint="eastAsia"/>
                <w:b/>
                <w:sz w:val="24"/>
                <w:lang w:val="en-US" w:eastAsia="zh-CN"/>
              </w:rPr>
              <w:t>3</w:t>
            </w:r>
            <w:r>
              <w:rPr>
                <w:rFonts w:hint="eastAsia"/>
                <w:b/>
                <w:sz w:val="24"/>
              </w:rPr>
              <w:t>）废油、废含油抹布</w:t>
            </w:r>
          </w:p>
          <w:p w14:paraId="6802C4CB">
            <w:pPr>
              <w:adjustRightInd w:val="0"/>
              <w:snapToGrid w:val="0"/>
              <w:spacing w:line="360" w:lineRule="auto"/>
              <w:ind w:firstLine="480" w:firstLineChars="200"/>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rPr>
              <w:t>项目在生产过程中生产设备维护及机械润滑</w:t>
            </w:r>
            <w:r>
              <w:rPr>
                <w:rFonts w:hint="eastAsia" w:cs="Times New Roman"/>
                <w:sz w:val="24"/>
                <w:lang w:eastAsia="zh-CN"/>
              </w:rPr>
              <w:t>会</w:t>
            </w:r>
            <w:r>
              <w:rPr>
                <w:rFonts w:hint="eastAsia" w:ascii="Times New Roman" w:hAnsi="Times New Roman" w:eastAsia="宋体" w:cs="Times New Roman"/>
                <w:sz w:val="24"/>
              </w:rPr>
              <w:t>产生废油和含油抹布。废油抹布产生量约为 0.0</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t/a，属于危险废物，废物代码为附录中危险废物豁免管理清单900-041-49（废弃的含油抹布）</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废机油产生量约0.2t/a，危废类别为HW08废矿物油与含矿物油废物，危废代码为900-217-08，暂存于危废暂存间内，最后交由有资质单位进行处理</w:t>
            </w:r>
            <w:r>
              <w:rPr>
                <w:rFonts w:hint="eastAsia" w:ascii="Times New Roman" w:hAnsi="Times New Roman" w:eastAsia="宋体" w:cs="Times New Roman"/>
                <w:sz w:val="24"/>
                <w:lang w:eastAsia="zh-CN"/>
              </w:rPr>
              <w:t>。</w:t>
            </w:r>
          </w:p>
          <w:p w14:paraId="32A1E590">
            <w:pPr>
              <w:spacing w:line="500" w:lineRule="exact"/>
              <w:ind w:firstLine="482"/>
              <w:rPr>
                <w:b/>
                <w:kern w:val="0"/>
                <w:sz w:val="24"/>
              </w:rPr>
            </w:pPr>
            <w:r>
              <w:rPr>
                <w:rFonts w:hint="eastAsia"/>
                <w:b/>
                <w:kern w:val="0"/>
                <w:sz w:val="24"/>
              </w:rPr>
              <w:t>2、固体废物属性判定及处置方式</w:t>
            </w:r>
          </w:p>
          <w:p w14:paraId="20653725">
            <w:pPr>
              <w:spacing w:line="500" w:lineRule="exact"/>
              <w:ind w:firstLine="482"/>
              <w:rPr>
                <w:rFonts w:hint="eastAsia"/>
                <w:kern w:val="0"/>
                <w:sz w:val="24"/>
              </w:rPr>
            </w:pPr>
            <w:r>
              <w:rPr>
                <w:rFonts w:hint="eastAsia"/>
                <w:kern w:val="0"/>
                <w:sz w:val="24"/>
              </w:rPr>
              <w:t>本项目固废产生、属性判定及处置方式情况见表4-</w:t>
            </w:r>
            <w:r>
              <w:rPr>
                <w:rFonts w:hint="eastAsia"/>
                <w:kern w:val="0"/>
                <w:sz w:val="24"/>
                <w:lang w:val="en-US" w:eastAsia="zh-CN"/>
              </w:rPr>
              <w:t>14</w:t>
            </w:r>
            <w:r>
              <w:rPr>
                <w:rFonts w:hint="eastAsia"/>
                <w:kern w:val="0"/>
                <w:sz w:val="24"/>
              </w:rPr>
              <w:t>，危险废物汇总表详见表4-</w:t>
            </w:r>
            <w:r>
              <w:rPr>
                <w:rFonts w:hint="eastAsia"/>
                <w:kern w:val="0"/>
                <w:sz w:val="24"/>
                <w:lang w:val="en-US" w:eastAsia="zh-CN"/>
              </w:rPr>
              <w:t>15</w:t>
            </w:r>
            <w:r>
              <w:rPr>
                <w:rFonts w:hint="eastAsia"/>
                <w:kern w:val="0"/>
                <w:sz w:val="24"/>
              </w:rPr>
              <w:t>。</w:t>
            </w:r>
          </w:p>
          <w:p w14:paraId="722D5EBE">
            <w:pPr>
              <w:pStyle w:val="48"/>
              <w:numPr>
                <w:ilvl w:val="2"/>
                <w:numId w:val="4"/>
              </w:numPr>
              <w:spacing w:line="500" w:lineRule="atLeast"/>
              <w:ind w:firstLineChars="0"/>
              <w:jc w:val="center"/>
              <w:rPr>
                <w:b/>
                <w:sz w:val="24"/>
              </w:rPr>
            </w:pPr>
            <w:r>
              <w:rPr>
                <w:rFonts w:hint="eastAsia"/>
                <w:b/>
                <w:sz w:val="24"/>
              </w:rPr>
              <w:t>固体废物产生及处置方式一览表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991"/>
              <w:gridCol w:w="991"/>
              <w:gridCol w:w="992"/>
              <w:gridCol w:w="992"/>
              <w:gridCol w:w="993"/>
              <w:gridCol w:w="993"/>
              <w:gridCol w:w="993"/>
            </w:tblGrid>
            <w:tr w14:paraId="3FFC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1" w:type="dxa"/>
                  <w:vAlign w:val="center"/>
                </w:tcPr>
                <w:p w14:paraId="06C959E5">
                  <w:pPr>
                    <w:adjustRightInd w:val="0"/>
                    <w:snapToGrid w:val="0"/>
                    <w:spacing w:line="240" w:lineRule="exact"/>
                    <w:jc w:val="center"/>
                  </w:pPr>
                  <w:r>
                    <w:rPr>
                      <w:rFonts w:hint="eastAsia"/>
                    </w:rPr>
                    <w:t>污染源</w:t>
                  </w:r>
                </w:p>
              </w:tc>
              <w:tc>
                <w:tcPr>
                  <w:tcW w:w="991" w:type="dxa"/>
                  <w:vAlign w:val="center"/>
                </w:tcPr>
                <w:p w14:paraId="42EBCAC4">
                  <w:pPr>
                    <w:adjustRightInd w:val="0"/>
                    <w:snapToGrid w:val="0"/>
                    <w:spacing w:line="240" w:lineRule="exact"/>
                    <w:jc w:val="center"/>
                  </w:pPr>
                  <w:r>
                    <w:rPr>
                      <w:rFonts w:hint="eastAsia"/>
                    </w:rPr>
                    <w:t>污染物</w:t>
                  </w:r>
                </w:p>
              </w:tc>
              <w:tc>
                <w:tcPr>
                  <w:tcW w:w="991" w:type="dxa"/>
                  <w:vAlign w:val="center"/>
                </w:tcPr>
                <w:p w14:paraId="0ACCEE6F">
                  <w:pPr>
                    <w:adjustRightInd w:val="0"/>
                    <w:snapToGrid w:val="0"/>
                    <w:spacing w:line="240" w:lineRule="exact"/>
                    <w:jc w:val="center"/>
                  </w:pPr>
                  <w:r>
                    <w:rPr>
                      <w:rFonts w:hint="eastAsia"/>
                    </w:rPr>
                    <w:t>污染物属性</w:t>
                  </w:r>
                </w:p>
              </w:tc>
              <w:tc>
                <w:tcPr>
                  <w:tcW w:w="992" w:type="dxa"/>
                  <w:vAlign w:val="center"/>
                </w:tcPr>
                <w:p w14:paraId="049BC2DB">
                  <w:pPr>
                    <w:adjustRightInd w:val="0"/>
                    <w:snapToGrid w:val="0"/>
                    <w:spacing w:line="240" w:lineRule="exact"/>
                    <w:jc w:val="center"/>
                  </w:pPr>
                  <w:r>
                    <w:rPr>
                      <w:rFonts w:hint="eastAsia"/>
                    </w:rPr>
                    <w:t>废物代码</w:t>
                  </w:r>
                </w:p>
              </w:tc>
              <w:tc>
                <w:tcPr>
                  <w:tcW w:w="992" w:type="dxa"/>
                  <w:vAlign w:val="center"/>
                </w:tcPr>
                <w:p w14:paraId="65E2ABD3">
                  <w:pPr>
                    <w:adjustRightInd w:val="0"/>
                    <w:snapToGrid w:val="0"/>
                    <w:spacing w:line="240" w:lineRule="exact"/>
                    <w:jc w:val="center"/>
                  </w:pPr>
                  <w:r>
                    <w:rPr>
                      <w:rFonts w:hint="eastAsia"/>
                    </w:rPr>
                    <w:t>形态</w:t>
                  </w:r>
                </w:p>
              </w:tc>
              <w:tc>
                <w:tcPr>
                  <w:tcW w:w="993" w:type="dxa"/>
                  <w:vAlign w:val="center"/>
                </w:tcPr>
                <w:p w14:paraId="739AB364">
                  <w:pPr>
                    <w:adjustRightInd w:val="0"/>
                    <w:snapToGrid w:val="0"/>
                    <w:spacing w:line="240" w:lineRule="exact"/>
                    <w:jc w:val="center"/>
                  </w:pPr>
                  <w:r>
                    <w:rPr>
                      <w:rFonts w:hint="eastAsia"/>
                    </w:rPr>
                    <w:t>主要成分</w:t>
                  </w:r>
                </w:p>
              </w:tc>
              <w:tc>
                <w:tcPr>
                  <w:tcW w:w="993" w:type="dxa"/>
                  <w:vAlign w:val="center"/>
                </w:tcPr>
                <w:p w14:paraId="4C30B8A8">
                  <w:pPr>
                    <w:adjustRightInd w:val="0"/>
                    <w:snapToGrid w:val="0"/>
                    <w:spacing w:line="240" w:lineRule="exact"/>
                    <w:jc w:val="center"/>
                  </w:pPr>
                  <w:r>
                    <w:rPr>
                      <w:rFonts w:hint="eastAsia"/>
                    </w:rPr>
                    <w:t>产生量（t/a）</w:t>
                  </w:r>
                </w:p>
              </w:tc>
              <w:tc>
                <w:tcPr>
                  <w:tcW w:w="993" w:type="dxa"/>
                  <w:vAlign w:val="center"/>
                </w:tcPr>
                <w:p w14:paraId="396B95BD">
                  <w:pPr>
                    <w:adjustRightInd w:val="0"/>
                    <w:snapToGrid w:val="0"/>
                    <w:spacing w:line="240" w:lineRule="exact"/>
                    <w:jc w:val="center"/>
                  </w:pPr>
                  <w:r>
                    <w:rPr>
                      <w:rFonts w:hint="eastAsia"/>
                    </w:rPr>
                    <w:t>处置情况</w:t>
                  </w:r>
                </w:p>
              </w:tc>
            </w:tr>
            <w:tr w14:paraId="4843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1" w:type="dxa"/>
                  <w:vMerge w:val="restart"/>
                  <w:vAlign w:val="center"/>
                </w:tcPr>
                <w:p w14:paraId="136A04D1">
                  <w:pPr>
                    <w:adjustRightInd w:val="0"/>
                    <w:snapToGrid w:val="0"/>
                    <w:spacing w:line="240" w:lineRule="exact"/>
                    <w:jc w:val="center"/>
                  </w:pPr>
                  <w:r>
                    <w:rPr>
                      <w:rFonts w:hint="eastAsia"/>
                    </w:rPr>
                    <w:t>生产车间</w:t>
                  </w:r>
                </w:p>
              </w:tc>
              <w:tc>
                <w:tcPr>
                  <w:tcW w:w="991" w:type="dxa"/>
                  <w:vAlign w:val="center"/>
                </w:tcPr>
                <w:p w14:paraId="6E14D0A7">
                  <w:pPr>
                    <w:adjustRightInd w:val="0"/>
                    <w:snapToGrid w:val="0"/>
                    <w:spacing w:line="240" w:lineRule="exact"/>
                    <w:jc w:val="center"/>
                    <w:rPr>
                      <w:rFonts w:hint="eastAsia" w:eastAsia="宋体"/>
                      <w:lang w:eastAsia="zh-CN"/>
                    </w:rPr>
                  </w:pPr>
                  <w:r>
                    <w:rPr>
                      <w:rFonts w:hint="eastAsia"/>
                      <w:lang w:val="en-US" w:eastAsia="zh-CN"/>
                    </w:rPr>
                    <w:t>窑渣</w:t>
                  </w:r>
                </w:p>
              </w:tc>
              <w:tc>
                <w:tcPr>
                  <w:tcW w:w="991" w:type="dxa"/>
                  <w:vMerge w:val="restart"/>
                  <w:vAlign w:val="center"/>
                </w:tcPr>
                <w:p w14:paraId="34B2D308">
                  <w:pPr>
                    <w:adjustRightInd w:val="0"/>
                    <w:snapToGrid w:val="0"/>
                    <w:spacing w:line="240" w:lineRule="exact"/>
                    <w:jc w:val="center"/>
                  </w:pPr>
                  <w:r>
                    <w:rPr>
                      <w:rFonts w:hint="eastAsia"/>
                    </w:rPr>
                    <w:t>一般工业固废</w:t>
                  </w:r>
                </w:p>
              </w:tc>
              <w:tc>
                <w:tcPr>
                  <w:tcW w:w="992" w:type="dxa"/>
                  <w:vAlign w:val="center"/>
                </w:tcPr>
                <w:p w14:paraId="14926384">
                  <w:pPr>
                    <w:adjustRightInd w:val="0"/>
                    <w:snapToGrid w:val="0"/>
                    <w:spacing w:line="240" w:lineRule="exact"/>
                    <w:jc w:val="center"/>
                  </w:pPr>
                  <w:r>
                    <w:rPr>
                      <w:rFonts w:hint="eastAsia"/>
                    </w:rPr>
                    <w:t>900-099-S03</w:t>
                  </w:r>
                </w:p>
              </w:tc>
              <w:tc>
                <w:tcPr>
                  <w:tcW w:w="992" w:type="dxa"/>
                  <w:vAlign w:val="center"/>
                </w:tcPr>
                <w:p w14:paraId="124558D0">
                  <w:pPr>
                    <w:adjustRightInd w:val="0"/>
                    <w:snapToGrid w:val="0"/>
                    <w:spacing w:line="240" w:lineRule="exact"/>
                    <w:jc w:val="center"/>
                  </w:pPr>
                  <w:r>
                    <w:rPr>
                      <w:rFonts w:hint="eastAsia"/>
                    </w:rPr>
                    <w:t>固体</w:t>
                  </w:r>
                </w:p>
              </w:tc>
              <w:tc>
                <w:tcPr>
                  <w:tcW w:w="993" w:type="dxa"/>
                  <w:vAlign w:val="center"/>
                </w:tcPr>
                <w:p w14:paraId="0D55F1BC">
                  <w:pPr>
                    <w:adjustRightInd w:val="0"/>
                    <w:snapToGrid w:val="0"/>
                    <w:spacing w:line="240" w:lineRule="exact"/>
                    <w:jc w:val="center"/>
                  </w:pPr>
                  <w:r>
                    <w:rPr>
                      <w:rFonts w:hint="eastAsia"/>
                      <w:lang w:val="en-US" w:eastAsia="zh-CN"/>
                    </w:rPr>
                    <w:t>窑</w:t>
                  </w:r>
                  <w:r>
                    <w:rPr>
                      <w:rFonts w:hint="eastAsia"/>
                    </w:rPr>
                    <w:t>渣</w:t>
                  </w:r>
                </w:p>
              </w:tc>
              <w:tc>
                <w:tcPr>
                  <w:tcW w:w="993" w:type="dxa"/>
                  <w:vAlign w:val="center"/>
                </w:tcPr>
                <w:p w14:paraId="3DB71C94">
                  <w:pPr>
                    <w:adjustRightInd w:val="0"/>
                    <w:snapToGrid w:val="0"/>
                    <w:spacing w:line="240" w:lineRule="exact"/>
                    <w:jc w:val="center"/>
                    <w:rPr>
                      <w:rFonts w:hint="default" w:eastAsia="宋体"/>
                      <w:lang w:val="en-US" w:eastAsia="zh-CN"/>
                    </w:rPr>
                  </w:pPr>
                  <w:r>
                    <w:rPr>
                      <w:rFonts w:hint="eastAsia"/>
                      <w:lang w:val="en-US" w:eastAsia="zh-CN"/>
                    </w:rPr>
                    <w:t>9.69万</w:t>
                  </w:r>
                </w:p>
              </w:tc>
              <w:tc>
                <w:tcPr>
                  <w:tcW w:w="993" w:type="dxa"/>
                  <w:vAlign w:val="center"/>
                </w:tcPr>
                <w:p w14:paraId="22D9019B">
                  <w:pPr>
                    <w:adjustRightInd w:val="0"/>
                    <w:snapToGrid w:val="0"/>
                    <w:spacing w:line="240" w:lineRule="exact"/>
                    <w:jc w:val="center"/>
                    <w:rPr>
                      <w:rFonts w:hint="default" w:eastAsia="宋体"/>
                      <w:lang w:val="en-US" w:eastAsia="zh-CN"/>
                    </w:rPr>
                  </w:pPr>
                  <w:r>
                    <w:t>收集后</w:t>
                  </w:r>
                  <w:r>
                    <w:rPr>
                      <w:rFonts w:hint="eastAsia"/>
                      <w:lang w:val="en-US" w:eastAsia="zh-CN"/>
                    </w:rPr>
                    <w:t>返回盛隆炼钢综合利用</w:t>
                  </w:r>
                </w:p>
              </w:tc>
            </w:tr>
            <w:tr w14:paraId="44ED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1" w:type="dxa"/>
                  <w:vMerge w:val="continue"/>
                  <w:vAlign w:val="center"/>
                </w:tcPr>
                <w:p w14:paraId="0E8C867C">
                  <w:pPr>
                    <w:adjustRightInd w:val="0"/>
                    <w:snapToGrid w:val="0"/>
                    <w:spacing w:line="240" w:lineRule="exact"/>
                    <w:jc w:val="center"/>
                  </w:pPr>
                </w:p>
              </w:tc>
              <w:tc>
                <w:tcPr>
                  <w:tcW w:w="991" w:type="dxa"/>
                  <w:vAlign w:val="center"/>
                </w:tcPr>
                <w:p w14:paraId="2502AF9B">
                  <w:pPr>
                    <w:adjustRightInd w:val="0"/>
                    <w:snapToGrid w:val="0"/>
                    <w:spacing w:line="240" w:lineRule="exact"/>
                    <w:jc w:val="center"/>
                    <w:rPr>
                      <w:rFonts w:hint="default" w:eastAsia="宋体"/>
                      <w:lang w:val="en-US" w:eastAsia="zh-CN"/>
                    </w:rPr>
                  </w:pPr>
                  <w:r>
                    <w:rPr>
                      <w:rFonts w:hint="eastAsia"/>
                      <w:lang w:val="en-US" w:eastAsia="zh-CN"/>
                    </w:rPr>
                    <w:t>废耐火材料</w:t>
                  </w:r>
                </w:p>
              </w:tc>
              <w:tc>
                <w:tcPr>
                  <w:tcW w:w="991" w:type="dxa"/>
                  <w:vMerge w:val="continue"/>
                  <w:vAlign w:val="center"/>
                </w:tcPr>
                <w:p w14:paraId="541F34D4">
                  <w:pPr>
                    <w:adjustRightInd w:val="0"/>
                    <w:snapToGrid w:val="0"/>
                    <w:spacing w:line="240" w:lineRule="exact"/>
                    <w:jc w:val="center"/>
                  </w:pPr>
                </w:p>
              </w:tc>
              <w:tc>
                <w:tcPr>
                  <w:tcW w:w="992" w:type="dxa"/>
                  <w:vAlign w:val="center"/>
                </w:tcPr>
                <w:p w14:paraId="14C0BD68">
                  <w:pPr>
                    <w:adjustRightInd w:val="0"/>
                    <w:snapToGrid w:val="0"/>
                    <w:spacing w:line="240" w:lineRule="exact"/>
                    <w:jc w:val="center"/>
                  </w:pPr>
                  <w:r>
                    <w:rPr>
                      <w:rFonts w:hint="eastAsia"/>
                    </w:rPr>
                    <w:t>900-003-S59</w:t>
                  </w:r>
                </w:p>
              </w:tc>
              <w:tc>
                <w:tcPr>
                  <w:tcW w:w="992" w:type="dxa"/>
                  <w:vAlign w:val="center"/>
                </w:tcPr>
                <w:p w14:paraId="7F279528">
                  <w:pPr>
                    <w:adjustRightInd w:val="0"/>
                    <w:snapToGrid w:val="0"/>
                    <w:spacing w:line="240" w:lineRule="exact"/>
                    <w:jc w:val="center"/>
                  </w:pPr>
                  <w:r>
                    <w:rPr>
                      <w:rFonts w:hint="eastAsia"/>
                    </w:rPr>
                    <w:t>固体</w:t>
                  </w:r>
                </w:p>
              </w:tc>
              <w:tc>
                <w:tcPr>
                  <w:tcW w:w="993" w:type="dxa"/>
                  <w:vAlign w:val="center"/>
                </w:tcPr>
                <w:p w14:paraId="5B107160">
                  <w:pPr>
                    <w:adjustRightInd w:val="0"/>
                    <w:snapToGrid w:val="0"/>
                    <w:spacing w:line="240" w:lineRule="exact"/>
                    <w:jc w:val="center"/>
                  </w:pPr>
                  <w:r>
                    <w:rPr>
                      <w:rFonts w:hint="eastAsia"/>
                    </w:rPr>
                    <w:t>铁</w:t>
                  </w:r>
                </w:p>
              </w:tc>
              <w:tc>
                <w:tcPr>
                  <w:tcW w:w="993" w:type="dxa"/>
                  <w:vAlign w:val="center"/>
                </w:tcPr>
                <w:p w14:paraId="1C2DF651">
                  <w:pPr>
                    <w:adjustRightInd w:val="0"/>
                    <w:snapToGrid w:val="0"/>
                    <w:spacing w:line="240" w:lineRule="exact"/>
                    <w:jc w:val="center"/>
                    <w:rPr>
                      <w:rFonts w:hint="default" w:eastAsia="宋体"/>
                      <w:lang w:val="en-US" w:eastAsia="zh-CN"/>
                    </w:rPr>
                  </w:pPr>
                  <w:r>
                    <w:rPr>
                      <w:rFonts w:hint="eastAsia"/>
                      <w:lang w:val="en-US" w:eastAsia="zh-CN"/>
                    </w:rPr>
                    <w:t>50</w:t>
                  </w:r>
                </w:p>
              </w:tc>
              <w:tc>
                <w:tcPr>
                  <w:tcW w:w="993" w:type="dxa"/>
                  <w:vAlign w:val="center"/>
                </w:tcPr>
                <w:p w14:paraId="672DFD62">
                  <w:pPr>
                    <w:adjustRightInd w:val="0"/>
                    <w:snapToGrid w:val="0"/>
                    <w:spacing w:line="240" w:lineRule="exact"/>
                    <w:jc w:val="center"/>
                    <w:rPr>
                      <w:rFonts w:hint="default" w:eastAsia="宋体"/>
                      <w:lang w:val="en-US" w:eastAsia="zh-CN"/>
                    </w:rPr>
                  </w:pPr>
                  <w:r>
                    <w:rPr>
                      <w:rFonts w:hint="eastAsia"/>
                      <w:lang w:val="en-US" w:eastAsia="zh-CN"/>
                    </w:rPr>
                    <w:t>外售回收商综合利用</w:t>
                  </w:r>
                </w:p>
              </w:tc>
            </w:tr>
            <w:tr w14:paraId="0EE8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1" w:type="dxa"/>
                  <w:vMerge w:val="restart"/>
                  <w:vAlign w:val="center"/>
                </w:tcPr>
                <w:p w14:paraId="63797067">
                  <w:pPr>
                    <w:adjustRightInd w:val="0"/>
                    <w:snapToGrid w:val="0"/>
                    <w:spacing w:line="240" w:lineRule="exact"/>
                    <w:jc w:val="center"/>
                  </w:pPr>
                  <w:r>
                    <w:rPr>
                      <w:rFonts w:hint="eastAsia"/>
                    </w:rPr>
                    <w:t>设备维护</w:t>
                  </w:r>
                </w:p>
              </w:tc>
              <w:tc>
                <w:tcPr>
                  <w:tcW w:w="991" w:type="dxa"/>
                  <w:vAlign w:val="center"/>
                </w:tcPr>
                <w:p w14:paraId="6A9764FF">
                  <w:pPr>
                    <w:adjustRightInd w:val="0"/>
                    <w:snapToGrid w:val="0"/>
                    <w:spacing w:line="240" w:lineRule="exact"/>
                    <w:jc w:val="center"/>
                  </w:pPr>
                  <w:r>
                    <w:rPr>
                      <w:rFonts w:hint="eastAsia"/>
                    </w:rPr>
                    <w:t>废含油抹布</w:t>
                  </w:r>
                </w:p>
              </w:tc>
              <w:tc>
                <w:tcPr>
                  <w:tcW w:w="991" w:type="dxa"/>
                  <w:vMerge w:val="restart"/>
                  <w:vAlign w:val="center"/>
                </w:tcPr>
                <w:p w14:paraId="29411543">
                  <w:pPr>
                    <w:adjustRightInd w:val="0"/>
                    <w:snapToGrid w:val="0"/>
                    <w:spacing w:line="240" w:lineRule="exact"/>
                    <w:jc w:val="center"/>
                    <w:rPr>
                      <w:rFonts w:hint="default" w:eastAsia="宋体"/>
                      <w:lang w:val="en-US" w:eastAsia="zh-CN"/>
                    </w:rPr>
                  </w:pPr>
                  <w:r>
                    <w:rPr>
                      <w:rFonts w:hint="eastAsia"/>
                      <w:lang w:val="en-US" w:eastAsia="zh-CN"/>
                    </w:rPr>
                    <w:t>危险废物</w:t>
                  </w:r>
                </w:p>
              </w:tc>
              <w:tc>
                <w:tcPr>
                  <w:tcW w:w="992" w:type="dxa"/>
                  <w:vAlign w:val="center"/>
                </w:tcPr>
                <w:p w14:paraId="18D92BB5">
                  <w:pPr>
                    <w:adjustRightInd w:val="0"/>
                    <w:snapToGrid w:val="0"/>
                    <w:spacing w:line="240" w:lineRule="exact"/>
                    <w:jc w:val="center"/>
                  </w:pPr>
                  <w:r>
                    <w:t>（豁免清单）900-041-49</w:t>
                  </w:r>
                  <w:r>
                    <w:rPr>
                      <w:rFonts w:hint="eastAsia"/>
                    </w:rPr>
                    <w:t>）</w:t>
                  </w:r>
                </w:p>
              </w:tc>
              <w:tc>
                <w:tcPr>
                  <w:tcW w:w="992" w:type="dxa"/>
                  <w:vAlign w:val="center"/>
                </w:tcPr>
                <w:p w14:paraId="50FC86E6">
                  <w:pPr>
                    <w:adjustRightInd w:val="0"/>
                    <w:snapToGrid w:val="0"/>
                    <w:spacing w:line="240" w:lineRule="exact"/>
                    <w:jc w:val="center"/>
                  </w:pPr>
                  <w:r>
                    <w:rPr>
                      <w:rFonts w:hint="eastAsia"/>
                    </w:rPr>
                    <w:t>固体</w:t>
                  </w:r>
                </w:p>
              </w:tc>
              <w:tc>
                <w:tcPr>
                  <w:tcW w:w="993" w:type="dxa"/>
                  <w:vAlign w:val="center"/>
                </w:tcPr>
                <w:p w14:paraId="178B4604">
                  <w:pPr>
                    <w:adjustRightInd w:val="0"/>
                    <w:snapToGrid w:val="0"/>
                    <w:spacing w:line="240" w:lineRule="exact"/>
                    <w:jc w:val="center"/>
                  </w:pPr>
                  <w:r>
                    <w:rPr>
                      <w:rFonts w:hint="eastAsia"/>
                    </w:rPr>
                    <w:t>废含油抹布</w:t>
                  </w:r>
                </w:p>
              </w:tc>
              <w:tc>
                <w:tcPr>
                  <w:tcW w:w="993" w:type="dxa"/>
                  <w:vAlign w:val="center"/>
                </w:tcPr>
                <w:p w14:paraId="04973403">
                  <w:pPr>
                    <w:adjustRightInd w:val="0"/>
                    <w:snapToGrid w:val="0"/>
                    <w:spacing w:line="240" w:lineRule="exact"/>
                    <w:jc w:val="center"/>
                    <w:rPr>
                      <w:rFonts w:hint="default" w:eastAsia="宋体"/>
                      <w:lang w:val="en-US" w:eastAsia="zh-CN"/>
                    </w:rPr>
                  </w:pPr>
                  <w:r>
                    <w:rPr>
                      <w:rFonts w:hint="eastAsia"/>
                      <w:lang w:val="en-US" w:eastAsia="zh-CN"/>
                    </w:rPr>
                    <w:t>0.01</w:t>
                  </w:r>
                </w:p>
              </w:tc>
              <w:tc>
                <w:tcPr>
                  <w:tcW w:w="993" w:type="dxa"/>
                  <w:vMerge w:val="restart"/>
                  <w:vAlign w:val="center"/>
                </w:tcPr>
                <w:p w14:paraId="538EC655">
                  <w:pPr>
                    <w:adjustRightInd w:val="0"/>
                    <w:snapToGrid w:val="0"/>
                    <w:spacing w:line="240" w:lineRule="exact"/>
                    <w:jc w:val="center"/>
                  </w:pPr>
                  <w:r>
                    <w:rPr>
                      <w:rFonts w:hint="eastAsia"/>
                    </w:rPr>
                    <w:t>暂存于危废暂存间内，最后交由有资质单位进行处理</w:t>
                  </w:r>
                </w:p>
              </w:tc>
            </w:tr>
            <w:tr w14:paraId="324D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1" w:type="dxa"/>
                  <w:vMerge w:val="continue"/>
                  <w:vAlign w:val="center"/>
                </w:tcPr>
                <w:p w14:paraId="2F8500A8">
                  <w:pPr>
                    <w:adjustRightInd w:val="0"/>
                    <w:snapToGrid w:val="0"/>
                    <w:spacing w:line="240" w:lineRule="exact"/>
                    <w:jc w:val="center"/>
                  </w:pPr>
                </w:p>
              </w:tc>
              <w:tc>
                <w:tcPr>
                  <w:tcW w:w="991" w:type="dxa"/>
                  <w:vAlign w:val="center"/>
                </w:tcPr>
                <w:p w14:paraId="7C495292">
                  <w:pPr>
                    <w:adjustRightInd w:val="0"/>
                    <w:snapToGrid w:val="0"/>
                    <w:spacing w:line="240" w:lineRule="exact"/>
                    <w:jc w:val="center"/>
                  </w:pPr>
                  <w:r>
                    <w:rPr>
                      <w:rFonts w:hint="eastAsia"/>
                    </w:rPr>
                    <w:t>废油</w:t>
                  </w:r>
                </w:p>
              </w:tc>
              <w:tc>
                <w:tcPr>
                  <w:tcW w:w="991" w:type="dxa"/>
                  <w:vMerge w:val="continue"/>
                  <w:vAlign w:val="center"/>
                </w:tcPr>
                <w:p w14:paraId="4A12F847">
                  <w:pPr>
                    <w:adjustRightInd w:val="0"/>
                    <w:snapToGrid w:val="0"/>
                    <w:spacing w:line="240" w:lineRule="exact"/>
                    <w:jc w:val="center"/>
                  </w:pPr>
                </w:p>
              </w:tc>
              <w:tc>
                <w:tcPr>
                  <w:tcW w:w="992" w:type="dxa"/>
                  <w:vAlign w:val="center"/>
                </w:tcPr>
                <w:p w14:paraId="1B17EBD8">
                  <w:pPr>
                    <w:adjustRightInd w:val="0"/>
                    <w:snapToGrid w:val="0"/>
                    <w:spacing w:line="240" w:lineRule="exact"/>
                    <w:jc w:val="center"/>
                  </w:pPr>
                  <w:r>
                    <w:rPr>
                      <w:rFonts w:hint="eastAsia"/>
                    </w:rPr>
                    <w:t>HW08（900-217-08）</w:t>
                  </w:r>
                </w:p>
              </w:tc>
              <w:tc>
                <w:tcPr>
                  <w:tcW w:w="992" w:type="dxa"/>
                  <w:vAlign w:val="center"/>
                </w:tcPr>
                <w:p w14:paraId="086FF078">
                  <w:pPr>
                    <w:adjustRightInd w:val="0"/>
                    <w:snapToGrid w:val="0"/>
                    <w:spacing w:line="240" w:lineRule="exact"/>
                    <w:jc w:val="center"/>
                  </w:pPr>
                  <w:r>
                    <w:rPr>
                      <w:rFonts w:hint="eastAsia"/>
                    </w:rPr>
                    <w:t>液体</w:t>
                  </w:r>
                </w:p>
              </w:tc>
              <w:tc>
                <w:tcPr>
                  <w:tcW w:w="993" w:type="dxa"/>
                  <w:vAlign w:val="center"/>
                </w:tcPr>
                <w:p w14:paraId="483FDCAF">
                  <w:pPr>
                    <w:adjustRightInd w:val="0"/>
                    <w:snapToGrid w:val="0"/>
                    <w:spacing w:line="240" w:lineRule="exact"/>
                    <w:jc w:val="center"/>
                  </w:pPr>
                  <w:r>
                    <w:rPr>
                      <w:rFonts w:hint="eastAsia"/>
                    </w:rPr>
                    <w:t>油类</w:t>
                  </w:r>
                </w:p>
              </w:tc>
              <w:tc>
                <w:tcPr>
                  <w:tcW w:w="993" w:type="dxa"/>
                  <w:vAlign w:val="center"/>
                </w:tcPr>
                <w:p w14:paraId="276F791B">
                  <w:pPr>
                    <w:adjustRightInd w:val="0"/>
                    <w:snapToGrid w:val="0"/>
                    <w:spacing w:line="240" w:lineRule="exact"/>
                    <w:jc w:val="center"/>
                    <w:rPr>
                      <w:rFonts w:hint="default" w:eastAsia="宋体"/>
                      <w:lang w:val="en-US" w:eastAsia="zh-CN"/>
                    </w:rPr>
                  </w:pPr>
                  <w:r>
                    <w:rPr>
                      <w:rFonts w:hint="eastAsia"/>
                      <w:lang w:val="en-US" w:eastAsia="zh-CN"/>
                    </w:rPr>
                    <w:t>0.2</w:t>
                  </w:r>
                </w:p>
              </w:tc>
              <w:tc>
                <w:tcPr>
                  <w:tcW w:w="993" w:type="dxa"/>
                  <w:vMerge w:val="continue"/>
                  <w:vAlign w:val="center"/>
                </w:tcPr>
                <w:p w14:paraId="5482EBBD">
                  <w:pPr>
                    <w:adjustRightInd w:val="0"/>
                    <w:snapToGrid w:val="0"/>
                    <w:spacing w:line="240" w:lineRule="exact"/>
                    <w:jc w:val="center"/>
                  </w:pPr>
                </w:p>
              </w:tc>
            </w:tr>
          </w:tbl>
          <w:p w14:paraId="2B74E3DD">
            <w:pPr>
              <w:pStyle w:val="48"/>
              <w:numPr>
                <w:ilvl w:val="2"/>
                <w:numId w:val="4"/>
              </w:numPr>
              <w:spacing w:line="500" w:lineRule="atLeast"/>
              <w:ind w:firstLineChars="0"/>
              <w:jc w:val="center"/>
              <w:rPr>
                <w:b/>
                <w:sz w:val="24"/>
              </w:rPr>
            </w:pPr>
            <w:r>
              <w:rPr>
                <w:rFonts w:hint="eastAsia"/>
                <w:b/>
                <w:sz w:val="24"/>
              </w:rPr>
              <w:t>危险废物汇总表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2529"/>
              <w:gridCol w:w="2530"/>
            </w:tblGrid>
            <w:tr w14:paraId="50F7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2446D5BE">
                  <w:pPr>
                    <w:pStyle w:val="38"/>
                    <w:spacing w:before="24" w:after="24" w:line="240" w:lineRule="auto"/>
                    <w:rPr>
                      <w:rFonts w:ascii="Times New Roman"/>
                      <w:szCs w:val="21"/>
                    </w:rPr>
                  </w:pPr>
                  <w:r>
                    <w:rPr>
                      <w:rFonts w:ascii="Times New Roman"/>
                      <w:szCs w:val="21"/>
                    </w:rPr>
                    <w:t>危险废物名称</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08C2D81B">
                  <w:pPr>
                    <w:adjustRightInd w:val="0"/>
                    <w:snapToGrid w:val="0"/>
                    <w:spacing w:line="240" w:lineRule="exact"/>
                    <w:jc w:val="center"/>
                    <w:rPr>
                      <w:rFonts w:ascii="Times New Roman" w:hAnsi="Times New Roman" w:eastAsia="宋体" w:cs="Times New Roman"/>
                      <w:kern w:val="2"/>
                      <w:sz w:val="21"/>
                      <w:szCs w:val="24"/>
                      <w:lang w:val="en-US" w:eastAsia="zh-CN" w:bidi="ar-SA"/>
                    </w:rPr>
                  </w:pPr>
                  <w:r>
                    <w:rPr>
                      <w:rFonts w:hint="eastAsia"/>
                    </w:rPr>
                    <w:t>废油</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53DE822B">
                  <w:pPr>
                    <w:adjustRightInd w:val="0"/>
                    <w:snapToGrid w:val="0"/>
                    <w:spacing w:line="240" w:lineRule="exact"/>
                    <w:jc w:val="center"/>
                    <w:rPr>
                      <w:rFonts w:ascii="Times New Roman" w:hAnsi="Times New Roman" w:eastAsia="宋体" w:cs="Times New Roman"/>
                      <w:kern w:val="2"/>
                      <w:sz w:val="21"/>
                      <w:szCs w:val="24"/>
                      <w:lang w:val="en-US" w:eastAsia="zh-CN" w:bidi="ar-SA"/>
                    </w:rPr>
                  </w:pPr>
                  <w:r>
                    <w:rPr>
                      <w:rFonts w:hint="eastAsia"/>
                    </w:rPr>
                    <w:t>废含油抹布</w:t>
                  </w:r>
                </w:p>
              </w:tc>
            </w:tr>
            <w:tr w14:paraId="4021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08C2202D">
                  <w:pPr>
                    <w:pStyle w:val="38"/>
                    <w:spacing w:before="24" w:after="24" w:line="240" w:lineRule="auto"/>
                    <w:rPr>
                      <w:rFonts w:ascii="Times New Roman"/>
                      <w:szCs w:val="21"/>
                    </w:rPr>
                  </w:pPr>
                  <w:r>
                    <w:rPr>
                      <w:rFonts w:ascii="Times New Roman"/>
                      <w:szCs w:val="21"/>
                    </w:rPr>
                    <w:t>危险废物类别</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74C3AB33">
                  <w:pPr>
                    <w:pStyle w:val="38"/>
                    <w:spacing w:before="24" w:after="24" w:line="240" w:lineRule="auto"/>
                    <w:rPr>
                      <w:rFonts w:ascii="Times New Roman" w:hAnsi="Times New Roman" w:eastAsia="宋体" w:cs="Times New Roman"/>
                      <w:kern w:val="0"/>
                      <w:sz w:val="21"/>
                      <w:szCs w:val="20"/>
                      <w:lang w:val="en-US" w:eastAsia="zh-CN" w:bidi="ar-SA"/>
                    </w:rPr>
                  </w:pPr>
                  <w:r>
                    <w:rPr>
                      <w:rFonts w:hint="eastAsia" w:ascii="Times New Roman"/>
                    </w:rPr>
                    <w:t>HW08</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07F91F39">
                  <w:pPr>
                    <w:pStyle w:val="38"/>
                    <w:spacing w:before="24" w:after="24" w:line="240" w:lineRule="auto"/>
                    <w:rPr>
                      <w:rFonts w:ascii="Times New Roman" w:hAnsi="Times New Roman" w:eastAsia="宋体" w:cs="Times New Roman"/>
                      <w:kern w:val="0"/>
                      <w:sz w:val="21"/>
                      <w:szCs w:val="20"/>
                      <w:lang w:val="en-US" w:eastAsia="zh-CN" w:bidi="ar-SA"/>
                    </w:rPr>
                  </w:pPr>
                  <w:r>
                    <w:rPr>
                      <w:rFonts w:hint="eastAsia" w:ascii="Times New Roman"/>
                    </w:rPr>
                    <w:t>危险废物豁免管理清单</w:t>
                  </w:r>
                </w:p>
              </w:tc>
            </w:tr>
            <w:tr w14:paraId="433B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33428854">
                  <w:pPr>
                    <w:pStyle w:val="38"/>
                    <w:spacing w:before="24" w:after="24" w:line="240" w:lineRule="auto"/>
                    <w:rPr>
                      <w:rFonts w:ascii="Times New Roman"/>
                      <w:szCs w:val="21"/>
                    </w:rPr>
                  </w:pPr>
                  <w:r>
                    <w:rPr>
                      <w:rFonts w:ascii="Times New Roman"/>
                      <w:szCs w:val="21"/>
                    </w:rPr>
                    <w:t>危险废物代码</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1131B610">
                  <w:pPr>
                    <w:pStyle w:val="38"/>
                    <w:spacing w:before="24" w:after="24" w:line="240" w:lineRule="auto"/>
                    <w:rPr>
                      <w:rFonts w:ascii="Times New Roman" w:hAnsi="Times New Roman" w:eastAsia="宋体" w:cs="Times New Roman"/>
                      <w:kern w:val="0"/>
                      <w:sz w:val="21"/>
                      <w:szCs w:val="20"/>
                      <w:lang w:val="en-US" w:eastAsia="zh-CN" w:bidi="ar-SA"/>
                    </w:rPr>
                  </w:pPr>
                  <w:r>
                    <w:rPr>
                      <w:rFonts w:hint="eastAsia" w:ascii="Times New Roman"/>
                    </w:rPr>
                    <w:t>900-217-08</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671A821A">
                  <w:pPr>
                    <w:pStyle w:val="38"/>
                    <w:spacing w:before="24" w:after="24" w:line="240" w:lineRule="auto"/>
                    <w:rPr>
                      <w:rFonts w:ascii="Times New Roman" w:hAnsi="Times New Roman" w:eastAsia="宋体" w:cs="Times New Roman"/>
                      <w:kern w:val="0"/>
                      <w:sz w:val="21"/>
                      <w:szCs w:val="20"/>
                      <w:lang w:val="en-US" w:eastAsia="zh-CN" w:bidi="ar-SA"/>
                    </w:rPr>
                  </w:pPr>
                  <w:r>
                    <w:rPr>
                      <w:rFonts w:ascii="Times New Roman"/>
                    </w:rPr>
                    <w:t>900-041-49</w:t>
                  </w:r>
                </w:p>
              </w:tc>
            </w:tr>
            <w:tr w14:paraId="7A7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3953BD7B">
                  <w:pPr>
                    <w:pStyle w:val="38"/>
                    <w:spacing w:before="24" w:after="24" w:line="240" w:lineRule="auto"/>
                    <w:rPr>
                      <w:rFonts w:ascii="Times New Roman"/>
                      <w:szCs w:val="21"/>
                    </w:rPr>
                  </w:pPr>
                  <w:r>
                    <w:rPr>
                      <w:rFonts w:ascii="Times New Roman"/>
                      <w:szCs w:val="21"/>
                    </w:rPr>
                    <w:t>产生量（</w:t>
                  </w:r>
                  <w:r>
                    <w:rPr>
                      <w:rFonts w:hint="eastAsia" w:ascii="Times New Roman"/>
                      <w:szCs w:val="21"/>
                    </w:rPr>
                    <w:t>t</w:t>
                  </w:r>
                  <w:r>
                    <w:rPr>
                      <w:rFonts w:ascii="Times New Roman"/>
                      <w:szCs w:val="21"/>
                    </w:rPr>
                    <w:t>/</w:t>
                  </w:r>
                  <w:r>
                    <w:rPr>
                      <w:rFonts w:hint="eastAsia" w:ascii="Times New Roman"/>
                      <w:szCs w:val="21"/>
                    </w:rPr>
                    <w:t>a</w:t>
                  </w:r>
                  <w:r>
                    <w:rPr>
                      <w:rFonts w:ascii="Times New Roman"/>
                      <w:szCs w:val="21"/>
                    </w:rPr>
                    <w:t>）</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0001B828">
                  <w:pPr>
                    <w:adjustRightInd w:val="0"/>
                    <w:snapToGrid w:val="0"/>
                    <w:spacing w:line="24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0.2</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1F2AA8F6">
                  <w:pPr>
                    <w:adjustRightInd w:val="0"/>
                    <w:snapToGrid w:val="0"/>
                    <w:spacing w:line="24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0.01</w:t>
                  </w:r>
                </w:p>
              </w:tc>
            </w:tr>
            <w:tr w14:paraId="4F70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363DF68E">
                  <w:pPr>
                    <w:pStyle w:val="38"/>
                    <w:spacing w:before="24" w:after="24" w:line="240" w:lineRule="auto"/>
                    <w:rPr>
                      <w:rFonts w:ascii="Times New Roman"/>
                      <w:szCs w:val="21"/>
                    </w:rPr>
                  </w:pPr>
                  <w:r>
                    <w:rPr>
                      <w:rFonts w:ascii="Times New Roman"/>
                      <w:szCs w:val="21"/>
                    </w:rPr>
                    <w:t>产生工序及装置</w:t>
                  </w:r>
                </w:p>
              </w:tc>
              <w:tc>
                <w:tcPr>
                  <w:tcW w:w="3187" w:type="pct"/>
                  <w:gridSpan w:val="2"/>
                  <w:tcBorders>
                    <w:top w:val="single" w:color="auto" w:sz="4" w:space="0"/>
                    <w:left w:val="single" w:color="auto" w:sz="4" w:space="0"/>
                    <w:bottom w:val="single" w:color="auto" w:sz="4" w:space="0"/>
                    <w:right w:val="single" w:color="auto" w:sz="4" w:space="0"/>
                  </w:tcBorders>
                  <w:vAlign w:val="center"/>
                </w:tcPr>
                <w:p w14:paraId="222AB214">
                  <w:pPr>
                    <w:pStyle w:val="38"/>
                    <w:spacing w:before="24" w:after="24" w:line="240" w:lineRule="auto"/>
                    <w:rPr>
                      <w:rFonts w:ascii="Times New Roman"/>
                    </w:rPr>
                  </w:pPr>
                  <w:r>
                    <w:rPr>
                      <w:rFonts w:hint="eastAsia" w:ascii="Times New Roman"/>
                    </w:rPr>
                    <w:t>设备维护</w:t>
                  </w:r>
                </w:p>
              </w:tc>
            </w:tr>
            <w:tr w14:paraId="7F25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3F7901F3">
                  <w:pPr>
                    <w:pStyle w:val="38"/>
                    <w:spacing w:before="24" w:after="24" w:line="240" w:lineRule="auto"/>
                    <w:rPr>
                      <w:rFonts w:ascii="Times New Roman"/>
                      <w:szCs w:val="21"/>
                    </w:rPr>
                  </w:pPr>
                  <w:r>
                    <w:rPr>
                      <w:rFonts w:ascii="Times New Roman"/>
                      <w:szCs w:val="21"/>
                    </w:rPr>
                    <w:t>形态</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74F9CAEA">
                  <w:pPr>
                    <w:pStyle w:val="38"/>
                    <w:spacing w:before="24" w:after="24" w:line="240" w:lineRule="auto"/>
                    <w:rPr>
                      <w:rFonts w:ascii="Times New Roman" w:hAnsi="Times New Roman" w:eastAsia="宋体" w:cs="Times New Roman"/>
                      <w:kern w:val="0"/>
                      <w:sz w:val="21"/>
                      <w:szCs w:val="21"/>
                      <w:lang w:val="en-US" w:eastAsia="zh-CN" w:bidi="ar-SA"/>
                    </w:rPr>
                  </w:pPr>
                  <w:r>
                    <w:rPr>
                      <w:rFonts w:ascii="Times New Roman"/>
                      <w:szCs w:val="21"/>
                    </w:rPr>
                    <w:t>液态</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78CBEF64">
                  <w:pPr>
                    <w:pStyle w:val="38"/>
                    <w:spacing w:before="24" w:after="24" w:line="240" w:lineRule="auto"/>
                    <w:rPr>
                      <w:rFonts w:ascii="Times New Roman" w:hAnsi="Times New Roman" w:eastAsia="宋体" w:cs="Times New Roman"/>
                      <w:kern w:val="0"/>
                      <w:sz w:val="21"/>
                      <w:szCs w:val="21"/>
                      <w:lang w:val="en-US" w:eastAsia="zh-CN" w:bidi="ar-SA"/>
                    </w:rPr>
                  </w:pPr>
                  <w:r>
                    <w:rPr>
                      <w:rFonts w:ascii="Times New Roman"/>
                      <w:szCs w:val="21"/>
                    </w:rPr>
                    <w:t>固态</w:t>
                  </w:r>
                </w:p>
              </w:tc>
            </w:tr>
            <w:tr w14:paraId="73E7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12D25748">
                  <w:pPr>
                    <w:pStyle w:val="38"/>
                    <w:spacing w:before="24" w:after="24" w:line="240" w:lineRule="auto"/>
                    <w:rPr>
                      <w:rFonts w:ascii="Times New Roman"/>
                      <w:szCs w:val="21"/>
                    </w:rPr>
                  </w:pPr>
                  <w:r>
                    <w:rPr>
                      <w:rFonts w:ascii="Times New Roman"/>
                      <w:szCs w:val="21"/>
                    </w:rPr>
                    <w:t>主要成分</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46BA968E">
                  <w:pPr>
                    <w:adjustRightInd w:val="0"/>
                    <w:snapToGrid w:val="0"/>
                    <w:spacing w:line="240" w:lineRule="exact"/>
                    <w:jc w:val="center"/>
                    <w:rPr>
                      <w:rFonts w:ascii="Times New Roman" w:hAnsi="Times New Roman" w:eastAsia="宋体" w:cs="Times New Roman"/>
                      <w:kern w:val="2"/>
                      <w:sz w:val="21"/>
                      <w:szCs w:val="24"/>
                      <w:lang w:val="en-US" w:eastAsia="zh-CN" w:bidi="ar-SA"/>
                    </w:rPr>
                  </w:pPr>
                  <w:r>
                    <w:rPr>
                      <w:rFonts w:hint="eastAsia"/>
                    </w:rPr>
                    <w:t>废润滑油</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5FC52BF8">
                  <w:pPr>
                    <w:adjustRightInd w:val="0"/>
                    <w:snapToGrid w:val="0"/>
                    <w:spacing w:line="240" w:lineRule="exact"/>
                    <w:jc w:val="center"/>
                    <w:rPr>
                      <w:rFonts w:ascii="Times New Roman" w:hAnsi="Times New Roman" w:eastAsia="宋体" w:cs="Times New Roman"/>
                      <w:kern w:val="2"/>
                      <w:sz w:val="21"/>
                      <w:szCs w:val="24"/>
                      <w:lang w:val="en-US" w:eastAsia="zh-CN" w:bidi="ar-SA"/>
                    </w:rPr>
                  </w:pPr>
                  <w:r>
                    <w:rPr>
                      <w:rFonts w:hint="eastAsia"/>
                    </w:rPr>
                    <w:t>废含油抹布</w:t>
                  </w:r>
                </w:p>
              </w:tc>
            </w:tr>
            <w:tr w14:paraId="3E67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3DE245B3">
                  <w:pPr>
                    <w:pStyle w:val="38"/>
                    <w:spacing w:before="24" w:after="24" w:line="240" w:lineRule="auto"/>
                    <w:rPr>
                      <w:rFonts w:ascii="Times New Roman"/>
                      <w:szCs w:val="21"/>
                    </w:rPr>
                  </w:pPr>
                  <w:r>
                    <w:rPr>
                      <w:rFonts w:ascii="Times New Roman"/>
                      <w:szCs w:val="21"/>
                    </w:rPr>
                    <w:t>有害成分</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34DD986D">
                  <w:pPr>
                    <w:pStyle w:val="38"/>
                    <w:spacing w:before="24" w:after="24" w:line="240" w:lineRule="auto"/>
                    <w:rPr>
                      <w:rFonts w:ascii="Times New Roman" w:hAnsi="Times New Roman" w:eastAsia="宋体" w:cs="Times New Roman"/>
                      <w:kern w:val="0"/>
                      <w:sz w:val="21"/>
                      <w:szCs w:val="21"/>
                      <w:lang w:val="en-US" w:eastAsia="zh-CN" w:bidi="ar-SA"/>
                    </w:rPr>
                  </w:pPr>
                  <w:r>
                    <w:rPr>
                      <w:rFonts w:ascii="Times New Roman"/>
                      <w:szCs w:val="21"/>
                    </w:rPr>
                    <w:t>油类</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2FA925A2">
                  <w:pPr>
                    <w:pStyle w:val="38"/>
                    <w:spacing w:before="24" w:after="24" w:line="240" w:lineRule="auto"/>
                    <w:rPr>
                      <w:rFonts w:ascii="Times New Roman" w:hAnsi="Times New Roman" w:eastAsia="宋体" w:cs="Times New Roman"/>
                      <w:kern w:val="0"/>
                      <w:sz w:val="21"/>
                      <w:szCs w:val="21"/>
                      <w:lang w:val="en-US" w:eastAsia="zh-CN" w:bidi="ar-SA"/>
                    </w:rPr>
                  </w:pPr>
                  <w:r>
                    <w:rPr>
                      <w:rFonts w:ascii="Times New Roman"/>
                      <w:szCs w:val="21"/>
                    </w:rPr>
                    <w:t>油类</w:t>
                  </w:r>
                </w:p>
              </w:tc>
            </w:tr>
            <w:tr w14:paraId="268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4BE705CA">
                  <w:pPr>
                    <w:pStyle w:val="38"/>
                    <w:spacing w:before="24" w:after="24" w:line="240" w:lineRule="auto"/>
                    <w:rPr>
                      <w:rFonts w:ascii="Times New Roman"/>
                      <w:szCs w:val="21"/>
                    </w:rPr>
                  </w:pPr>
                  <w:r>
                    <w:rPr>
                      <w:rFonts w:ascii="Times New Roman"/>
                      <w:szCs w:val="21"/>
                    </w:rPr>
                    <w:t>产废周期</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289D9885">
                  <w:pPr>
                    <w:pStyle w:val="38"/>
                    <w:spacing w:before="24" w:after="24" w:line="240" w:lineRule="auto"/>
                    <w:rPr>
                      <w:rFonts w:ascii="Times New Roman" w:hAnsi="Times New Roman" w:eastAsia="宋体" w:cs="Times New Roman"/>
                      <w:spacing w:val="10"/>
                      <w:kern w:val="0"/>
                      <w:sz w:val="21"/>
                      <w:szCs w:val="21"/>
                      <w:lang w:val="en-US" w:eastAsia="zh-CN" w:bidi="ar-SA"/>
                    </w:rPr>
                  </w:pPr>
                  <w:r>
                    <w:rPr>
                      <w:rFonts w:ascii="Times New Roman"/>
                      <w:spacing w:val="10"/>
                      <w:szCs w:val="21"/>
                    </w:rPr>
                    <w:t>次/月</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1E2A66C3">
                  <w:pPr>
                    <w:pStyle w:val="38"/>
                    <w:spacing w:before="24" w:after="24" w:line="240" w:lineRule="auto"/>
                    <w:rPr>
                      <w:rFonts w:ascii="Times New Roman" w:hAnsi="Times New Roman" w:eastAsia="宋体" w:cs="Times New Roman"/>
                      <w:spacing w:val="10"/>
                      <w:kern w:val="0"/>
                      <w:sz w:val="21"/>
                      <w:szCs w:val="21"/>
                      <w:lang w:val="en-US" w:eastAsia="zh-CN" w:bidi="ar-SA"/>
                    </w:rPr>
                  </w:pPr>
                  <w:r>
                    <w:rPr>
                      <w:rFonts w:ascii="Times New Roman"/>
                      <w:spacing w:val="10"/>
                      <w:szCs w:val="21"/>
                    </w:rPr>
                    <w:t>次/月</w:t>
                  </w:r>
                </w:p>
              </w:tc>
            </w:tr>
            <w:tr w14:paraId="57F2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298BA364">
                  <w:pPr>
                    <w:pStyle w:val="38"/>
                    <w:spacing w:before="24" w:after="24" w:line="240" w:lineRule="auto"/>
                    <w:rPr>
                      <w:rFonts w:ascii="Times New Roman"/>
                      <w:szCs w:val="21"/>
                    </w:rPr>
                  </w:pPr>
                  <w:r>
                    <w:rPr>
                      <w:rFonts w:ascii="Times New Roman"/>
                      <w:szCs w:val="21"/>
                    </w:rPr>
                    <w:t>危险特性</w:t>
                  </w:r>
                </w:p>
              </w:tc>
              <w:tc>
                <w:tcPr>
                  <w:tcW w:w="1593" w:type="pct"/>
                  <w:tcBorders>
                    <w:top w:val="single" w:color="auto" w:sz="4" w:space="0"/>
                    <w:left w:val="single" w:color="auto" w:sz="4" w:space="0"/>
                    <w:bottom w:val="single" w:color="auto" w:sz="4" w:space="0"/>
                    <w:right w:val="single" w:color="auto" w:sz="4" w:space="0"/>
                  </w:tcBorders>
                  <w:shd w:val="clear" w:color="auto" w:fill="auto"/>
                  <w:vAlign w:val="center"/>
                </w:tcPr>
                <w:p w14:paraId="6AC7B90C">
                  <w:pPr>
                    <w:pStyle w:val="38"/>
                    <w:spacing w:before="24" w:after="24" w:line="240" w:lineRule="auto"/>
                    <w:rPr>
                      <w:rFonts w:ascii="Times New Roman" w:hAnsi="Times New Roman" w:eastAsia="宋体" w:cs="Times New Roman"/>
                      <w:kern w:val="0"/>
                      <w:sz w:val="21"/>
                      <w:szCs w:val="21"/>
                      <w:lang w:val="en-US" w:eastAsia="zh-CN" w:bidi="ar-SA"/>
                    </w:rPr>
                  </w:pPr>
                  <w:r>
                    <w:rPr>
                      <w:rFonts w:ascii="Times New Roman"/>
                      <w:szCs w:val="21"/>
                    </w:rPr>
                    <w:t>毒性、易燃性</w:t>
                  </w:r>
                </w:p>
              </w:tc>
              <w:tc>
                <w:tcPr>
                  <w:tcW w:w="1594" w:type="pct"/>
                  <w:tcBorders>
                    <w:top w:val="single" w:color="auto" w:sz="4" w:space="0"/>
                    <w:left w:val="single" w:color="auto" w:sz="4" w:space="0"/>
                    <w:bottom w:val="single" w:color="auto" w:sz="4" w:space="0"/>
                    <w:right w:val="single" w:color="auto" w:sz="4" w:space="0"/>
                  </w:tcBorders>
                  <w:shd w:val="clear" w:color="auto" w:fill="auto"/>
                  <w:vAlign w:val="center"/>
                </w:tcPr>
                <w:p w14:paraId="6AB969D7">
                  <w:pPr>
                    <w:pStyle w:val="38"/>
                    <w:spacing w:before="24" w:after="24" w:line="240" w:lineRule="auto"/>
                    <w:rPr>
                      <w:rFonts w:ascii="Times New Roman" w:hAnsi="Times New Roman" w:eastAsia="宋体" w:cs="Times New Roman"/>
                      <w:kern w:val="0"/>
                      <w:sz w:val="21"/>
                      <w:szCs w:val="21"/>
                      <w:lang w:val="en-US" w:eastAsia="zh-CN" w:bidi="ar-SA"/>
                    </w:rPr>
                  </w:pPr>
                  <w:r>
                    <w:rPr>
                      <w:rFonts w:ascii="Times New Roman"/>
                      <w:szCs w:val="21"/>
                    </w:rPr>
                    <w:t>毒性、易燃性</w:t>
                  </w:r>
                </w:p>
              </w:tc>
            </w:tr>
            <w:tr w14:paraId="2A64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pct"/>
                  <w:tcBorders>
                    <w:top w:val="single" w:color="auto" w:sz="4" w:space="0"/>
                    <w:left w:val="single" w:color="auto" w:sz="4" w:space="0"/>
                    <w:bottom w:val="single" w:color="auto" w:sz="4" w:space="0"/>
                    <w:right w:val="single" w:color="auto" w:sz="4" w:space="0"/>
                  </w:tcBorders>
                  <w:vAlign w:val="center"/>
                </w:tcPr>
                <w:p w14:paraId="212485E9">
                  <w:pPr>
                    <w:pStyle w:val="38"/>
                    <w:spacing w:before="24" w:after="24" w:line="240" w:lineRule="auto"/>
                    <w:rPr>
                      <w:rFonts w:ascii="Times New Roman"/>
                      <w:szCs w:val="21"/>
                    </w:rPr>
                  </w:pPr>
                  <w:r>
                    <w:rPr>
                      <w:rFonts w:ascii="Times New Roman"/>
                      <w:szCs w:val="21"/>
                    </w:rPr>
                    <w:t>污染防治措施</w:t>
                  </w:r>
                </w:p>
              </w:tc>
              <w:tc>
                <w:tcPr>
                  <w:tcW w:w="3187" w:type="pct"/>
                  <w:gridSpan w:val="2"/>
                  <w:tcBorders>
                    <w:top w:val="single" w:color="auto" w:sz="4" w:space="0"/>
                    <w:left w:val="single" w:color="auto" w:sz="4" w:space="0"/>
                    <w:bottom w:val="single" w:color="auto" w:sz="4" w:space="0"/>
                    <w:right w:val="single" w:color="auto" w:sz="4" w:space="0"/>
                  </w:tcBorders>
                  <w:vAlign w:val="center"/>
                </w:tcPr>
                <w:p w14:paraId="559FFE4D">
                  <w:pPr>
                    <w:pStyle w:val="38"/>
                    <w:spacing w:before="24" w:after="24" w:line="240" w:lineRule="auto"/>
                    <w:rPr>
                      <w:rFonts w:ascii="Times New Roman"/>
                      <w:szCs w:val="21"/>
                    </w:rPr>
                  </w:pPr>
                  <w:r>
                    <w:rPr>
                      <w:rFonts w:ascii="Times New Roman"/>
                      <w:szCs w:val="21"/>
                    </w:rPr>
                    <w:t>暂存于危废暂存间内，最后交由有资质单位进行处</w:t>
                  </w:r>
                  <w:r>
                    <w:rPr>
                      <w:rFonts w:hint="eastAsia" w:ascii="Times New Roman"/>
                      <w:szCs w:val="21"/>
                    </w:rPr>
                    <w:t>理</w:t>
                  </w:r>
                </w:p>
              </w:tc>
            </w:tr>
          </w:tbl>
          <w:p w14:paraId="21DFE184">
            <w:pPr>
              <w:spacing w:line="500" w:lineRule="exact"/>
              <w:ind w:firstLine="482"/>
              <w:rPr>
                <w:b/>
                <w:kern w:val="0"/>
                <w:sz w:val="24"/>
              </w:rPr>
            </w:pPr>
            <w:r>
              <w:rPr>
                <w:rFonts w:hint="eastAsia"/>
                <w:b/>
                <w:kern w:val="0"/>
                <w:sz w:val="24"/>
              </w:rPr>
              <w:t>3、管理要求</w:t>
            </w:r>
          </w:p>
          <w:p w14:paraId="1EEF124C">
            <w:pPr>
              <w:spacing w:line="500" w:lineRule="exact"/>
              <w:ind w:firstLine="482"/>
              <w:rPr>
                <w:b/>
                <w:kern w:val="0"/>
                <w:sz w:val="24"/>
              </w:rPr>
            </w:pPr>
            <w:r>
              <w:rPr>
                <w:rFonts w:hint="eastAsia"/>
                <w:b/>
                <w:kern w:val="0"/>
                <w:sz w:val="24"/>
                <w:lang w:val="en-US" w:eastAsia="zh-CN"/>
              </w:rPr>
              <w:t>3.1</w:t>
            </w:r>
            <w:r>
              <w:rPr>
                <w:rFonts w:hint="eastAsia"/>
                <w:b/>
                <w:kern w:val="0"/>
                <w:sz w:val="24"/>
              </w:rPr>
              <w:t>一般工业固废</w:t>
            </w:r>
          </w:p>
          <w:p w14:paraId="1256236C">
            <w:pPr>
              <w:spacing w:line="500" w:lineRule="exact"/>
              <w:ind w:firstLine="482"/>
              <w:rPr>
                <w:kern w:val="0"/>
                <w:sz w:val="24"/>
              </w:rPr>
            </w:pPr>
            <w:r>
              <w:rPr>
                <w:rFonts w:hint="eastAsia"/>
                <w:kern w:val="0"/>
                <w:sz w:val="24"/>
              </w:rPr>
              <w:t>一般工业固体废物统一收集后交由有处理能力的单位处理。项目应按照《中华人民共和国固体废物污染环境防治法</w:t>
            </w:r>
            <w:r>
              <w:rPr>
                <w:rFonts w:hint="eastAsia"/>
                <w:kern w:val="0"/>
                <w:sz w:val="24"/>
                <w:lang w:eastAsia="zh-CN"/>
              </w:rPr>
              <w:t>》《</w:t>
            </w:r>
            <w:r>
              <w:rPr>
                <w:rFonts w:hint="eastAsia"/>
                <w:kern w:val="0"/>
                <w:sz w:val="24"/>
              </w:rPr>
              <w:t>一般工业固体废物管理台账制定指南（试行）》，建立健全工业固体废物产生、收集、贮存、运输、利用、处置全过程的污染环境防治责任制度，建立工业固体废物管理台账，如实记录产生工业固体废物的种类、数量、流向、贮存、利用、处置等信息，实现工业固体废物可追溯、可查询。</w:t>
            </w:r>
          </w:p>
          <w:p w14:paraId="21B2BAEE">
            <w:pPr>
              <w:spacing w:line="500" w:lineRule="exact"/>
              <w:ind w:firstLine="482"/>
              <w:rPr>
                <w:b/>
                <w:kern w:val="0"/>
                <w:sz w:val="24"/>
              </w:rPr>
            </w:pPr>
            <w:r>
              <w:rPr>
                <w:rFonts w:hint="eastAsia"/>
                <w:b/>
                <w:kern w:val="0"/>
                <w:sz w:val="24"/>
                <w:lang w:val="en-US" w:eastAsia="zh-CN"/>
              </w:rPr>
              <w:t>3.2</w:t>
            </w:r>
            <w:r>
              <w:rPr>
                <w:rFonts w:hint="eastAsia"/>
                <w:b/>
                <w:kern w:val="0"/>
                <w:sz w:val="24"/>
              </w:rPr>
              <w:t>危险废物</w:t>
            </w:r>
          </w:p>
          <w:p w14:paraId="7E49613D">
            <w:pPr>
              <w:spacing w:line="500" w:lineRule="exact"/>
              <w:ind w:firstLine="482"/>
              <w:rPr>
                <w:rFonts w:hint="eastAsia"/>
                <w:kern w:val="0"/>
                <w:sz w:val="24"/>
              </w:rPr>
            </w:pPr>
            <w:r>
              <w:rPr>
                <w:rFonts w:hint="eastAsia"/>
                <w:kern w:val="0"/>
                <w:sz w:val="24"/>
              </w:rPr>
              <w:t>（1）危险废物暂存措施</w:t>
            </w:r>
          </w:p>
          <w:p w14:paraId="21171AE4">
            <w:pPr>
              <w:spacing w:line="500" w:lineRule="exact"/>
              <w:ind w:firstLine="482"/>
              <w:rPr>
                <w:rFonts w:hint="eastAsia"/>
                <w:kern w:val="0"/>
                <w:sz w:val="24"/>
              </w:rPr>
            </w:pPr>
            <w:r>
              <w:rPr>
                <w:rFonts w:hint="eastAsia"/>
                <w:kern w:val="0"/>
                <w:sz w:val="24"/>
              </w:rPr>
              <w:t>为防止危险废物产生二次污染，</w:t>
            </w:r>
            <w:r>
              <w:rPr>
                <w:rFonts w:hint="eastAsia"/>
                <w:kern w:val="0"/>
                <w:sz w:val="24"/>
                <w:lang w:val="en-US" w:eastAsia="zh-CN"/>
              </w:rPr>
              <w:t>危险废物</w:t>
            </w:r>
            <w:r>
              <w:rPr>
                <w:rFonts w:hint="eastAsia"/>
                <w:kern w:val="0"/>
                <w:sz w:val="24"/>
              </w:rPr>
              <w:t>贮存和转运过程，应严格按《危险废物贮存污染控制标准》（GB18597-2023）和《危险废物转移管理办法》（2021年部令第23号）要求执行。</w:t>
            </w:r>
          </w:p>
          <w:p w14:paraId="100DAB68">
            <w:pPr>
              <w:spacing w:line="500" w:lineRule="exact"/>
              <w:ind w:firstLine="482"/>
              <w:rPr>
                <w:rFonts w:hint="eastAsia"/>
                <w:kern w:val="0"/>
                <w:sz w:val="24"/>
              </w:rPr>
            </w:pPr>
            <w:r>
              <w:rPr>
                <w:rFonts w:hint="eastAsia"/>
                <w:kern w:val="0"/>
                <w:sz w:val="24"/>
              </w:rPr>
              <w:t>（2）运输过程</w:t>
            </w:r>
          </w:p>
          <w:p w14:paraId="747F1E5C">
            <w:pPr>
              <w:spacing w:line="500" w:lineRule="exact"/>
              <w:ind w:firstLine="482"/>
              <w:rPr>
                <w:rFonts w:hint="eastAsia"/>
                <w:kern w:val="0"/>
                <w:sz w:val="24"/>
              </w:rPr>
            </w:pPr>
            <w:r>
              <w:rPr>
                <w:rFonts w:hint="eastAsia"/>
                <w:kern w:val="0"/>
                <w:sz w:val="24"/>
              </w:rPr>
              <w:t>项目废液厂外运输方式为汽车运输，危险废物运输应由具有从事危险废物运输经营许可证的运输单位完成，运输应满足《危险废物收集 贮存 运输技术规范》(HJ 2025-2012)。</w:t>
            </w:r>
          </w:p>
          <w:p w14:paraId="367D174B">
            <w:pPr>
              <w:spacing w:line="500" w:lineRule="exact"/>
              <w:ind w:firstLine="482"/>
              <w:rPr>
                <w:rFonts w:hint="eastAsia"/>
                <w:kern w:val="0"/>
                <w:sz w:val="24"/>
              </w:rPr>
            </w:pPr>
            <w:r>
              <w:rPr>
                <w:rFonts w:hint="eastAsia"/>
                <w:kern w:val="0"/>
                <w:sz w:val="24"/>
              </w:rPr>
              <w:t>①运输危险废物的车辆必须严格交通、消防、治安等法规并控制车速，保持与前车的距离，严禁违章超车，确保行车安全；装载危废的车辆不得在居民集聚区、行人稠密地段、风景游览区停车；</w:t>
            </w:r>
          </w:p>
          <w:p w14:paraId="58BDC5FE">
            <w:pPr>
              <w:spacing w:line="500" w:lineRule="exact"/>
              <w:ind w:firstLine="482"/>
              <w:rPr>
                <w:rFonts w:hint="eastAsia"/>
                <w:kern w:val="0"/>
                <w:sz w:val="24"/>
              </w:rPr>
            </w:pPr>
            <w:r>
              <w:rPr>
                <w:rFonts w:hint="eastAsia"/>
                <w:kern w:val="0"/>
                <w:sz w:val="24"/>
              </w:rPr>
              <w:t>②运输危险废物必须配备随车人员在途中经常检查，不得搭乘无关人员，车上人员严禁吸烟；</w:t>
            </w:r>
          </w:p>
          <w:p w14:paraId="4E28AFC3">
            <w:pPr>
              <w:spacing w:line="500" w:lineRule="exact"/>
              <w:ind w:firstLine="482"/>
              <w:rPr>
                <w:rFonts w:hint="eastAsia"/>
                <w:kern w:val="0"/>
                <w:sz w:val="24"/>
              </w:rPr>
            </w:pPr>
            <w:r>
              <w:rPr>
                <w:rFonts w:hint="eastAsia"/>
                <w:kern w:val="0"/>
                <w:sz w:val="24"/>
              </w:rPr>
              <w:t>③根据车上废物性质，采取遮阳、控温、防火、防爆、防震、防水、防冻等措施；</w:t>
            </w:r>
          </w:p>
          <w:p w14:paraId="725A0372">
            <w:pPr>
              <w:spacing w:line="500" w:lineRule="exact"/>
              <w:ind w:firstLine="482"/>
              <w:rPr>
                <w:rFonts w:hint="eastAsia"/>
                <w:kern w:val="0"/>
                <w:sz w:val="24"/>
              </w:rPr>
            </w:pPr>
            <w:r>
              <w:rPr>
                <w:rFonts w:hint="eastAsia"/>
                <w:kern w:val="0"/>
                <w:sz w:val="24"/>
              </w:rPr>
              <w:t>④危险废物随车人员不得擅自改变作业计划，严禁擅自拼装、超载。危险废物运输应优先安排；</w:t>
            </w:r>
          </w:p>
          <w:p w14:paraId="4D8EDA69">
            <w:pPr>
              <w:spacing w:line="500" w:lineRule="exact"/>
              <w:ind w:firstLine="482"/>
              <w:rPr>
                <w:rFonts w:hint="eastAsia"/>
                <w:kern w:val="0"/>
                <w:sz w:val="24"/>
              </w:rPr>
            </w:pPr>
            <w:r>
              <w:rPr>
                <w:rFonts w:hint="eastAsia"/>
                <w:kern w:val="0"/>
                <w:sz w:val="24"/>
              </w:rPr>
              <w:t>⑤危险废物装卸作业必须严格遵守操作规程，轻装、轻卸，严禁摔碰、撞击、重压、倒置</w:t>
            </w:r>
          </w:p>
          <w:p w14:paraId="071DF6AB">
            <w:pPr>
              <w:spacing w:line="500" w:lineRule="exact"/>
              <w:ind w:firstLine="482"/>
              <w:rPr>
                <w:rFonts w:hint="eastAsia"/>
                <w:kern w:val="0"/>
                <w:sz w:val="24"/>
              </w:rPr>
            </w:pPr>
            <w:r>
              <w:rPr>
                <w:rFonts w:hint="eastAsia"/>
                <w:kern w:val="0"/>
                <w:sz w:val="24"/>
              </w:rPr>
              <w:t>（3）管理要求</w:t>
            </w:r>
          </w:p>
          <w:p w14:paraId="42D63FFD">
            <w:pPr>
              <w:spacing w:line="500" w:lineRule="exact"/>
              <w:ind w:firstLine="482"/>
              <w:rPr>
                <w:rFonts w:hint="eastAsia"/>
                <w:kern w:val="0"/>
                <w:sz w:val="24"/>
              </w:rPr>
            </w:pPr>
            <w:r>
              <w:rPr>
                <w:rFonts w:hint="eastAsia"/>
                <w:kern w:val="0"/>
                <w:sz w:val="24"/>
              </w:rPr>
              <w:t xml:space="preserve">企业应建立固体废物责任制度，并做到将各类固废分类收集贮存，确保固废不产生二次污染。在危险废物日常管理工作中已严格执行国家的有关法律法规，自觉接受环保部门的监督和日常检查，主要的管理工作有： </w:t>
            </w:r>
          </w:p>
          <w:p w14:paraId="131EDDA6">
            <w:pPr>
              <w:spacing w:line="500" w:lineRule="exact"/>
              <w:ind w:firstLine="482"/>
              <w:rPr>
                <w:rFonts w:hint="eastAsia"/>
                <w:kern w:val="0"/>
                <w:sz w:val="24"/>
              </w:rPr>
            </w:pPr>
            <w:r>
              <w:rPr>
                <w:rFonts w:hint="eastAsia"/>
                <w:kern w:val="0"/>
                <w:sz w:val="24"/>
              </w:rPr>
              <w:t>①履行申报的登记制度、建立危废管理台账制度，每种危废一本；并及时登记各种危废的产生、转移、处置情况。</w:t>
            </w:r>
          </w:p>
          <w:p w14:paraId="00C77CAC">
            <w:pPr>
              <w:spacing w:line="500" w:lineRule="exact"/>
              <w:ind w:firstLine="482"/>
              <w:rPr>
                <w:rFonts w:hint="eastAsia"/>
                <w:kern w:val="0"/>
                <w:sz w:val="24"/>
              </w:rPr>
            </w:pPr>
            <w:r>
              <w:rPr>
                <w:rFonts w:hint="eastAsia"/>
                <w:kern w:val="0"/>
                <w:sz w:val="24"/>
              </w:rPr>
              <w:t>②在危险废物的转移运输中，按《危险废物转移管理办法》的规定制定危险废物管理计划，明确拟转移危险废物的种类、重量（数量）和流向等信息；建立危险废物管理台账，对转移的危险废物进行计量称重，如实记录、妥善保管转移危险废物的种类、重量（数量）和接收人等相关信息；填写、运行危险废物转移联单，在危险废物转移联单中如实填写移出人、承运人、接收人信息，转移危险废物的种类、重量（数量）、危险特性等信息，以及突发环境事件的防范措施等。</w:t>
            </w:r>
          </w:p>
          <w:p w14:paraId="2E0C2964">
            <w:pPr>
              <w:spacing w:line="500" w:lineRule="exact"/>
              <w:ind w:firstLine="482"/>
              <w:rPr>
                <w:rFonts w:hint="eastAsia"/>
                <w:kern w:val="0"/>
                <w:sz w:val="24"/>
              </w:rPr>
            </w:pPr>
            <w:r>
              <w:rPr>
                <w:rFonts w:hint="eastAsia"/>
                <w:kern w:val="0"/>
                <w:sz w:val="24"/>
              </w:rPr>
              <w:t>③与有资质的单位签订危废合同，危险废物除贮存的，全部委托有资质的单位处置。</w:t>
            </w:r>
          </w:p>
          <w:p w14:paraId="1118F118">
            <w:pPr>
              <w:spacing w:line="500" w:lineRule="exact"/>
              <w:ind w:firstLine="482"/>
              <w:rPr>
                <w:kern w:val="0"/>
                <w:sz w:val="24"/>
              </w:rPr>
            </w:pPr>
            <w:r>
              <w:rPr>
                <w:rFonts w:hint="eastAsia"/>
                <w:kern w:val="0"/>
                <w:sz w:val="24"/>
              </w:rPr>
              <w:t>④项目危险废物运输方式均为汽车运输，危险废物运输均由具有从事危险废物运输经营许可证的运输单位完成。危险废物运输已满足《危险废物收集 贮存 运输技术规范》(HJ 2025-2012）相关要求。</w:t>
            </w:r>
          </w:p>
          <w:p w14:paraId="2CCA8FFC">
            <w:pPr>
              <w:spacing w:line="500" w:lineRule="exact"/>
              <w:ind w:firstLine="482"/>
              <w:rPr>
                <w:kern w:val="0"/>
                <w:sz w:val="24"/>
              </w:rPr>
            </w:pPr>
            <w:r>
              <w:rPr>
                <w:rFonts w:hint="eastAsia"/>
                <w:kern w:val="0"/>
                <w:sz w:val="24"/>
              </w:rPr>
              <w:t>综上所述，采取上述措施后本项目固体废物均可得到妥善、合理</w:t>
            </w:r>
            <w:r>
              <w:rPr>
                <w:rFonts w:hint="eastAsia"/>
                <w:kern w:val="0"/>
                <w:sz w:val="24"/>
                <w:lang w:eastAsia="zh-CN"/>
              </w:rPr>
              <w:t>地</w:t>
            </w:r>
            <w:r>
              <w:rPr>
                <w:rFonts w:hint="eastAsia"/>
                <w:kern w:val="0"/>
                <w:sz w:val="24"/>
              </w:rPr>
              <w:t>处置，符合国家对固体废物处置的“减量化、资源化和无害化”的基本原则，处置率达 100%，对周围环境的影响较小。</w:t>
            </w:r>
          </w:p>
          <w:p w14:paraId="0777E5D6">
            <w:pPr>
              <w:spacing w:line="500" w:lineRule="exact"/>
              <w:ind w:firstLine="482"/>
              <w:rPr>
                <w:b/>
                <w:kern w:val="0"/>
                <w:sz w:val="24"/>
              </w:rPr>
            </w:pPr>
            <w:r>
              <w:rPr>
                <w:rFonts w:hint="eastAsia"/>
                <w:b/>
                <w:kern w:val="0"/>
                <w:sz w:val="24"/>
              </w:rPr>
              <w:t>5、地下水、土壤</w:t>
            </w:r>
          </w:p>
          <w:p w14:paraId="24495767">
            <w:pPr>
              <w:spacing w:line="500" w:lineRule="exact"/>
              <w:ind w:firstLine="482"/>
              <w:rPr>
                <w:kern w:val="0"/>
                <w:sz w:val="24"/>
              </w:rPr>
            </w:pPr>
            <w:r>
              <w:rPr>
                <w:rFonts w:hint="eastAsia"/>
                <w:kern w:val="0"/>
                <w:sz w:val="24"/>
              </w:rPr>
              <w:t xml:space="preserve">根据《建设项目环境影响报告表编制技术指南》（污染影响类）（试行），本项目无需开展地下水及土壤的专项评价；本次评价仅对地下水和土壤污染进行简单分析。 </w:t>
            </w:r>
          </w:p>
          <w:p w14:paraId="2D5EB1E7">
            <w:pPr>
              <w:spacing w:line="500" w:lineRule="exact"/>
              <w:ind w:firstLine="482"/>
              <w:rPr>
                <w:kern w:val="0"/>
                <w:sz w:val="24"/>
              </w:rPr>
            </w:pPr>
            <w:r>
              <w:rPr>
                <w:rFonts w:hint="eastAsia"/>
                <w:kern w:val="0"/>
                <w:sz w:val="24"/>
              </w:rPr>
              <w:t>本项目废水经盛隆厂区污水处理系统处理后回用于各生产用水，不外排，若接入口破损，废水发生泄漏，会污染接入口周边的土壤，进而下渗污染地下水，因此建设单位应定期检查接入口，避免接入口破损，发生废水泄漏污染地下水和土壤的情况发生。</w:t>
            </w:r>
          </w:p>
          <w:p w14:paraId="43BB6997">
            <w:pPr>
              <w:spacing w:line="500" w:lineRule="exact"/>
              <w:ind w:firstLine="482"/>
              <w:rPr>
                <w:b/>
                <w:sz w:val="24"/>
              </w:rPr>
            </w:pPr>
            <w:r>
              <w:rPr>
                <w:rFonts w:hint="eastAsia"/>
                <w:b/>
                <w:sz w:val="24"/>
              </w:rPr>
              <w:t>6、生态</w:t>
            </w:r>
          </w:p>
          <w:p w14:paraId="5A828239">
            <w:pPr>
              <w:spacing w:line="500" w:lineRule="exact"/>
              <w:ind w:firstLine="482"/>
              <w:rPr>
                <w:sz w:val="24"/>
              </w:rPr>
            </w:pPr>
            <w:r>
              <w:rPr>
                <w:rFonts w:hint="eastAsia"/>
                <w:color w:val="auto"/>
                <w:sz w:val="24"/>
              </w:rPr>
              <w:t>项目在现有厂区内进行扩建，不新增用地，且用地范围内无生态环境保护目标，因此不开展生态环境影响评价。</w:t>
            </w:r>
          </w:p>
          <w:p w14:paraId="03D9AD4F">
            <w:pPr>
              <w:spacing w:line="500" w:lineRule="exact"/>
              <w:ind w:firstLine="482"/>
              <w:rPr>
                <w:b/>
                <w:sz w:val="24"/>
              </w:rPr>
            </w:pPr>
            <w:r>
              <w:rPr>
                <w:rFonts w:hint="eastAsia"/>
                <w:b/>
                <w:sz w:val="24"/>
              </w:rPr>
              <w:t>7、环境风险</w:t>
            </w:r>
          </w:p>
          <w:p w14:paraId="444FCDE4">
            <w:pPr>
              <w:spacing w:line="500" w:lineRule="exact"/>
              <w:ind w:firstLine="482"/>
              <w:rPr>
                <w:b/>
                <w:sz w:val="24"/>
              </w:rPr>
            </w:pPr>
            <w:r>
              <w:rPr>
                <w:rFonts w:hint="eastAsia"/>
                <w:b/>
                <w:sz w:val="24"/>
              </w:rPr>
              <w:t>（1）风险识别</w:t>
            </w:r>
          </w:p>
          <w:p w14:paraId="1BB622A6">
            <w:pPr>
              <w:spacing w:line="500" w:lineRule="exact"/>
              <w:ind w:firstLine="482"/>
              <w:rPr>
                <w:rFonts w:hint="eastAsia" w:eastAsia="宋体"/>
                <w:sz w:val="24"/>
                <w:lang w:eastAsia="zh-CN"/>
              </w:rPr>
            </w:pPr>
            <w:r>
              <w:rPr>
                <w:rFonts w:hint="eastAsia"/>
                <w:sz w:val="24"/>
              </w:rPr>
              <w:t>根据《建设项目环境风险评价技术导则》（HJ169-2018），本项目涉及的危险物质主要是</w:t>
            </w:r>
            <w:r>
              <w:rPr>
                <w:rFonts w:hint="eastAsia"/>
                <w:sz w:val="24"/>
                <w:lang w:val="en-US" w:eastAsia="zh-CN"/>
              </w:rPr>
              <w:t>废油</w:t>
            </w:r>
            <w:r>
              <w:rPr>
                <w:rFonts w:hint="eastAsia"/>
                <w:sz w:val="24"/>
              </w:rPr>
              <w:t>及高炉煤气，高炉煤气由</w:t>
            </w:r>
            <w:r>
              <w:rPr>
                <w:rFonts w:hint="eastAsia"/>
                <w:sz w:val="24"/>
                <w:lang w:val="en-US" w:eastAsia="zh-CN"/>
              </w:rPr>
              <w:t>厂区</w:t>
            </w:r>
            <w:r>
              <w:rPr>
                <w:rFonts w:hint="eastAsia"/>
                <w:sz w:val="24"/>
              </w:rPr>
              <w:t>管道供应，不在</w:t>
            </w:r>
            <w:r>
              <w:rPr>
                <w:rFonts w:hint="eastAsia"/>
                <w:sz w:val="24"/>
                <w:lang w:val="en-US" w:eastAsia="zh-CN"/>
              </w:rPr>
              <w:t>本项目</w:t>
            </w:r>
            <w:r>
              <w:rPr>
                <w:rFonts w:hint="eastAsia"/>
                <w:sz w:val="24"/>
              </w:rPr>
              <w:t>内暂存</w:t>
            </w:r>
            <w:r>
              <w:rPr>
                <w:rFonts w:hint="eastAsia"/>
                <w:sz w:val="24"/>
                <w:lang w:eastAsia="zh-CN"/>
              </w:rPr>
              <w:t>，项目新增输送煤气管道长度约为</w:t>
            </w:r>
            <w:r>
              <w:rPr>
                <w:rFonts w:hint="eastAsia"/>
                <w:sz w:val="24"/>
                <w:lang w:val="en-US" w:eastAsia="zh-CN"/>
              </w:rPr>
              <w:t>100</w:t>
            </w:r>
            <w:r>
              <w:rPr>
                <w:rFonts w:hint="eastAsia"/>
                <w:sz w:val="24"/>
                <w:lang w:eastAsia="zh-CN"/>
              </w:rPr>
              <w:t>m，管径为DN500，煤气密度约为1.29kg/m</w:t>
            </w:r>
            <w:r>
              <w:rPr>
                <w:rFonts w:hint="eastAsia"/>
                <w:sz w:val="24"/>
                <w:vertAlign w:val="superscript"/>
                <w:lang w:eastAsia="zh-CN"/>
              </w:rPr>
              <w:t>3</w:t>
            </w:r>
            <w:r>
              <w:rPr>
                <w:rFonts w:hint="eastAsia"/>
                <w:sz w:val="24"/>
                <w:lang w:eastAsia="zh-CN"/>
              </w:rPr>
              <w:t>，煤气管道最大在线量约为</w:t>
            </w:r>
            <w:r>
              <w:rPr>
                <w:rFonts w:hint="eastAsia"/>
                <w:sz w:val="24"/>
                <w:lang w:val="en-US" w:eastAsia="zh-CN"/>
              </w:rPr>
              <w:t>25</w:t>
            </w:r>
            <w:r>
              <w:rPr>
                <w:rFonts w:hint="eastAsia"/>
                <w:sz w:val="24"/>
                <w:lang w:eastAsia="zh-CN"/>
              </w:rPr>
              <w:t>kg，</w:t>
            </w:r>
          </w:p>
          <w:p w14:paraId="100FEBFB">
            <w:pPr>
              <w:spacing w:line="500" w:lineRule="exact"/>
              <w:ind w:firstLine="482"/>
              <w:rPr>
                <w:b/>
                <w:sz w:val="24"/>
              </w:rPr>
            </w:pPr>
            <w:r>
              <w:rPr>
                <w:rFonts w:hint="eastAsia"/>
                <w:b/>
                <w:sz w:val="24"/>
              </w:rPr>
              <w:t>（2）环境风险潜势判别</w:t>
            </w:r>
          </w:p>
          <w:p w14:paraId="5876BA7E">
            <w:pPr>
              <w:spacing w:line="500" w:lineRule="exact"/>
              <w:ind w:firstLine="482"/>
              <w:rPr>
                <w:sz w:val="24"/>
              </w:rPr>
            </w:pPr>
            <w:r>
              <w:rPr>
                <w:rFonts w:hint="eastAsia"/>
                <w:sz w:val="24"/>
              </w:rPr>
              <w:t>根据《建设项目环境风险评价技术导则》（HJ169-2018）、《危险化学品重大危险源识别》（GB18218-2018），本项目环境风险潜势初判详见表4-</w:t>
            </w:r>
            <w:r>
              <w:rPr>
                <w:rFonts w:hint="eastAsia"/>
                <w:sz w:val="24"/>
                <w:lang w:val="en-US" w:eastAsia="zh-CN"/>
              </w:rPr>
              <w:t>16</w:t>
            </w:r>
            <w:r>
              <w:rPr>
                <w:rFonts w:hint="eastAsia"/>
                <w:sz w:val="24"/>
              </w:rPr>
              <w:t>。</w:t>
            </w:r>
          </w:p>
          <w:p w14:paraId="02D5B53B">
            <w:pPr>
              <w:pStyle w:val="48"/>
              <w:numPr>
                <w:ilvl w:val="2"/>
                <w:numId w:val="4"/>
              </w:numPr>
              <w:spacing w:line="500" w:lineRule="atLeast"/>
              <w:ind w:firstLineChars="0"/>
              <w:jc w:val="center"/>
              <w:rPr>
                <w:b/>
                <w:sz w:val="24"/>
              </w:rPr>
            </w:pPr>
            <w:r>
              <w:rPr>
                <w:rFonts w:hint="eastAsia"/>
                <w:b/>
                <w:sz w:val="24"/>
              </w:rPr>
              <w:t>危险物质</w:t>
            </w:r>
            <w:r>
              <w:rPr>
                <w:b/>
                <w:sz w:val="24"/>
              </w:rPr>
              <w:t>Q</w:t>
            </w:r>
            <w:r>
              <w:rPr>
                <w:rFonts w:hint="eastAsia"/>
                <w:b/>
                <w:sz w:val="24"/>
              </w:rPr>
              <w:t>值判定表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927"/>
              <w:gridCol w:w="952"/>
              <w:gridCol w:w="1763"/>
              <w:gridCol w:w="1405"/>
              <w:gridCol w:w="1246"/>
            </w:tblGrid>
            <w:tr w14:paraId="6334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5" w:type="pct"/>
                  <w:vAlign w:val="center"/>
                </w:tcPr>
                <w:p w14:paraId="3D2D825C">
                  <w:pPr>
                    <w:spacing w:line="240" w:lineRule="exact"/>
                    <w:jc w:val="center"/>
                    <w:rPr>
                      <w:color w:val="000000"/>
                      <w:szCs w:val="21"/>
                    </w:rPr>
                  </w:pPr>
                  <w:r>
                    <w:rPr>
                      <w:rFonts w:hint="eastAsia"/>
                      <w:color w:val="000000"/>
                      <w:szCs w:val="21"/>
                    </w:rPr>
                    <w:t>序号</w:t>
                  </w:r>
                </w:p>
              </w:tc>
              <w:tc>
                <w:tcPr>
                  <w:tcW w:w="1214" w:type="pct"/>
                  <w:vAlign w:val="center"/>
                </w:tcPr>
                <w:p w14:paraId="39A47E47">
                  <w:pPr>
                    <w:spacing w:line="240" w:lineRule="exact"/>
                    <w:jc w:val="center"/>
                    <w:rPr>
                      <w:color w:val="000000"/>
                      <w:szCs w:val="21"/>
                    </w:rPr>
                  </w:pPr>
                  <w:r>
                    <w:rPr>
                      <w:rFonts w:hint="eastAsia"/>
                      <w:color w:val="000000"/>
                      <w:szCs w:val="21"/>
                    </w:rPr>
                    <w:t>物质名称</w:t>
                  </w:r>
                </w:p>
              </w:tc>
              <w:tc>
                <w:tcPr>
                  <w:tcW w:w="600" w:type="pct"/>
                  <w:vAlign w:val="center"/>
                </w:tcPr>
                <w:p w14:paraId="565AABF5">
                  <w:pPr>
                    <w:spacing w:line="240" w:lineRule="exact"/>
                    <w:jc w:val="center"/>
                    <w:rPr>
                      <w:color w:val="000000"/>
                      <w:szCs w:val="21"/>
                    </w:rPr>
                  </w:pPr>
                  <w:r>
                    <w:rPr>
                      <w:color w:val="000000"/>
                      <w:szCs w:val="21"/>
                    </w:rPr>
                    <w:t>CAS</w:t>
                  </w:r>
                  <w:r>
                    <w:rPr>
                      <w:rFonts w:hint="eastAsia"/>
                      <w:color w:val="000000"/>
                      <w:szCs w:val="21"/>
                    </w:rPr>
                    <w:t>号</w:t>
                  </w:r>
                </w:p>
              </w:tc>
              <w:tc>
                <w:tcPr>
                  <w:tcW w:w="1111" w:type="pct"/>
                  <w:vAlign w:val="center"/>
                </w:tcPr>
                <w:p w14:paraId="5739BFC4">
                  <w:pPr>
                    <w:spacing w:line="240" w:lineRule="exact"/>
                    <w:jc w:val="center"/>
                    <w:rPr>
                      <w:color w:val="000000"/>
                      <w:szCs w:val="21"/>
                    </w:rPr>
                  </w:pPr>
                  <w:r>
                    <w:rPr>
                      <w:rFonts w:hint="eastAsia"/>
                      <w:color w:val="000000"/>
                      <w:szCs w:val="21"/>
                    </w:rPr>
                    <w:t>厂内最大存在量</w:t>
                  </w:r>
                  <w:r>
                    <w:rPr>
                      <w:color w:val="000000"/>
                      <w:szCs w:val="21"/>
                    </w:rPr>
                    <w:t>qn/t</w:t>
                  </w:r>
                </w:p>
              </w:tc>
              <w:tc>
                <w:tcPr>
                  <w:tcW w:w="885" w:type="pct"/>
                  <w:vAlign w:val="center"/>
                </w:tcPr>
                <w:p w14:paraId="25CD4575">
                  <w:pPr>
                    <w:spacing w:line="240" w:lineRule="exact"/>
                    <w:jc w:val="center"/>
                    <w:rPr>
                      <w:color w:val="000000"/>
                      <w:szCs w:val="21"/>
                    </w:rPr>
                  </w:pPr>
                  <w:r>
                    <w:rPr>
                      <w:rFonts w:hint="eastAsia"/>
                      <w:color w:val="000000"/>
                      <w:szCs w:val="21"/>
                    </w:rPr>
                    <w:t>最大临界量</w:t>
                  </w:r>
                  <w:r>
                    <w:rPr>
                      <w:color w:val="000000"/>
                      <w:szCs w:val="21"/>
                    </w:rPr>
                    <w:t>Qn/t</w:t>
                  </w:r>
                </w:p>
              </w:tc>
              <w:tc>
                <w:tcPr>
                  <w:tcW w:w="785" w:type="pct"/>
                  <w:vAlign w:val="center"/>
                </w:tcPr>
                <w:p w14:paraId="26184A34">
                  <w:pPr>
                    <w:spacing w:line="240" w:lineRule="exact"/>
                    <w:jc w:val="center"/>
                    <w:rPr>
                      <w:color w:val="000000"/>
                      <w:szCs w:val="21"/>
                    </w:rPr>
                  </w:pPr>
                  <w:r>
                    <w:rPr>
                      <w:rFonts w:hint="eastAsia"/>
                      <w:color w:val="000000"/>
                      <w:szCs w:val="21"/>
                    </w:rPr>
                    <w:t>该物质</w:t>
                  </w:r>
                  <w:r>
                    <w:rPr>
                      <w:color w:val="000000"/>
                      <w:szCs w:val="21"/>
                    </w:rPr>
                    <w:t>Q</w:t>
                  </w:r>
                  <w:r>
                    <w:rPr>
                      <w:rFonts w:hint="eastAsia"/>
                      <w:color w:val="000000"/>
                      <w:szCs w:val="21"/>
                    </w:rPr>
                    <w:t>值</w:t>
                  </w:r>
                </w:p>
              </w:tc>
            </w:tr>
            <w:tr w14:paraId="3E98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44261397">
                  <w:pPr>
                    <w:spacing w:line="240" w:lineRule="exact"/>
                    <w:jc w:val="center"/>
                    <w:rPr>
                      <w:color w:val="000000"/>
                      <w:szCs w:val="21"/>
                    </w:rPr>
                  </w:pPr>
                  <w:r>
                    <w:rPr>
                      <w:color w:val="000000"/>
                      <w:szCs w:val="21"/>
                    </w:rPr>
                    <w:t>1</w:t>
                  </w:r>
                </w:p>
              </w:tc>
              <w:tc>
                <w:tcPr>
                  <w:tcW w:w="1214" w:type="pct"/>
                  <w:vAlign w:val="center"/>
                </w:tcPr>
                <w:p w14:paraId="2972E8B1">
                  <w:pPr>
                    <w:spacing w:line="240" w:lineRule="exact"/>
                    <w:jc w:val="center"/>
                    <w:rPr>
                      <w:rFonts w:hint="eastAsia" w:eastAsia="宋体"/>
                      <w:color w:val="000000"/>
                      <w:szCs w:val="21"/>
                      <w:lang w:eastAsia="zh-CN"/>
                    </w:rPr>
                  </w:pPr>
                  <w:r>
                    <w:rPr>
                      <w:rFonts w:hint="eastAsia"/>
                      <w:color w:val="000000"/>
                      <w:szCs w:val="21"/>
                      <w:lang w:val="en-US" w:eastAsia="zh-CN"/>
                    </w:rPr>
                    <w:t>废油</w:t>
                  </w:r>
                </w:p>
              </w:tc>
              <w:tc>
                <w:tcPr>
                  <w:tcW w:w="600" w:type="pct"/>
                  <w:vAlign w:val="center"/>
                </w:tcPr>
                <w:p w14:paraId="700C6A6D">
                  <w:pPr>
                    <w:spacing w:line="240" w:lineRule="exact"/>
                    <w:jc w:val="center"/>
                    <w:rPr>
                      <w:color w:val="000000"/>
                      <w:szCs w:val="21"/>
                    </w:rPr>
                  </w:pPr>
                  <w:r>
                    <w:rPr>
                      <w:color w:val="000000"/>
                      <w:szCs w:val="21"/>
                    </w:rPr>
                    <w:t>/</w:t>
                  </w:r>
                </w:p>
              </w:tc>
              <w:tc>
                <w:tcPr>
                  <w:tcW w:w="1111" w:type="pct"/>
                  <w:vAlign w:val="center"/>
                </w:tcPr>
                <w:p w14:paraId="72E1EAB7">
                  <w:pPr>
                    <w:spacing w:line="240" w:lineRule="exact"/>
                    <w:jc w:val="center"/>
                    <w:rPr>
                      <w:rFonts w:hint="default" w:eastAsia="宋体"/>
                      <w:color w:val="000000"/>
                      <w:szCs w:val="21"/>
                      <w:lang w:val="en-US" w:eastAsia="zh-CN"/>
                    </w:rPr>
                  </w:pPr>
                  <w:r>
                    <w:rPr>
                      <w:rFonts w:hint="eastAsia"/>
                      <w:color w:val="000000"/>
                      <w:szCs w:val="21"/>
                      <w:lang w:val="en-US" w:eastAsia="zh-CN"/>
                    </w:rPr>
                    <w:t>0.2</w:t>
                  </w:r>
                </w:p>
              </w:tc>
              <w:tc>
                <w:tcPr>
                  <w:tcW w:w="885" w:type="pct"/>
                  <w:vAlign w:val="center"/>
                </w:tcPr>
                <w:p w14:paraId="7A38EA0E">
                  <w:pPr>
                    <w:spacing w:line="240" w:lineRule="exact"/>
                    <w:jc w:val="center"/>
                    <w:rPr>
                      <w:color w:val="000000"/>
                      <w:szCs w:val="21"/>
                    </w:rPr>
                  </w:pPr>
                  <w:r>
                    <w:rPr>
                      <w:rFonts w:hint="eastAsia"/>
                      <w:color w:val="000000"/>
                      <w:szCs w:val="21"/>
                    </w:rPr>
                    <w:t>2500</w:t>
                  </w:r>
                </w:p>
              </w:tc>
              <w:tc>
                <w:tcPr>
                  <w:tcW w:w="785" w:type="pct"/>
                  <w:vAlign w:val="center"/>
                </w:tcPr>
                <w:p w14:paraId="20C9E638">
                  <w:pPr>
                    <w:spacing w:line="240" w:lineRule="exact"/>
                    <w:jc w:val="center"/>
                    <w:rPr>
                      <w:rFonts w:hint="eastAsia" w:eastAsia="宋体"/>
                      <w:color w:val="000000"/>
                      <w:szCs w:val="21"/>
                      <w:lang w:eastAsia="zh-CN"/>
                    </w:rPr>
                  </w:pPr>
                  <w:r>
                    <w:rPr>
                      <w:color w:val="000000"/>
                      <w:szCs w:val="21"/>
                    </w:rPr>
                    <w:t>0.0</w:t>
                  </w:r>
                  <w:r>
                    <w:rPr>
                      <w:rFonts w:hint="eastAsia"/>
                      <w:color w:val="000000"/>
                      <w:szCs w:val="21"/>
                    </w:rPr>
                    <w:t>000</w:t>
                  </w:r>
                  <w:r>
                    <w:rPr>
                      <w:rFonts w:hint="eastAsia"/>
                      <w:color w:val="000000"/>
                      <w:szCs w:val="21"/>
                      <w:lang w:val="en-US" w:eastAsia="zh-CN"/>
                    </w:rPr>
                    <w:t>8</w:t>
                  </w:r>
                </w:p>
              </w:tc>
            </w:tr>
            <w:tr w14:paraId="745E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0760E565">
                  <w:pPr>
                    <w:spacing w:line="240" w:lineRule="exact"/>
                    <w:jc w:val="center"/>
                    <w:rPr>
                      <w:rFonts w:hint="eastAsia" w:eastAsia="宋体"/>
                      <w:color w:val="000000"/>
                      <w:szCs w:val="21"/>
                      <w:lang w:val="en-US" w:eastAsia="zh-CN"/>
                    </w:rPr>
                  </w:pPr>
                  <w:r>
                    <w:rPr>
                      <w:rFonts w:hint="eastAsia"/>
                      <w:color w:val="000000"/>
                      <w:szCs w:val="21"/>
                      <w:lang w:val="en-US" w:eastAsia="zh-CN"/>
                    </w:rPr>
                    <w:t>2</w:t>
                  </w:r>
                </w:p>
              </w:tc>
              <w:tc>
                <w:tcPr>
                  <w:tcW w:w="1214" w:type="pct"/>
                  <w:vAlign w:val="center"/>
                </w:tcPr>
                <w:p w14:paraId="6799CFB4">
                  <w:pPr>
                    <w:spacing w:line="240" w:lineRule="exact"/>
                    <w:jc w:val="center"/>
                    <w:rPr>
                      <w:rFonts w:hint="default"/>
                      <w:color w:val="000000"/>
                      <w:szCs w:val="21"/>
                      <w:lang w:val="en-US" w:eastAsia="zh-CN"/>
                    </w:rPr>
                  </w:pPr>
                  <w:r>
                    <w:rPr>
                      <w:rFonts w:hint="eastAsia"/>
                      <w:color w:val="000000"/>
                      <w:szCs w:val="21"/>
                      <w:lang w:val="en-US" w:eastAsia="zh-CN"/>
                    </w:rPr>
                    <w:t>高炉煤气</w:t>
                  </w:r>
                </w:p>
              </w:tc>
              <w:tc>
                <w:tcPr>
                  <w:tcW w:w="600" w:type="pct"/>
                  <w:vAlign w:val="center"/>
                </w:tcPr>
                <w:p w14:paraId="18C33C04">
                  <w:pPr>
                    <w:spacing w:line="240" w:lineRule="exact"/>
                    <w:jc w:val="center"/>
                    <w:rPr>
                      <w:rFonts w:hint="eastAsia" w:eastAsia="宋体"/>
                      <w:color w:val="000000"/>
                      <w:szCs w:val="21"/>
                      <w:lang w:val="en-US" w:eastAsia="zh-CN"/>
                    </w:rPr>
                  </w:pPr>
                  <w:r>
                    <w:rPr>
                      <w:rFonts w:hint="eastAsia"/>
                      <w:color w:val="000000"/>
                      <w:szCs w:val="21"/>
                      <w:lang w:val="en-US" w:eastAsia="zh-CN"/>
                    </w:rPr>
                    <w:t>/</w:t>
                  </w:r>
                </w:p>
              </w:tc>
              <w:tc>
                <w:tcPr>
                  <w:tcW w:w="1111" w:type="pct"/>
                  <w:vAlign w:val="center"/>
                </w:tcPr>
                <w:p w14:paraId="3B75E34C">
                  <w:pPr>
                    <w:spacing w:line="240" w:lineRule="exact"/>
                    <w:jc w:val="center"/>
                    <w:rPr>
                      <w:rFonts w:hint="default"/>
                      <w:color w:val="000000"/>
                      <w:szCs w:val="21"/>
                      <w:lang w:val="en-US" w:eastAsia="zh-CN"/>
                    </w:rPr>
                  </w:pPr>
                  <w:r>
                    <w:rPr>
                      <w:rFonts w:hint="eastAsia"/>
                      <w:color w:val="000000"/>
                      <w:szCs w:val="21"/>
                      <w:lang w:val="en-US" w:eastAsia="zh-CN"/>
                    </w:rPr>
                    <w:t>0.025</w:t>
                  </w:r>
                </w:p>
              </w:tc>
              <w:tc>
                <w:tcPr>
                  <w:tcW w:w="885" w:type="pct"/>
                  <w:vAlign w:val="center"/>
                </w:tcPr>
                <w:p w14:paraId="4476F453">
                  <w:pPr>
                    <w:spacing w:line="240" w:lineRule="exact"/>
                    <w:jc w:val="center"/>
                    <w:rPr>
                      <w:rFonts w:hint="default" w:eastAsia="宋体"/>
                      <w:color w:val="000000"/>
                      <w:szCs w:val="21"/>
                      <w:lang w:val="en-US" w:eastAsia="zh-CN"/>
                    </w:rPr>
                  </w:pPr>
                  <w:r>
                    <w:rPr>
                      <w:rFonts w:hint="eastAsia"/>
                      <w:color w:val="000000"/>
                      <w:szCs w:val="21"/>
                      <w:lang w:val="en-US" w:eastAsia="zh-CN"/>
                    </w:rPr>
                    <w:t>7.5</w:t>
                  </w:r>
                </w:p>
              </w:tc>
              <w:tc>
                <w:tcPr>
                  <w:tcW w:w="785" w:type="pct"/>
                  <w:vAlign w:val="center"/>
                </w:tcPr>
                <w:p w14:paraId="3E0C07BE">
                  <w:pPr>
                    <w:spacing w:line="240" w:lineRule="exact"/>
                    <w:jc w:val="center"/>
                    <w:rPr>
                      <w:rFonts w:hint="default" w:eastAsia="宋体"/>
                      <w:color w:val="000000"/>
                      <w:szCs w:val="21"/>
                      <w:lang w:val="en-US" w:eastAsia="zh-CN"/>
                    </w:rPr>
                  </w:pPr>
                  <w:r>
                    <w:rPr>
                      <w:rFonts w:hint="eastAsia"/>
                      <w:color w:val="000000"/>
                      <w:szCs w:val="21"/>
                      <w:lang w:val="en-US" w:eastAsia="zh-CN"/>
                    </w:rPr>
                    <w:t>0.00333</w:t>
                  </w:r>
                </w:p>
              </w:tc>
            </w:tr>
            <w:tr w14:paraId="091A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15" w:type="pct"/>
                  <w:gridSpan w:val="5"/>
                  <w:vAlign w:val="center"/>
                </w:tcPr>
                <w:p w14:paraId="3FC032B9">
                  <w:pPr>
                    <w:spacing w:line="240" w:lineRule="exact"/>
                    <w:jc w:val="center"/>
                    <w:rPr>
                      <w:color w:val="000000"/>
                      <w:szCs w:val="21"/>
                    </w:rPr>
                  </w:pPr>
                  <w:r>
                    <w:rPr>
                      <w:rFonts w:hint="eastAsia"/>
                      <w:color w:val="000000"/>
                      <w:szCs w:val="21"/>
                    </w:rPr>
                    <w:t>项目</w:t>
                  </w:r>
                  <w:r>
                    <w:rPr>
                      <w:color w:val="000000"/>
                      <w:szCs w:val="21"/>
                    </w:rPr>
                    <w:t>Q</w:t>
                  </w:r>
                  <w:r>
                    <w:rPr>
                      <w:rFonts w:hint="eastAsia"/>
                      <w:color w:val="000000"/>
                      <w:szCs w:val="21"/>
                    </w:rPr>
                    <w:t>值∑</w:t>
                  </w:r>
                </w:p>
              </w:tc>
              <w:tc>
                <w:tcPr>
                  <w:tcW w:w="785" w:type="pct"/>
                  <w:vAlign w:val="center"/>
                </w:tcPr>
                <w:p w14:paraId="61F5B55C">
                  <w:pPr>
                    <w:spacing w:line="240" w:lineRule="exact"/>
                    <w:jc w:val="center"/>
                    <w:rPr>
                      <w:rFonts w:hint="default" w:eastAsia="宋体"/>
                      <w:color w:val="000000"/>
                      <w:szCs w:val="21"/>
                      <w:lang w:val="en-US" w:eastAsia="zh-CN"/>
                    </w:rPr>
                  </w:pPr>
                  <w:r>
                    <w:rPr>
                      <w:color w:val="000000"/>
                      <w:szCs w:val="21"/>
                    </w:rPr>
                    <w:t>0.</w:t>
                  </w:r>
                  <w:r>
                    <w:rPr>
                      <w:rFonts w:hint="eastAsia"/>
                      <w:color w:val="000000"/>
                      <w:szCs w:val="21"/>
                    </w:rPr>
                    <w:t>00</w:t>
                  </w:r>
                  <w:r>
                    <w:rPr>
                      <w:rFonts w:hint="eastAsia"/>
                      <w:color w:val="000000"/>
                      <w:szCs w:val="21"/>
                      <w:lang w:val="en-US" w:eastAsia="zh-CN"/>
                    </w:rPr>
                    <w:t>341</w:t>
                  </w:r>
                </w:p>
              </w:tc>
            </w:tr>
          </w:tbl>
          <w:p w14:paraId="1D573A0D">
            <w:pPr>
              <w:spacing w:line="500" w:lineRule="exact"/>
              <w:ind w:firstLine="482"/>
              <w:rPr>
                <w:sz w:val="24"/>
              </w:rPr>
            </w:pPr>
            <w:r>
              <w:rPr>
                <w:rFonts w:hint="eastAsia"/>
                <w:sz w:val="24"/>
              </w:rPr>
              <w:t>根据表4-</w:t>
            </w:r>
            <w:r>
              <w:rPr>
                <w:rFonts w:hint="eastAsia"/>
                <w:sz w:val="24"/>
                <w:lang w:val="en-US" w:eastAsia="zh-CN"/>
              </w:rPr>
              <w:t>16</w:t>
            </w:r>
            <w:r>
              <w:rPr>
                <w:rFonts w:hint="eastAsia"/>
                <w:sz w:val="24"/>
              </w:rPr>
              <w:t>表明，危险物质数量与临界量的比值Q＜1。</w:t>
            </w:r>
          </w:p>
          <w:p w14:paraId="42B7F62C">
            <w:pPr>
              <w:spacing w:line="500" w:lineRule="exact"/>
              <w:ind w:firstLine="482"/>
              <w:rPr>
                <w:b/>
                <w:sz w:val="24"/>
              </w:rPr>
            </w:pPr>
            <w:r>
              <w:rPr>
                <w:rFonts w:hint="eastAsia"/>
                <w:b/>
                <w:sz w:val="24"/>
              </w:rPr>
              <w:t>（3）评价工作等级及评价内容</w:t>
            </w:r>
          </w:p>
          <w:p w14:paraId="76AF4331">
            <w:pPr>
              <w:spacing w:line="500" w:lineRule="exact"/>
              <w:ind w:firstLine="482"/>
              <w:rPr>
                <w:sz w:val="24"/>
              </w:rPr>
            </w:pPr>
            <w:r>
              <w:rPr>
                <w:rFonts w:hint="eastAsia"/>
                <w:sz w:val="24"/>
              </w:rPr>
              <w:t>根据风险导则附录C，Q＜1时，项目环境风险潜势为Ⅰ，根据风险导则评价工作等级划分，本项目风险做简单分析。</w:t>
            </w:r>
          </w:p>
          <w:p w14:paraId="5ED9639B">
            <w:pPr>
              <w:spacing w:line="500" w:lineRule="exact"/>
              <w:ind w:firstLine="482"/>
              <w:rPr>
                <w:b/>
                <w:sz w:val="24"/>
              </w:rPr>
            </w:pPr>
            <w:r>
              <w:rPr>
                <w:rFonts w:hint="eastAsia"/>
                <w:b/>
                <w:sz w:val="24"/>
              </w:rPr>
              <w:t>（4）环境风险分析</w:t>
            </w:r>
          </w:p>
          <w:p w14:paraId="1E272B06">
            <w:pPr>
              <w:spacing w:line="500" w:lineRule="exact"/>
              <w:ind w:firstLine="482"/>
              <w:rPr>
                <w:sz w:val="24"/>
              </w:rPr>
            </w:pPr>
            <w:r>
              <w:rPr>
                <w:rFonts w:hint="eastAsia"/>
                <w:sz w:val="24"/>
              </w:rPr>
              <w:t>①油类泄漏影响分析</w:t>
            </w:r>
          </w:p>
          <w:p w14:paraId="2B2CA71D">
            <w:pPr>
              <w:spacing w:line="500" w:lineRule="exact"/>
              <w:ind w:firstLine="482"/>
              <w:rPr>
                <w:rFonts w:hint="eastAsia"/>
                <w:sz w:val="24"/>
              </w:rPr>
            </w:pPr>
            <w:r>
              <w:rPr>
                <w:rFonts w:hint="eastAsia"/>
                <w:sz w:val="24"/>
              </w:rPr>
              <w:t>项目生产过程</w:t>
            </w:r>
            <w:r>
              <w:rPr>
                <w:rFonts w:hint="eastAsia"/>
                <w:sz w:val="24"/>
                <w:lang w:val="en-US" w:eastAsia="zh-CN"/>
              </w:rPr>
              <w:t>设备维护会产生废油</w:t>
            </w:r>
            <w:r>
              <w:rPr>
                <w:rFonts w:hint="eastAsia"/>
                <w:sz w:val="24"/>
              </w:rPr>
              <w:t>，若油类因盛装的容器出现腐蚀穿孔或设备缺陷、破损而泄漏到环境中，如果随雨水管网</w:t>
            </w:r>
            <w:r>
              <w:rPr>
                <w:rFonts w:hint="eastAsia"/>
                <w:sz w:val="24"/>
                <w:lang w:eastAsia="zh-CN"/>
              </w:rPr>
              <w:t>泄漏</w:t>
            </w:r>
            <w:r>
              <w:rPr>
                <w:rFonts w:hint="eastAsia"/>
                <w:sz w:val="24"/>
              </w:rPr>
              <w:t>至外环境，可能会污染地表水环境、地下水环境、土壤环境。</w:t>
            </w:r>
          </w:p>
          <w:p w14:paraId="420D1962">
            <w:pPr>
              <w:spacing w:line="500" w:lineRule="exact"/>
              <w:ind w:firstLine="482"/>
              <w:rPr>
                <w:rFonts w:hint="default" w:eastAsia="宋体"/>
                <w:sz w:val="24"/>
                <w:lang w:val="en-US" w:eastAsia="zh-CN"/>
              </w:rPr>
            </w:pPr>
            <w:r>
              <w:rPr>
                <w:rFonts w:hint="eastAsia"/>
                <w:sz w:val="24"/>
              </w:rPr>
              <w:t>②煤气输送管道</w:t>
            </w:r>
            <w:r>
              <w:rPr>
                <w:rFonts w:hint="eastAsia"/>
                <w:sz w:val="24"/>
                <w:lang w:val="en-US" w:eastAsia="zh-CN"/>
              </w:rPr>
              <w:t>泄漏影响分析</w:t>
            </w:r>
          </w:p>
          <w:p w14:paraId="471132EA">
            <w:pPr>
              <w:spacing w:line="500" w:lineRule="exact"/>
              <w:ind w:firstLine="482"/>
              <w:rPr>
                <w:rFonts w:hint="eastAsia"/>
                <w:sz w:val="24"/>
              </w:rPr>
            </w:pPr>
            <w:r>
              <w:rPr>
                <w:rFonts w:hint="eastAsia"/>
                <w:sz w:val="24"/>
              </w:rPr>
              <w:t>煤气输送管道在运行过程中，存在着因误操作、管道腐蚀或自然灾害因素等引发事故的可能。由管道输送的介质为易燃易爆物品，且具有一定的输送压力，因此可能发生的最大事故是管道和容器的破裂，造成大量煤气泄漏，遇明火发生燃烧和爆炸。</w:t>
            </w:r>
          </w:p>
          <w:p w14:paraId="520B8814">
            <w:pPr>
              <w:spacing w:line="500" w:lineRule="exact"/>
              <w:ind w:firstLine="482"/>
              <w:rPr>
                <w:sz w:val="24"/>
              </w:rPr>
            </w:pPr>
            <w:r>
              <w:rPr>
                <w:rFonts w:hint="eastAsia" w:ascii="宋体" w:hAnsi="宋体" w:eastAsia="宋体" w:cs="宋体"/>
                <w:sz w:val="24"/>
              </w:rPr>
              <w:t>③</w:t>
            </w:r>
            <w:r>
              <w:rPr>
                <w:rFonts w:hint="eastAsia"/>
                <w:sz w:val="24"/>
              </w:rPr>
              <w:t>火灾事故影响分析</w:t>
            </w:r>
          </w:p>
          <w:p w14:paraId="31DB34BD">
            <w:pPr>
              <w:spacing w:line="500" w:lineRule="exact"/>
              <w:ind w:firstLine="482"/>
              <w:rPr>
                <w:sz w:val="24"/>
              </w:rPr>
            </w:pPr>
            <w:r>
              <w:rPr>
                <w:rFonts w:hint="eastAsia"/>
                <w:sz w:val="24"/>
              </w:rPr>
              <w:t>一旦发生火灾事故，有毒有害气体可通过热辐射、烟雾及冲击波等形式扩散至空气中，泄漏液体渗透到土壤中，会造成财产损失和人员伤亡，以及水环境、土壤环境的污染。</w:t>
            </w:r>
          </w:p>
          <w:p w14:paraId="66F3AC5C">
            <w:pPr>
              <w:spacing w:line="500" w:lineRule="exact"/>
              <w:ind w:firstLine="482"/>
              <w:rPr>
                <w:b/>
                <w:sz w:val="24"/>
              </w:rPr>
            </w:pPr>
            <w:r>
              <w:rPr>
                <w:rFonts w:hint="eastAsia"/>
                <w:b/>
                <w:sz w:val="24"/>
              </w:rPr>
              <w:t>（5）环境风险防范措施</w:t>
            </w:r>
          </w:p>
          <w:p w14:paraId="480D2D81">
            <w:pPr>
              <w:spacing w:line="500" w:lineRule="exact"/>
              <w:ind w:firstLine="482"/>
              <w:rPr>
                <w:sz w:val="24"/>
              </w:rPr>
            </w:pPr>
            <w:r>
              <w:rPr>
                <w:rFonts w:hint="eastAsia"/>
                <w:sz w:val="24"/>
              </w:rPr>
              <w:t>①火灾风险防范措施</w:t>
            </w:r>
          </w:p>
          <w:p w14:paraId="2921B47D">
            <w:pPr>
              <w:spacing w:line="500" w:lineRule="exact"/>
              <w:ind w:firstLine="482"/>
              <w:rPr>
                <w:sz w:val="24"/>
              </w:rPr>
            </w:pPr>
            <w:r>
              <w:rPr>
                <w:rFonts w:hint="eastAsia"/>
                <w:sz w:val="24"/>
              </w:rPr>
              <w:t>a.火患往往起于细微之处，要格外注意用电的安全，合理布置电源电线的使用。不要同时使用大功率电器，也不要把所有电器设备的插头都插在一个接线板上，避免线路老化，短路发生火灾。</w:t>
            </w:r>
          </w:p>
          <w:p w14:paraId="0A354B69">
            <w:pPr>
              <w:spacing w:line="500" w:lineRule="exact"/>
              <w:ind w:firstLine="482"/>
              <w:rPr>
                <w:sz w:val="24"/>
              </w:rPr>
            </w:pPr>
            <w:r>
              <w:rPr>
                <w:rFonts w:hint="eastAsia"/>
                <w:sz w:val="24"/>
              </w:rPr>
              <w:t>b.易燃物品贮存区禁止明火进入，严禁吸烟。</w:t>
            </w:r>
          </w:p>
          <w:p w14:paraId="4722C479">
            <w:pPr>
              <w:spacing w:line="500" w:lineRule="exact"/>
              <w:ind w:firstLine="482"/>
              <w:rPr>
                <w:sz w:val="24"/>
              </w:rPr>
            </w:pPr>
            <w:r>
              <w:rPr>
                <w:rFonts w:hint="eastAsia"/>
                <w:sz w:val="24"/>
              </w:rPr>
              <w:t>c.生产厂房、易燃物品贮存区须确保全面通风、配备相应品种和数量的消防器材，预留必要的安全间距，远离火种和热源，防止阳光直射。车间工作人员及相关责任人均应熟悉其放置地点，用法，而且要经常检查，消防通道保持畅通。</w:t>
            </w:r>
          </w:p>
          <w:p w14:paraId="2E07CFAD">
            <w:pPr>
              <w:spacing w:line="500" w:lineRule="exact"/>
              <w:ind w:firstLine="482"/>
              <w:rPr>
                <w:sz w:val="24"/>
              </w:rPr>
            </w:pPr>
            <w:r>
              <w:rPr>
                <w:rFonts w:hint="eastAsia"/>
                <w:sz w:val="24"/>
              </w:rPr>
              <w:t>d.应加强消防设施及消防教育建设，对重要场所需要重点防范，制定严格的操作规范，避免火灾等事故发生。</w:t>
            </w:r>
          </w:p>
          <w:p w14:paraId="6DE29A67">
            <w:pPr>
              <w:spacing w:line="500" w:lineRule="exact"/>
              <w:ind w:firstLine="482"/>
              <w:rPr>
                <w:sz w:val="24"/>
              </w:rPr>
            </w:pPr>
            <w:r>
              <w:rPr>
                <w:rFonts w:hint="eastAsia"/>
                <w:sz w:val="24"/>
              </w:rPr>
              <w:t>e.确保安全出口和疏散通道畅通无阻。</w:t>
            </w:r>
          </w:p>
          <w:p w14:paraId="476037D3">
            <w:pPr>
              <w:spacing w:line="500" w:lineRule="exact"/>
              <w:ind w:firstLine="482"/>
              <w:rPr>
                <w:sz w:val="24"/>
              </w:rPr>
            </w:pPr>
            <w:r>
              <w:rPr>
                <w:rFonts w:hint="eastAsia"/>
                <w:sz w:val="24"/>
              </w:rPr>
              <w:t>f.加强电气防火安全管理，消除火灾隐患，不得超负荷用电，不得擅自拉接临时电线。</w:t>
            </w:r>
          </w:p>
          <w:p w14:paraId="0B5BBF2D">
            <w:pPr>
              <w:spacing w:line="500" w:lineRule="exact"/>
              <w:ind w:firstLine="482"/>
              <w:rPr>
                <w:sz w:val="24"/>
              </w:rPr>
            </w:pPr>
            <w:r>
              <w:rPr>
                <w:rFonts w:hint="eastAsia"/>
                <w:sz w:val="24"/>
              </w:rPr>
              <w:t>g.对于电器的使用，应当养成随手断电、随手关灯的好习惯。</w:t>
            </w:r>
          </w:p>
          <w:p w14:paraId="5AE9D8EA">
            <w:pPr>
              <w:spacing w:line="500" w:lineRule="exact"/>
              <w:ind w:firstLine="482"/>
              <w:rPr>
                <w:sz w:val="24"/>
              </w:rPr>
            </w:pPr>
            <w:r>
              <w:rPr>
                <w:rFonts w:hint="eastAsia"/>
                <w:sz w:val="24"/>
              </w:rPr>
              <w:t>h.定期对操作人员进行安全生产与安全知识培训，并制定严格的安全操作规程，切实加强生产过程中的温度控制，保证劳动安全，防止意外事故的发生。应加强消防设施及消防教育建设，对厂区等重要场所需要重点防范，制定严格的操作规范，避免火灾等事故发生。</w:t>
            </w:r>
          </w:p>
          <w:p w14:paraId="6957C0DF">
            <w:pPr>
              <w:spacing w:line="500" w:lineRule="exact"/>
              <w:ind w:firstLine="482"/>
              <w:rPr>
                <w:sz w:val="24"/>
              </w:rPr>
            </w:pPr>
            <w:r>
              <w:rPr>
                <w:rFonts w:hint="eastAsia"/>
                <w:sz w:val="24"/>
              </w:rPr>
              <w:t>i.火灾发生时，先把总电源关掉，按响警铃以警示车间内其他人员，同时联络消防队，利用灭火器尽量灭火，如果无效，应该马上离开现场到安全地点集合，在离开时要确保所有人都已经离开车间再把门窗关上。</w:t>
            </w:r>
          </w:p>
          <w:p w14:paraId="64D05D92">
            <w:pPr>
              <w:spacing w:line="500" w:lineRule="exact"/>
              <w:ind w:firstLine="482"/>
              <w:rPr>
                <w:sz w:val="24"/>
              </w:rPr>
            </w:pPr>
            <w:r>
              <w:rPr>
                <w:rFonts w:hint="eastAsia"/>
                <w:sz w:val="24"/>
              </w:rPr>
              <w:t>j.为了减轻万一发生火灾事故造成的损失，工厂还应该制定火灾应急预案，并报上级主管部门批准，并定期演练。</w:t>
            </w:r>
          </w:p>
          <w:p w14:paraId="3E6BC128">
            <w:pPr>
              <w:spacing w:line="500" w:lineRule="exact"/>
              <w:ind w:firstLine="482"/>
              <w:rPr>
                <w:sz w:val="24"/>
              </w:rPr>
            </w:pPr>
            <w:r>
              <w:rPr>
                <w:rFonts w:hint="eastAsia"/>
                <w:sz w:val="24"/>
              </w:rPr>
              <w:t>②泄漏防范措施</w:t>
            </w:r>
          </w:p>
          <w:p w14:paraId="1F39A346">
            <w:pPr>
              <w:spacing w:line="500" w:lineRule="exact"/>
              <w:ind w:firstLine="482"/>
              <w:rPr>
                <w:sz w:val="24"/>
              </w:rPr>
            </w:pPr>
            <w:r>
              <w:rPr>
                <w:rFonts w:hint="eastAsia"/>
                <w:sz w:val="24"/>
              </w:rPr>
              <w:t>a.运营</w:t>
            </w:r>
            <w:r>
              <w:rPr>
                <w:rFonts w:hint="eastAsia"/>
                <w:sz w:val="24"/>
                <w:lang w:eastAsia="zh-CN"/>
              </w:rPr>
              <w:t>期间</w:t>
            </w:r>
            <w:r>
              <w:rPr>
                <w:rFonts w:hint="eastAsia"/>
                <w:sz w:val="24"/>
              </w:rPr>
              <w:t>除定期检查</w:t>
            </w:r>
            <w:r>
              <w:rPr>
                <w:rFonts w:hint="eastAsia"/>
                <w:sz w:val="24"/>
                <w:lang w:val="en-US" w:eastAsia="zh-CN"/>
              </w:rPr>
              <w:t>煤</w:t>
            </w:r>
            <w:r>
              <w:rPr>
                <w:rFonts w:hint="eastAsia"/>
                <w:sz w:val="24"/>
              </w:rPr>
              <w:t>气等原辅材料是否发生泄漏外，还应对车间地面进行水泥硬化，并</w:t>
            </w:r>
            <w:r>
              <w:rPr>
                <w:rFonts w:hint="eastAsia"/>
                <w:sz w:val="24"/>
                <w:lang w:eastAsia="zh-CN"/>
              </w:rPr>
              <w:t>做好</w:t>
            </w:r>
            <w:r>
              <w:rPr>
                <w:rFonts w:hint="eastAsia"/>
                <w:sz w:val="24"/>
              </w:rPr>
              <w:t>防渗处理，特别是截流沟和地坑。应按照有关消防规范储存，并配备必要的消防设施。</w:t>
            </w:r>
          </w:p>
          <w:p w14:paraId="494601A4">
            <w:pPr>
              <w:spacing w:line="500" w:lineRule="exact"/>
              <w:ind w:firstLine="482"/>
              <w:rPr>
                <w:sz w:val="24"/>
              </w:rPr>
            </w:pPr>
            <w:r>
              <w:rPr>
                <w:rFonts w:hint="eastAsia"/>
                <w:sz w:val="24"/>
              </w:rPr>
              <w:t>b.危废暂存间应按规范设置，防止泄漏的危废污染地表水体。同时，应强化管理，采用合格的容器储存废液，并及时交有资质的单位处置。</w:t>
            </w:r>
          </w:p>
          <w:p w14:paraId="217D23B1">
            <w:pPr>
              <w:spacing w:line="500" w:lineRule="exact"/>
              <w:ind w:firstLine="482"/>
              <w:rPr>
                <w:sz w:val="24"/>
              </w:rPr>
            </w:pPr>
            <w:r>
              <w:rPr>
                <w:rFonts w:hint="eastAsia"/>
                <w:sz w:val="24"/>
              </w:rPr>
              <w:t>③建立事故救援应急机制</w:t>
            </w:r>
          </w:p>
          <w:p w14:paraId="246DF30C">
            <w:pPr>
              <w:spacing w:line="500" w:lineRule="exact"/>
              <w:ind w:firstLine="482"/>
              <w:rPr>
                <w:rFonts w:ascii="宋体" w:hAnsi="宋体"/>
                <w:sz w:val="24"/>
              </w:rPr>
            </w:pPr>
            <w:r>
              <w:rPr>
                <w:rFonts w:hint="eastAsia"/>
                <w:sz w:val="24"/>
              </w:rPr>
              <w:t>为保证企业及人民生命财产的安全，在发生事故时，能够迅速有序</w:t>
            </w:r>
            <w:r>
              <w:rPr>
                <w:rFonts w:hint="eastAsia"/>
                <w:sz w:val="24"/>
                <w:lang w:eastAsia="zh-CN"/>
              </w:rPr>
              <w:t>地</w:t>
            </w:r>
            <w:r>
              <w:rPr>
                <w:rFonts w:hint="eastAsia"/>
                <w:sz w:val="24"/>
              </w:rPr>
              <w:t>开展救援工作，尽最大努力减少事故的危害和损失，根据《企业事业单位突发环境事件应急预案备案管理办法（试行）》，</w:t>
            </w:r>
            <w:r>
              <w:rPr>
                <w:rFonts w:hint="eastAsia"/>
                <w:sz w:val="24"/>
                <w:lang w:val="en-US" w:eastAsia="zh-CN"/>
              </w:rPr>
              <w:t>应将本项目风险物质纳入盛隆公司现有企业突发环境事件应急预案</w:t>
            </w:r>
            <w:r>
              <w:rPr>
                <w:rFonts w:hint="eastAsia"/>
                <w:sz w:val="24"/>
              </w:rPr>
              <w:t>，组织专业队伍学习和演练，提高队伍实战能力，防患于未然，以便应急救援工作的顺利开展。同时企业必须将危险源及有关安全措施、应急措施报告地方政府的安全生产监督管理部门和有关部门，以便政府及有关部门能够及时掌握有关情况，一旦发生事故，政府及其有关部门可以调动有关方面的力量进行救援，以减少事故损失。</w:t>
            </w:r>
          </w:p>
          <w:p w14:paraId="711B4240">
            <w:pPr>
              <w:spacing w:line="500" w:lineRule="exact"/>
              <w:ind w:firstLine="482"/>
              <w:rPr>
                <w:sz w:val="24"/>
              </w:rPr>
            </w:pPr>
            <w:r>
              <w:rPr>
                <w:rFonts w:hint="eastAsia"/>
                <w:sz w:val="24"/>
              </w:rPr>
              <w:t>（6）分析结论</w:t>
            </w:r>
          </w:p>
          <w:p w14:paraId="7C8F9DB8">
            <w:pPr>
              <w:spacing w:line="500" w:lineRule="exact"/>
              <w:ind w:firstLine="482"/>
              <w:rPr>
                <w:sz w:val="24"/>
              </w:rPr>
            </w:pPr>
            <w:r>
              <w:rPr>
                <w:rFonts w:hint="eastAsia"/>
                <w:sz w:val="24"/>
              </w:rPr>
              <w:t>综上所述，本项目的环境风险潜势为Ⅰ，环境风险评价工作等级为简单分析，环境敏感性一般，环境风险事故影响较小，本项目风险水平是可以接受的。</w:t>
            </w:r>
            <w:r>
              <w:rPr>
                <w:rFonts w:hint="eastAsia"/>
                <w:sz w:val="24"/>
                <w:lang w:eastAsia="zh-CN"/>
              </w:rPr>
              <w:t>建设</w:t>
            </w:r>
            <w:r>
              <w:rPr>
                <w:rFonts w:hint="eastAsia"/>
                <w:sz w:val="24"/>
              </w:rPr>
              <w:t>单位严格落实环评提出的各项防范措施和</w:t>
            </w:r>
            <w:r>
              <w:rPr>
                <w:rFonts w:hint="eastAsia"/>
                <w:sz w:val="24"/>
                <w:lang w:val="en-US" w:eastAsia="zh-CN"/>
              </w:rPr>
              <w:t>将本项目风险物质纳入盛隆公司企业突发环境事件应急预案</w:t>
            </w:r>
            <w:r>
              <w:rPr>
                <w:rFonts w:hint="eastAsia"/>
                <w:sz w:val="24"/>
              </w:rPr>
              <w:t>，其环境风险可防可控，项目建设是可行的。尽管最大可信事故概率极小，发生危害也不大，但要从各方面积极采取防护措施，确保安全。当出现事故时，要采取紧急的工程应急措施，以控制事故和减少对环境造成的危害。</w:t>
            </w:r>
          </w:p>
          <w:p w14:paraId="1651257A">
            <w:pPr>
              <w:spacing w:line="500" w:lineRule="exact"/>
              <w:ind w:firstLine="482"/>
              <w:rPr>
                <w:b/>
                <w:sz w:val="24"/>
              </w:rPr>
            </w:pPr>
            <w:r>
              <w:rPr>
                <w:rFonts w:hint="eastAsia"/>
                <w:b/>
                <w:sz w:val="24"/>
              </w:rPr>
              <w:t>8、电磁辐射</w:t>
            </w:r>
          </w:p>
          <w:p w14:paraId="09FEE726">
            <w:pPr>
              <w:spacing w:line="500" w:lineRule="exact"/>
              <w:ind w:firstLine="482"/>
              <w:rPr>
                <w:sz w:val="24"/>
              </w:rPr>
            </w:pPr>
            <w:r>
              <w:rPr>
                <w:rFonts w:hint="eastAsia"/>
                <w:sz w:val="24"/>
              </w:rPr>
              <w:t>不涉及。</w:t>
            </w:r>
          </w:p>
          <w:p w14:paraId="2C52DFF0">
            <w:pPr>
              <w:spacing w:line="500" w:lineRule="exact"/>
              <w:ind w:firstLine="482"/>
              <w:rPr>
                <w:b/>
                <w:sz w:val="24"/>
              </w:rPr>
            </w:pPr>
            <w:r>
              <w:rPr>
                <w:rFonts w:hint="eastAsia"/>
                <w:b/>
                <w:sz w:val="24"/>
              </w:rPr>
              <w:t>9、环保投资估算</w:t>
            </w:r>
          </w:p>
          <w:p w14:paraId="3335DE5D">
            <w:pPr>
              <w:spacing w:line="500" w:lineRule="exact"/>
              <w:ind w:firstLine="482"/>
              <w:rPr>
                <w:sz w:val="24"/>
              </w:rPr>
            </w:pPr>
            <w:r>
              <w:rPr>
                <w:rFonts w:hint="eastAsia"/>
                <w:sz w:val="24"/>
              </w:rPr>
              <w:t>本项目总投资</w:t>
            </w:r>
            <w:r>
              <w:rPr>
                <w:rFonts w:hint="eastAsia"/>
                <w:sz w:val="24"/>
                <w:lang w:val="en-US" w:eastAsia="zh-CN"/>
              </w:rPr>
              <w:t>20000</w:t>
            </w:r>
            <w:r>
              <w:rPr>
                <w:rFonts w:hint="eastAsia"/>
                <w:sz w:val="24"/>
              </w:rPr>
              <w:t>万元，环保投资总额约</w:t>
            </w:r>
            <w:r>
              <w:rPr>
                <w:rFonts w:hint="eastAsia"/>
                <w:sz w:val="24"/>
                <w:lang w:val="en-US" w:eastAsia="zh-CN"/>
              </w:rPr>
              <w:t>133</w:t>
            </w:r>
            <w:r>
              <w:rPr>
                <w:rFonts w:hint="eastAsia"/>
                <w:sz w:val="24"/>
              </w:rPr>
              <w:t>万元，占总投资的</w:t>
            </w:r>
            <w:r>
              <w:rPr>
                <w:rFonts w:hint="eastAsia"/>
                <w:sz w:val="24"/>
                <w:lang w:val="en-US" w:eastAsia="zh-CN"/>
              </w:rPr>
              <w:t>0.67</w:t>
            </w:r>
            <w:r>
              <w:rPr>
                <w:rFonts w:hint="eastAsia"/>
                <w:sz w:val="24"/>
              </w:rPr>
              <w:t>%，具体环保投资情况见表4-</w:t>
            </w:r>
            <w:r>
              <w:rPr>
                <w:rFonts w:hint="eastAsia"/>
                <w:sz w:val="24"/>
                <w:lang w:val="en-US" w:eastAsia="zh-CN"/>
              </w:rPr>
              <w:t>17</w:t>
            </w:r>
            <w:r>
              <w:rPr>
                <w:rFonts w:hint="eastAsia"/>
                <w:sz w:val="24"/>
              </w:rPr>
              <w:t>。</w:t>
            </w:r>
          </w:p>
          <w:p w14:paraId="0E11770C">
            <w:pPr>
              <w:pStyle w:val="48"/>
              <w:numPr>
                <w:ilvl w:val="2"/>
                <w:numId w:val="4"/>
              </w:numPr>
              <w:spacing w:line="500" w:lineRule="atLeast"/>
              <w:ind w:firstLineChars="0"/>
              <w:jc w:val="center"/>
              <w:rPr>
                <w:b/>
                <w:sz w:val="24"/>
              </w:rPr>
            </w:pPr>
            <w:r>
              <w:rPr>
                <w:rFonts w:hint="eastAsia"/>
                <w:b/>
                <w:sz w:val="24"/>
              </w:rPr>
              <w:t>环保投资情况一览表</w:t>
            </w:r>
          </w:p>
          <w:tbl>
            <w:tblPr>
              <w:tblStyle w:val="23"/>
              <w:tblW w:w="8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43"/>
              <w:gridCol w:w="2171"/>
              <w:gridCol w:w="3559"/>
              <w:gridCol w:w="1092"/>
            </w:tblGrid>
            <w:tr w14:paraId="1D3A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shd w:val="clear" w:color="auto" w:fill="auto"/>
                  <w:vAlign w:val="center"/>
                </w:tcPr>
                <w:p w14:paraId="483C0DA9">
                  <w:pPr>
                    <w:adjustRightInd w:val="0"/>
                    <w:snapToGrid w:val="0"/>
                    <w:jc w:val="center"/>
                    <w:rPr>
                      <w:szCs w:val="21"/>
                    </w:rPr>
                  </w:pPr>
                  <w:r>
                    <w:rPr>
                      <w:rFonts w:hint="eastAsia"/>
                      <w:szCs w:val="21"/>
                    </w:rPr>
                    <w:t>时段</w:t>
                  </w:r>
                </w:p>
              </w:tc>
              <w:tc>
                <w:tcPr>
                  <w:tcW w:w="2914" w:type="dxa"/>
                  <w:gridSpan w:val="2"/>
                  <w:shd w:val="clear" w:color="auto" w:fill="auto"/>
                  <w:vAlign w:val="center"/>
                </w:tcPr>
                <w:p w14:paraId="3738DF59">
                  <w:pPr>
                    <w:adjustRightInd w:val="0"/>
                    <w:snapToGrid w:val="0"/>
                    <w:jc w:val="center"/>
                    <w:rPr>
                      <w:szCs w:val="21"/>
                    </w:rPr>
                  </w:pPr>
                  <w:r>
                    <w:rPr>
                      <w:rFonts w:hint="eastAsia"/>
                      <w:szCs w:val="21"/>
                    </w:rPr>
                    <w:t>项目</w:t>
                  </w:r>
                </w:p>
              </w:tc>
              <w:tc>
                <w:tcPr>
                  <w:tcW w:w="3559" w:type="dxa"/>
                  <w:shd w:val="clear" w:color="auto" w:fill="auto"/>
                  <w:vAlign w:val="center"/>
                </w:tcPr>
                <w:p w14:paraId="0BFABD9D">
                  <w:pPr>
                    <w:adjustRightInd w:val="0"/>
                    <w:snapToGrid w:val="0"/>
                    <w:jc w:val="center"/>
                    <w:rPr>
                      <w:szCs w:val="21"/>
                    </w:rPr>
                  </w:pPr>
                  <w:r>
                    <w:rPr>
                      <w:rFonts w:hint="eastAsia"/>
                      <w:szCs w:val="21"/>
                    </w:rPr>
                    <w:t>环保措施</w:t>
                  </w:r>
                </w:p>
              </w:tc>
              <w:tc>
                <w:tcPr>
                  <w:tcW w:w="1092" w:type="dxa"/>
                  <w:shd w:val="clear" w:color="auto" w:fill="auto"/>
                  <w:vAlign w:val="center"/>
                </w:tcPr>
                <w:p w14:paraId="7FFB3CB5">
                  <w:pPr>
                    <w:adjustRightInd w:val="0"/>
                    <w:snapToGrid w:val="0"/>
                    <w:jc w:val="center"/>
                    <w:rPr>
                      <w:szCs w:val="21"/>
                    </w:rPr>
                  </w:pPr>
                  <w:r>
                    <w:rPr>
                      <w:rFonts w:hint="eastAsia"/>
                      <w:szCs w:val="21"/>
                    </w:rPr>
                    <w:t>投资估算</w:t>
                  </w:r>
                </w:p>
                <w:p w14:paraId="212ADEA5">
                  <w:pPr>
                    <w:adjustRightInd w:val="0"/>
                    <w:snapToGrid w:val="0"/>
                    <w:jc w:val="center"/>
                    <w:rPr>
                      <w:szCs w:val="21"/>
                    </w:rPr>
                  </w:pPr>
                  <w:r>
                    <w:rPr>
                      <w:rFonts w:hint="eastAsia"/>
                      <w:szCs w:val="21"/>
                    </w:rPr>
                    <w:t>（万元）</w:t>
                  </w:r>
                </w:p>
              </w:tc>
            </w:tr>
            <w:tr w14:paraId="3EA6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restart"/>
                  <w:shd w:val="clear" w:color="auto" w:fill="auto"/>
                  <w:vAlign w:val="center"/>
                </w:tcPr>
                <w:p w14:paraId="51F40456">
                  <w:pPr>
                    <w:adjustRightInd w:val="0"/>
                    <w:snapToGrid w:val="0"/>
                    <w:jc w:val="center"/>
                    <w:rPr>
                      <w:szCs w:val="21"/>
                    </w:rPr>
                  </w:pPr>
                  <w:r>
                    <w:rPr>
                      <w:rFonts w:hint="eastAsia"/>
                      <w:szCs w:val="21"/>
                    </w:rPr>
                    <w:t>施工期</w:t>
                  </w:r>
                </w:p>
              </w:tc>
              <w:tc>
                <w:tcPr>
                  <w:tcW w:w="743" w:type="dxa"/>
                  <w:shd w:val="clear" w:color="auto" w:fill="auto"/>
                  <w:vAlign w:val="center"/>
                </w:tcPr>
                <w:p w14:paraId="32E33F04">
                  <w:pPr>
                    <w:adjustRightInd w:val="0"/>
                    <w:snapToGrid w:val="0"/>
                    <w:jc w:val="center"/>
                    <w:rPr>
                      <w:szCs w:val="21"/>
                    </w:rPr>
                  </w:pPr>
                  <w:r>
                    <w:rPr>
                      <w:rFonts w:hint="eastAsia"/>
                      <w:szCs w:val="21"/>
                    </w:rPr>
                    <w:t>废水</w:t>
                  </w:r>
                </w:p>
              </w:tc>
              <w:tc>
                <w:tcPr>
                  <w:tcW w:w="2171" w:type="dxa"/>
                  <w:shd w:val="clear" w:color="auto" w:fill="auto"/>
                  <w:vAlign w:val="center"/>
                </w:tcPr>
                <w:p w14:paraId="130F0310">
                  <w:pPr>
                    <w:adjustRightInd w:val="0"/>
                    <w:snapToGrid w:val="0"/>
                    <w:jc w:val="center"/>
                    <w:rPr>
                      <w:szCs w:val="21"/>
                    </w:rPr>
                  </w:pPr>
                  <w:r>
                    <w:rPr>
                      <w:rFonts w:hint="eastAsia"/>
                      <w:szCs w:val="21"/>
                    </w:rPr>
                    <w:t>扬尘</w:t>
                  </w:r>
                </w:p>
              </w:tc>
              <w:tc>
                <w:tcPr>
                  <w:tcW w:w="3559" w:type="dxa"/>
                  <w:shd w:val="clear" w:color="auto" w:fill="auto"/>
                  <w:vAlign w:val="center"/>
                </w:tcPr>
                <w:p w14:paraId="2F2A6BF0">
                  <w:pPr>
                    <w:adjustRightInd w:val="0"/>
                    <w:snapToGrid w:val="0"/>
                    <w:jc w:val="center"/>
                    <w:rPr>
                      <w:szCs w:val="21"/>
                    </w:rPr>
                  </w:pPr>
                  <w:r>
                    <w:rPr>
                      <w:rFonts w:hint="eastAsia"/>
                      <w:szCs w:val="21"/>
                    </w:rPr>
                    <w:t>扬尘防治</w:t>
                  </w:r>
                </w:p>
              </w:tc>
              <w:tc>
                <w:tcPr>
                  <w:tcW w:w="1092" w:type="dxa"/>
                  <w:shd w:val="clear" w:color="auto" w:fill="auto"/>
                  <w:vAlign w:val="center"/>
                </w:tcPr>
                <w:p w14:paraId="4EF1A557">
                  <w:pPr>
                    <w:widowControl/>
                    <w:jc w:val="center"/>
                    <w:textAlignment w:val="center"/>
                    <w:rPr>
                      <w:color w:val="000000"/>
                      <w:kern w:val="0"/>
                      <w:szCs w:val="21"/>
                      <w:lang w:bidi="ar"/>
                    </w:rPr>
                  </w:pPr>
                  <w:r>
                    <w:rPr>
                      <w:rFonts w:hint="eastAsia"/>
                      <w:color w:val="000000"/>
                      <w:kern w:val="0"/>
                      <w:szCs w:val="21"/>
                      <w:lang w:bidi="ar"/>
                    </w:rPr>
                    <w:t>1</w:t>
                  </w:r>
                </w:p>
              </w:tc>
            </w:tr>
            <w:tr w14:paraId="1D25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continue"/>
                  <w:shd w:val="clear" w:color="auto" w:fill="auto"/>
                  <w:vAlign w:val="center"/>
                </w:tcPr>
                <w:p w14:paraId="485258B3">
                  <w:pPr>
                    <w:adjustRightInd w:val="0"/>
                    <w:snapToGrid w:val="0"/>
                    <w:jc w:val="center"/>
                    <w:rPr>
                      <w:szCs w:val="21"/>
                    </w:rPr>
                  </w:pPr>
                </w:p>
              </w:tc>
              <w:tc>
                <w:tcPr>
                  <w:tcW w:w="743" w:type="dxa"/>
                  <w:shd w:val="clear" w:color="auto" w:fill="auto"/>
                  <w:vAlign w:val="center"/>
                </w:tcPr>
                <w:p w14:paraId="03126D34">
                  <w:pPr>
                    <w:adjustRightInd w:val="0"/>
                    <w:snapToGrid w:val="0"/>
                    <w:jc w:val="center"/>
                    <w:rPr>
                      <w:szCs w:val="21"/>
                    </w:rPr>
                  </w:pPr>
                  <w:r>
                    <w:rPr>
                      <w:rFonts w:hint="eastAsia"/>
                      <w:szCs w:val="21"/>
                    </w:rPr>
                    <w:t>废气</w:t>
                  </w:r>
                </w:p>
              </w:tc>
              <w:tc>
                <w:tcPr>
                  <w:tcW w:w="2171" w:type="dxa"/>
                  <w:shd w:val="clear" w:color="auto" w:fill="auto"/>
                  <w:vAlign w:val="center"/>
                </w:tcPr>
                <w:p w14:paraId="1C03C7DA">
                  <w:pPr>
                    <w:adjustRightInd w:val="0"/>
                    <w:snapToGrid w:val="0"/>
                    <w:jc w:val="center"/>
                    <w:rPr>
                      <w:szCs w:val="21"/>
                    </w:rPr>
                  </w:pPr>
                  <w:r>
                    <w:rPr>
                      <w:rFonts w:hint="eastAsia"/>
                      <w:szCs w:val="21"/>
                    </w:rPr>
                    <w:t>生活污水、施工废水</w:t>
                  </w:r>
                </w:p>
              </w:tc>
              <w:tc>
                <w:tcPr>
                  <w:tcW w:w="3559" w:type="dxa"/>
                  <w:shd w:val="clear" w:color="auto" w:fill="auto"/>
                  <w:vAlign w:val="center"/>
                </w:tcPr>
                <w:p w14:paraId="40589D9B">
                  <w:pPr>
                    <w:adjustRightInd w:val="0"/>
                    <w:snapToGrid w:val="0"/>
                    <w:jc w:val="center"/>
                    <w:rPr>
                      <w:szCs w:val="21"/>
                    </w:rPr>
                  </w:pPr>
                  <w:r>
                    <w:rPr>
                      <w:rFonts w:hint="eastAsia"/>
                      <w:szCs w:val="21"/>
                    </w:rPr>
                    <w:t>均经管道收集进入盛隆厂区废水处理系统处理后回用于各生产，不外排</w:t>
                  </w:r>
                </w:p>
              </w:tc>
              <w:tc>
                <w:tcPr>
                  <w:tcW w:w="1092" w:type="dxa"/>
                  <w:shd w:val="clear" w:color="auto" w:fill="auto"/>
                  <w:vAlign w:val="center"/>
                </w:tcPr>
                <w:p w14:paraId="58FD366C">
                  <w:pPr>
                    <w:widowControl/>
                    <w:jc w:val="center"/>
                    <w:textAlignment w:val="center"/>
                    <w:rPr>
                      <w:rFonts w:hint="eastAsia" w:eastAsia="宋体"/>
                      <w:color w:val="000000"/>
                      <w:kern w:val="0"/>
                      <w:szCs w:val="21"/>
                      <w:lang w:eastAsia="zh-CN" w:bidi="ar"/>
                    </w:rPr>
                  </w:pPr>
                  <w:r>
                    <w:rPr>
                      <w:rFonts w:hint="eastAsia"/>
                      <w:color w:val="000000"/>
                      <w:kern w:val="0"/>
                      <w:szCs w:val="21"/>
                      <w:lang w:val="en-US" w:eastAsia="zh-CN" w:bidi="ar"/>
                    </w:rPr>
                    <w:t>1</w:t>
                  </w:r>
                </w:p>
              </w:tc>
            </w:tr>
            <w:tr w14:paraId="11DE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continue"/>
                  <w:shd w:val="clear" w:color="auto" w:fill="auto"/>
                  <w:vAlign w:val="center"/>
                </w:tcPr>
                <w:p w14:paraId="69F26892">
                  <w:pPr>
                    <w:adjustRightInd w:val="0"/>
                    <w:snapToGrid w:val="0"/>
                    <w:jc w:val="center"/>
                    <w:rPr>
                      <w:szCs w:val="21"/>
                    </w:rPr>
                  </w:pPr>
                </w:p>
              </w:tc>
              <w:tc>
                <w:tcPr>
                  <w:tcW w:w="743" w:type="dxa"/>
                  <w:shd w:val="clear" w:color="auto" w:fill="auto"/>
                  <w:vAlign w:val="center"/>
                </w:tcPr>
                <w:p w14:paraId="4C447860">
                  <w:pPr>
                    <w:adjustRightInd w:val="0"/>
                    <w:snapToGrid w:val="0"/>
                    <w:jc w:val="center"/>
                    <w:rPr>
                      <w:szCs w:val="21"/>
                    </w:rPr>
                  </w:pPr>
                  <w:r>
                    <w:rPr>
                      <w:rFonts w:hint="eastAsia"/>
                      <w:szCs w:val="21"/>
                    </w:rPr>
                    <w:t>噪声</w:t>
                  </w:r>
                </w:p>
              </w:tc>
              <w:tc>
                <w:tcPr>
                  <w:tcW w:w="2171" w:type="dxa"/>
                  <w:shd w:val="clear" w:color="auto" w:fill="auto"/>
                  <w:vAlign w:val="center"/>
                </w:tcPr>
                <w:p w14:paraId="31108C30">
                  <w:pPr>
                    <w:adjustRightInd w:val="0"/>
                    <w:snapToGrid w:val="0"/>
                    <w:jc w:val="center"/>
                    <w:rPr>
                      <w:szCs w:val="21"/>
                    </w:rPr>
                  </w:pPr>
                  <w:r>
                    <w:rPr>
                      <w:rFonts w:hint="eastAsia"/>
                      <w:szCs w:val="21"/>
                    </w:rPr>
                    <w:t>机械噪声</w:t>
                  </w:r>
                </w:p>
              </w:tc>
              <w:tc>
                <w:tcPr>
                  <w:tcW w:w="3559" w:type="dxa"/>
                  <w:shd w:val="clear" w:color="auto" w:fill="auto"/>
                  <w:vAlign w:val="center"/>
                </w:tcPr>
                <w:p w14:paraId="7750E1BB">
                  <w:pPr>
                    <w:adjustRightInd w:val="0"/>
                    <w:snapToGrid w:val="0"/>
                    <w:jc w:val="center"/>
                    <w:rPr>
                      <w:szCs w:val="21"/>
                    </w:rPr>
                  </w:pPr>
                  <w:r>
                    <w:rPr>
                      <w:rFonts w:hint="eastAsia"/>
                      <w:szCs w:val="21"/>
                    </w:rPr>
                    <w:t>合理安排施工作业时间，选用低噪声设备，建筑隔声</w:t>
                  </w:r>
                </w:p>
              </w:tc>
              <w:tc>
                <w:tcPr>
                  <w:tcW w:w="1092" w:type="dxa"/>
                  <w:shd w:val="clear" w:color="auto" w:fill="auto"/>
                  <w:vAlign w:val="center"/>
                </w:tcPr>
                <w:p w14:paraId="211318BE">
                  <w:pPr>
                    <w:widowControl/>
                    <w:jc w:val="center"/>
                    <w:textAlignment w:val="center"/>
                    <w:rPr>
                      <w:color w:val="000000"/>
                      <w:kern w:val="0"/>
                      <w:szCs w:val="21"/>
                      <w:lang w:bidi="ar"/>
                    </w:rPr>
                  </w:pPr>
                  <w:r>
                    <w:rPr>
                      <w:rFonts w:hint="eastAsia"/>
                      <w:color w:val="000000"/>
                      <w:kern w:val="0"/>
                      <w:szCs w:val="21"/>
                      <w:lang w:bidi="ar"/>
                    </w:rPr>
                    <w:t>0.5</w:t>
                  </w:r>
                </w:p>
              </w:tc>
            </w:tr>
            <w:tr w14:paraId="051A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continue"/>
                  <w:shd w:val="clear" w:color="auto" w:fill="auto"/>
                  <w:vAlign w:val="center"/>
                </w:tcPr>
                <w:p w14:paraId="301F6A75">
                  <w:pPr>
                    <w:adjustRightInd w:val="0"/>
                    <w:snapToGrid w:val="0"/>
                    <w:jc w:val="center"/>
                    <w:rPr>
                      <w:szCs w:val="21"/>
                    </w:rPr>
                  </w:pPr>
                </w:p>
              </w:tc>
              <w:tc>
                <w:tcPr>
                  <w:tcW w:w="743" w:type="dxa"/>
                  <w:shd w:val="clear" w:color="auto" w:fill="auto"/>
                  <w:vAlign w:val="center"/>
                </w:tcPr>
                <w:p w14:paraId="32D9DFDB">
                  <w:pPr>
                    <w:adjustRightInd w:val="0"/>
                    <w:snapToGrid w:val="0"/>
                    <w:jc w:val="center"/>
                    <w:rPr>
                      <w:szCs w:val="21"/>
                    </w:rPr>
                  </w:pPr>
                  <w:r>
                    <w:rPr>
                      <w:rFonts w:hint="eastAsia"/>
                      <w:szCs w:val="21"/>
                    </w:rPr>
                    <w:t>固废</w:t>
                  </w:r>
                </w:p>
              </w:tc>
              <w:tc>
                <w:tcPr>
                  <w:tcW w:w="2171" w:type="dxa"/>
                  <w:shd w:val="clear" w:color="auto" w:fill="auto"/>
                  <w:vAlign w:val="center"/>
                </w:tcPr>
                <w:p w14:paraId="76F2D64B">
                  <w:pPr>
                    <w:adjustRightInd w:val="0"/>
                    <w:snapToGrid w:val="0"/>
                    <w:jc w:val="center"/>
                    <w:rPr>
                      <w:szCs w:val="21"/>
                    </w:rPr>
                  </w:pPr>
                  <w:r>
                    <w:rPr>
                      <w:rFonts w:hint="eastAsia"/>
                      <w:szCs w:val="21"/>
                    </w:rPr>
                    <w:t>建筑垃圾、生活垃圾</w:t>
                  </w:r>
                </w:p>
              </w:tc>
              <w:tc>
                <w:tcPr>
                  <w:tcW w:w="3559" w:type="dxa"/>
                  <w:shd w:val="clear" w:color="auto" w:fill="auto"/>
                  <w:vAlign w:val="center"/>
                </w:tcPr>
                <w:p w14:paraId="1877A627">
                  <w:pPr>
                    <w:adjustRightInd w:val="0"/>
                    <w:snapToGrid w:val="0"/>
                    <w:jc w:val="center"/>
                    <w:rPr>
                      <w:szCs w:val="21"/>
                    </w:rPr>
                  </w:pPr>
                  <w:r>
                    <w:rPr>
                      <w:rFonts w:hint="eastAsia"/>
                      <w:szCs w:val="21"/>
                    </w:rPr>
                    <w:t>生活垃圾由环卫部门清理，建筑垃圾运至市政部门指定地点堆放</w:t>
                  </w:r>
                </w:p>
              </w:tc>
              <w:tc>
                <w:tcPr>
                  <w:tcW w:w="1092" w:type="dxa"/>
                  <w:shd w:val="clear" w:color="auto" w:fill="auto"/>
                  <w:vAlign w:val="center"/>
                </w:tcPr>
                <w:p w14:paraId="61E5AD37">
                  <w:pPr>
                    <w:widowControl/>
                    <w:jc w:val="center"/>
                    <w:textAlignment w:val="center"/>
                    <w:rPr>
                      <w:color w:val="000000"/>
                      <w:kern w:val="0"/>
                      <w:szCs w:val="21"/>
                      <w:lang w:bidi="ar"/>
                    </w:rPr>
                  </w:pPr>
                  <w:r>
                    <w:rPr>
                      <w:rFonts w:hint="eastAsia"/>
                      <w:color w:val="000000"/>
                      <w:kern w:val="0"/>
                      <w:szCs w:val="21"/>
                      <w:lang w:bidi="ar"/>
                    </w:rPr>
                    <w:t>0.5</w:t>
                  </w:r>
                </w:p>
              </w:tc>
            </w:tr>
            <w:tr w14:paraId="53DD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restart"/>
                  <w:shd w:val="clear" w:color="auto" w:fill="auto"/>
                  <w:vAlign w:val="center"/>
                </w:tcPr>
                <w:p w14:paraId="5ECE8674">
                  <w:pPr>
                    <w:adjustRightInd w:val="0"/>
                    <w:snapToGrid w:val="0"/>
                    <w:jc w:val="center"/>
                    <w:rPr>
                      <w:szCs w:val="21"/>
                    </w:rPr>
                  </w:pPr>
                  <w:r>
                    <w:rPr>
                      <w:rFonts w:hint="eastAsia"/>
                      <w:szCs w:val="21"/>
                    </w:rPr>
                    <w:t>运营期</w:t>
                  </w:r>
                </w:p>
              </w:tc>
              <w:tc>
                <w:tcPr>
                  <w:tcW w:w="743" w:type="dxa"/>
                  <w:vMerge w:val="restart"/>
                  <w:shd w:val="clear" w:color="auto" w:fill="auto"/>
                  <w:vAlign w:val="center"/>
                </w:tcPr>
                <w:p w14:paraId="599DD41C">
                  <w:pPr>
                    <w:adjustRightInd w:val="0"/>
                    <w:snapToGrid w:val="0"/>
                    <w:jc w:val="center"/>
                    <w:rPr>
                      <w:szCs w:val="21"/>
                    </w:rPr>
                  </w:pPr>
                  <w:r>
                    <w:rPr>
                      <w:rFonts w:hint="eastAsia"/>
                      <w:szCs w:val="21"/>
                    </w:rPr>
                    <w:t>废气</w:t>
                  </w:r>
                </w:p>
              </w:tc>
              <w:tc>
                <w:tcPr>
                  <w:tcW w:w="2171" w:type="dxa"/>
                  <w:shd w:val="clear" w:color="auto" w:fill="auto"/>
                  <w:vAlign w:val="center"/>
                </w:tcPr>
                <w:p w14:paraId="0F470FDA">
                  <w:pPr>
                    <w:adjustRightInd w:val="0"/>
                    <w:snapToGrid w:val="0"/>
                    <w:jc w:val="center"/>
                    <w:rPr>
                      <w:rFonts w:hint="eastAsia" w:eastAsia="宋体"/>
                      <w:szCs w:val="21"/>
                      <w:lang w:eastAsia="zh-CN"/>
                    </w:rPr>
                  </w:pPr>
                  <w:r>
                    <w:rPr>
                      <w:rFonts w:hint="eastAsia"/>
                      <w:szCs w:val="21"/>
                    </w:rPr>
                    <w:t>配料（上料、搅拌、</w:t>
                  </w:r>
                  <w:r>
                    <w:rPr>
                      <w:rFonts w:hint="eastAsia"/>
                      <w:szCs w:val="21"/>
                      <w:lang w:eastAsia="zh-CN"/>
                    </w:rPr>
                    <w:t>造球</w:t>
                  </w:r>
                  <w:r>
                    <w:rPr>
                      <w:rFonts w:hint="eastAsia"/>
                      <w:szCs w:val="21"/>
                    </w:rPr>
                    <w:t>）</w:t>
                  </w:r>
                  <w:r>
                    <w:rPr>
                      <w:rFonts w:hint="eastAsia"/>
                      <w:szCs w:val="21"/>
                      <w:lang w:eastAsia="zh-CN"/>
                    </w:rPr>
                    <w:t>、</w:t>
                  </w:r>
                  <w:r>
                    <w:rPr>
                      <w:rFonts w:hint="eastAsia"/>
                      <w:szCs w:val="21"/>
                      <w:lang w:val="en-US" w:eastAsia="zh-CN"/>
                    </w:rPr>
                    <w:t>窑头窑尾粉尘</w:t>
                  </w:r>
                </w:p>
              </w:tc>
              <w:tc>
                <w:tcPr>
                  <w:tcW w:w="3559" w:type="dxa"/>
                  <w:shd w:val="clear" w:color="auto" w:fill="auto"/>
                  <w:vAlign w:val="center"/>
                </w:tcPr>
                <w:p w14:paraId="740CD84E">
                  <w:pPr>
                    <w:adjustRightInd w:val="0"/>
                    <w:snapToGrid w:val="0"/>
                    <w:jc w:val="center"/>
                    <w:rPr>
                      <w:szCs w:val="21"/>
                    </w:rPr>
                  </w:pPr>
                  <w:r>
                    <w:rPr>
                      <w:rFonts w:hint="eastAsia"/>
                      <w:szCs w:val="21"/>
                    </w:rPr>
                    <w:t>集气罩+布袋除尘器+2</w:t>
                  </w:r>
                  <w:r>
                    <w:rPr>
                      <w:rFonts w:hint="eastAsia"/>
                      <w:szCs w:val="21"/>
                      <w:lang w:val="en-US" w:eastAsia="zh-CN"/>
                    </w:rPr>
                    <w:t>6</w:t>
                  </w:r>
                  <w:r>
                    <w:rPr>
                      <w:rFonts w:hint="eastAsia"/>
                      <w:szCs w:val="21"/>
                    </w:rPr>
                    <w:t>m高排气筒</w:t>
                  </w:r>
                </w:p>
              </w:tc>
              <w:tc>
                <w:tcPr>
                  <w:tcW w:w="1092" w:type="dxa"/>
                  <w:shd w:val="clear" w:color="auto" w:fill="auto"/>
                  <w:vAlign w:val="center"/>
                </w:tcPr>
                <w:p w14:paraId="5565B988">
                  <w:pPr>
                    <w:widowControl/>
                    <w:jc w:val="center"/>
                    <w:textAlignment w:val="center"/>
                    <w:rPr>
                      <w:rFonts w:hint="default" w:eastAsia="宋体"/>
                      <w:szCs w:val="21"/>
                      <w:lang w:val="en-US" w:eastAsia="zh-CN"/>
                    </w:rPr>
                  </w:pPr>
                  <w:r>
                    <w:rPr>
                      <w:rFonts w:hint="eastAsia"/>
                      <w:color w:val="000000"/>
                      <w:kern w:val="0"/>
                      <w:szCs w:val="21"/>
                      <w:lang w:val="en-US" w:eastAsia="zh-CN" w:bidi="ar"/>
                    </w:rPr>
                    <w:t>50</w:t>
                  </w:r>
                </w:p>
              </w:tc>
            </w:tr>
            <w:tr w14:paraId="3846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continue"/>
                  <w:shd w:val="clear" w:color="auto" w:fill="auto"/>
                  <w:vAlign w:val="center"/>
                </w:tcPr>
                <w:p w14:paraId="6E87B1B2">
                  <w:pPr>
                    <w:adjustRightInd w:val="0"/>
                    <w:snapToGrid w:val="0"/>
                    <w:jc w:val="center"/>
                    <w:rPr>
                      <w:szCs w:val="21"/>
                    </w:rPr>
                  </w:pPr>
                </w:p>
              </w:tc>
              <w:tc>
                <w:tcPr>
                  <w:tcW w:w="743" w:type="dxa"/>
                  <w:vMerge w:val="continue"/>
                  <w:shd w:val="clear" w:color="auto" w:fill="auto"/>
                  <w:vAlign w:val="center"/>
                </w:tcPr>
                <w:p w14:paraId="06B4C95A">
                  <w:pPr>
                    <w:adjustRightInd w:val="0"/>
                    <w:snapToGrid w:val="0"/>
                    <w:jc w:val="center"/>
                    <w:rPr>
                      <w:szCs w:val="21"/>
                    </w:rPr>
                  </w:pPr>
                </w:p>
              </w:tc>
              <w:tc>
                <w:tcPr>
                  <w:tcW w:w="2171" w:type="dxa"/>
                  <w:shd w:val="clear" w:color="auto" w:fill="auto"/>
                  <w:vAlign w:val="center"/>
                </w:tcPr>
                <w:p w14:paraId="1E4E4A1E">
                  <w:pPr>
                    <w:adjustRightInd w:val="0"/>
                    <w:snapToGrid w:val="0"/>
                    <w:jc w:val="center"/>
                    <w:rPr>
                      <w:rFonts w:hint="default" w:eastAsia="宋体"/>
                      <w:szCs w:val="21"/>
                      <w:lang w:val="en-US" w:eastAsia="zh-CN"/>
                    </w:rPr>
                  </w:pPr>
                  <w:r>
                    <w:rPr>
                      <w:rFonts w:hint="eastAsia"/>
                      <w:szCs w:val="21"/>
                      <w:lang w:val="en-US" w:eastAsia="zh-CN"/>
                    </w:rPr>
                    <w:t>回转窑烟气</w:t>
                  </w:r>
                </w:p>
              </w:tc>
              <w:tc>
                <w:tcPr>
                  <w:tcW w:w="3559" w:type="dxa"/>
                  <w:shd w:val="clear" w:color="auto" w:fill="auto"/>
                  <w:vAlign w:val="center"/>
                </w:tcPr>
                <w:p w14:paraId="1F199368">
                  <w:pPr>
                    <w:adjustRightInd w:val="0"/>
                    <w:snapToGrid w:val="0"/>
                    <w:jc w:val="center"/>
                    <w:rPr>
                      <w:szCs w:val="21"/>
                    </w:rPr>
                  </w:pPr>
                  <w:r>
                    <w:rPr>
                      <w:rFonts w:hint="eastAsia"/>
                      <w:szCs w:val="21"/>
                    </w:rPr>
                    <w:t>布袋除尘器+</w:t>
                  </w:r>
                  <w:r>
                    <w:rPr>
                      <w:rFonts w:hint="eastAsia"/>
                      <w:szCs w:val="21"/>
                      <w:lang w:val="en-US" w:eastAsia="zh-CN"/>
                    </w:rPr>
                    <w:t>32</w:t>
                  </w:r>
                  <w:r>
                    <w:rPr>
                      <w:rFonts w:hint="eastAsia"/>
                      <w:szCs w:val="21"/>
                    </w:rPr>
                    <w:t>m高排气筒</w:t>
                  </w:r>
                </w:p>
              </w:tc>
              <w:tc>
                <w:tcPr>
                  <w:tcW w:w="1092" w:type="dxa"/>
                  <w:shd w:val="clear" w:color="auto" w:fill="auto"/>
                  <w:vAlign w:val="center"/>
                </w:tcPr>
                <w:p w14:paraId="705EC9F9">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60</w:t>
                  </w:r>
                </w:p>
              </w:tc>
            </w:tr>
            <w:tr w14:paraId="73F8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continue"/>
                  <w:shd w:val="clear" w:color="auto" w:fill="auto"/>
                  <w:vAlign w:val="center"/>
                </w:tcPr>
                <w:p w14:paraId="1B6DA67C">
                  <w:pPr>
                    <w:adjustRightInd w:val="0"/>
                    <w:snapToGrid w:val="0"/>
                    <w:jc w:val="center"/>
                    <w:rPr>
                      <w:szCs w:val="21"/>
                    </w:rPr>
                  </w:pPr>
                </w:p>
              </w:tc>
              <w:tc>
                <w:tcPr>
                  <w:tcW w:w="743" w:type="dxa"/>
                  <w:shd w:val="clear" w:color="auto" w:fill="auto"/>
                  <w:vAlign w:val="center"/>
                </w:tcPr>
                <w:p w14:paraId="3C192E61">
                  <w:pPr>
                    <w:adjustRightInd w:val="0"/>
                    <w:snapToGrid w:val="0"/>
                    <w:jc w:val="center"/>
                    <w:rPr>
                      <w:szCs w:val="21"/>
                    </w:rPr>
                  </w:pPr>
                  <w:r>
                    <w:rPr>
                      <w:rFonts w:hint="eastAsia"/>
                      <w:szCs w:val="21"/>
                    </w:rPr>
                    <w:t>废水</w:t>
                  </w:r>
                </w:p>
              </w:tc>
              <w:tc>
                <w:tcPr>
                  <w:tcW w:w="2171" w:type="dxa"/>
                  <w:shd w:val="clear" w:color="auto" w:fill="auto"/>
                  <w:vAlign w:val="center"/>
                </w:tcPr>
                <w:p w14:paraId="5B6E2079">
                  <w:pPr>
                    <w:adjustRightInd w:val="0"/>
                    <w:snapToGrid w:val="0"/>
                    <w:jc w:val="center"/>
                    <w:rPr>
                      <w:rFonts w:hint="default" w:eastAsia="宋体"/>
                      <w:szCs w:val="21"/>
                      <w:lang w:val="en-US" w:eastAsia="zh-CN"/>
                    </w:rPr>
                  </w:pPr>
                  <w:r>
                    <w:rPr>
                      <w:rFonts w:hint="eastAsia"/>
                      <w:szCs w:val="21"/>
                      <w:lang w:val="en-US" w:eastAsia="zh-CN"/>
                    </w:rPr>
                    <w:t>生产废水</w:t>
                  </w:r>
                </w:p>
              </w:tc>
              <w:tc>
                <w:tcPr>
                  <w:tcW w:w="3559" w:type="dxa"/>
                  <w:shd w:val="clear" w:color="auto" w:fill="auto"/>
                  <w:vAlign w:val="center"/>
                </w:tcPr>
                <w:p w14:paraId="4D04EEF8">
                  <w:pPr>
                    <w:adjustRightInd w:val="0"/>
                    <w:snapToGrid w:val="0"/>
                    <w:jc w:val="center"/>
                    <w:rPr>
                      <w:szCs w:val="21"/>
                    </w:rPr>
                  </w:pPr>
                  <w:r>
                    <w:rPr>
                      <w:rFonts w:hint="eastAsia"/>
                      <w:szCs w:val="21"/>
                    </w:rPr>
                    <w:t>均经管道收集进入盛隆厂区废水处理系统处理后回用，不外排</w:t>
                  </w:r>
                </w:p>
              </w:tc>
              <w:tc>
                <w:tcPr>
                  <w:tcW w:w="1092" w:type="dxa"/>
                  <w:shd w:val="clear" w:color="auto" w:fill="auto"/>
                  <w:vAlign w:val="center"/>
                </w:tcPr>
                <w:p w14:paraId="61942DCB">
                  <w:pPr>
                    <w:widowControl/>
                    <w:jc w:val="center"/>
                    <w:textAlignment w:val="center"/>
                    <w:rPr>
                      <w:szCs w:val="21"/>
                    </w:rPr>
                  </w:pPr>
                  <w:r>
                    <w:rPr>
                      <w:rFonts w:hint="eastAsia"/>
                      <w:color w:val="000000"/>
                      <w:kern w:val="0"/>
                      <w:szCs w:val="21"/>
                      <w:lang w:bidi="ar"/>
                    </w:rPr>
                    <w:t>15</w:t>
                  </w:r>
                </w:p>
              </w:tc>
            </w:tr>
            <w:tr w14:paraId="13F2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continue"/>
                  <w:shd w:val="clear" w:color="auto" w:fill="auto"/>
                  <w:vAlign w:val="center"/>
                </w:tcPr>
                <w:p w14:paraId="4B9E4729">
                  <w:pPr>
                    <w:adjustRightInd w:val="0"/>
                    <w:snapToGrid w:val="0"/>
                    <w:jc w:val="center"/>
                    <w:rPr>
                      <w:szCs w:val="21"/>
                    </w:rPr>
                  </w:pPr>
                </w:p>
              </w:tc>
              <w:tc>
                <w:tcPr>
                  <w:tcW w:w="743" w:type="dxa"/>
                  <w:shd w:val="clear" w:color="auto" w:fill="auto"/>
                  <w:vAlign w:val="center"/>
                </w:tcPr>
                <w:p w14:paraId="673DFC5F">
                  <w:pPr>
                    <w:adjustRightInd w:val="0"/>
                    <w:snapToGrid w:val="0"/>
                    <w:jc w:val="center"/>
                    <w:rPr>
                      <w:szCs w:val="21"/>
                    </w:rPr>
                  </w:pPr>
                  <w:r>
                    <w:rPr>
                      <w:rFonts w:hint="eastAsia"/>
                      <w:szCs w:val="21"/>
                    </w:rPr>
                    <w:t>噪声</w:t>
                  </w:r>
                </w:p>
              </w:tc>
              <w:tc>
                <w:tcPr>
                  <w:tcW w:w="2171" w:type="dxa"/>
                  <w:shd w:val="clear" w:color="auto" w:fill="auto"/>
                  <w:vAlign w:val="center"/>
                </w:tcPr>
                <w:p w14:paraId="4687BEE7">
                  <w:pPr>
                    <w:adjustRightInd w:val="0"/>
                    <w:snapToGrid w:val="0"/>
                    <w:jc w:val="center"/>
                    <w:rPr>
                      <w:szCs w:val="21"/>
                    </w:rPr>
                  </w:pPr>
                  <w:r>
                    <w:rPr>
                      <w:rFonts w:hint="eastAsia"/>
                      <w:szCs w:val="21"/>
                    </w:rPr>
                    <w:t>设备噪声</w:t>
                  </w:r>
                </w:p>
              </w:tc>
              <w:tc>
                <w:tcPr>
                  <w:tcW w:w="3559" w:type="dxa"/>
                  <w:shd w:val="clear" w:color="auto" w:fill="auto"/>
                  <w:vAlign w:val="center"/>
                </w:tcPr>
                <w:p w14:paraId="59D8C226">
                  <w:pPr>
                    <w:adjustRightInd w:val="0"/>
                    <w:snapToGrid w:val="0"/>
                    <w:jc w:val="center"/>
                    <w:rPr>
                      <w:szCs w:val="21"/>
                    </w:rPr>
                  </w:pPr>
                  <w:r>
                    <w:rPr>
                      <w:rFonts w:hint="eastAsia"/>
                      <w:szCs w:val="21"/>
                    </w:rPr>
                    <w:t>减震、隔声、消音</w:t>
                  </w:r>
                </w:p>
              </w:tc>
              <w:tc>
                <w:tcPr>
                  <w:tcW w:w="1092" w:type="dxa"/>
                  <w:shd w:val="clear" w:color="auto" w:fill="auto"/>
                  <w:vAlign w:val="center"/>
                </w:tcPr>
                <w:p w14:paraId="12C5C82F">
                  <w:pPr>
                    <w:widowControl/>
                    <w:jc w:val="center"/>
                    <w:textAlignment w:val="center"/>
                    <w:rPr>
                      <w:szCs w:val="21"/>
                    </w:rPr>
                  </w:pPr>
                  <w:r>
                    <w:rPr>
                      <w:rFonts w:hint="eastAsia"/>
                      <w:color w:val="000000"/>
                      <w:kern w:val="0"/>
                      <w:szCs w:val="21"/>
                      <w:lang w:bidi="ar"/>
                    </w:rPr>
                    <w:t>2</w:t>
                  </w:r>
                </w:p>
              </w:tc>
            </w:tr>
            <w:tr w14:paraId="0CF8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continue"/>
                  <w:shd w:val="clear" w:color="auto" w:fill="auto"/>
                  <w:vAlign w:val="center"/>
                </w:tcPr>
                <w:p w14:paraId="121269FF">
                  <w:pPr>
                    <w:adjustRightInd w:val="0"/>
                    <w:snapToGrid w:val="0"/>
                    <w:jc w:val="center"/>
                    <w:rPr>
                      <w:szCs w:val="21"/>
                    </w:rPr>
                  </w:pPr>
                </w:p>
              </w:tc>
              <w:tc>
                <w:tcPr>
                  <w:tcW w:w="743" w:type="dxa"/>
                  <w:vMerge w:val="restart"/>
                  <w:shd w:val="clear" w:color="auto" w:fill="auto"/>
                  <w:vAlign w:val="center"/>
                </w:tcPr>
                <w:p w14:paraId="6B945238">
                  <w:pPr>
                    <w:adjustRightInd w:val="0"/>
                    <w:snapToGrid w:val="0"/>
                    <w:jc w:val="center"/>
                    <w:rPr>
                      <w:szCs w:val="21"/>
                    </w:rPr>
                  </w:pPr>
                  <w:r>
                    <w:rPr>
                      <w:rFonts w:hint="eastAsia"/>
                      <w:szCs w:val="21"/>
                    </w:rPr>
                    <w:t>固体废物</w:t>
                  </w:r>
                </w:p>
              </w:tc>
              <w:tc>
                <w:tcPr>
                  <w:tcW w:w="2171" w:type="dxa"/>
                  <w:shd w:val="clear" w:color="auto" w:fill="auto"/>
                  <w:vAlign w:val="center"/>
                </w:tcPr>
                <w:p w14:paraId="034BF00E">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一般固废</w:t>
                  </w:r>
                </w:p>
              </w:tc>
              <w:tc>
                <w:tcPr>
                  <w:tcW w:w="3559" w:type="dxa"/>
                  <w:shd w:val="clear" w:color="auto" w:fill="auto"/>
                  <w:vAlign w:val="center"/>
                </w:tcPr>
                <w:p w14:paraId="57DE7606">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主要为</w:t>
                  </w:r>
                  <w:r>
                    <w:rPr>
                      <w:rFonts w:hint="eastAsia"/>
                      <w:szCs w:val="21"/>
                      <w:lang w:val="en-US" w:eastAsia="zh-CN"/>
                    </w:rPr>
                    <w:t>废耐火材料</w:t>
                  </w:r>
                  <w:r>
                    <w:rPr>
                      <w:rFonts w:hint="eastAsia"/>
                      <w:szCs w:val="21"/>
                    </w:rPr>
                    <w:t>，暂存定期外售</w:t>
                  </w:r>
                </w:p>
              </w:tc>
              <w:tc>
                <w:tcPr>
                  <w:tcW w:w="1092" w:type="dxa"/>
                  <w:shd w:val="clear" w:color="auto" w:fill="auto"/>
                  <w:vAlign w:val="center"/>
                </w:tcPr>
                <w:p w14:paraId="0B559A89">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color w:val="000000"/>
                      <w:kern w:val="0"/>
                      <w:szCs w:val="21"/>
                      <w:lang w:val="en-US" w:eastAsia="zh-CN" w:bidi="ar"/>
                    </w:rPr>
                    <w:t>1</w:t>
                  </w:r>
                </w:p>
              </w:tc>
            </w:tr>
            <w:tr w14:paraId="403D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3" w:type="dxa"/>
                  <w:vMerge w:val="continue"/>
                  <w:shd w:val="clear" w:color="auto" w:fill="auto"/>
                  <w:vAlign w:val="center"/>
                </w:tcPr>
                <w:p w14:paraId="737668E5">
                  <w:pPr>
                    <w:adjustRightInd w:val="0"/>
                    <w:snapToGrid w:val="0"/>
                    <w:jc w:val="center"/>
                    <w:rPr>
                      <w:szCs w:val="21"/>
                    </w:rPr>
                  </w:pPr>
                </w:p>
              </w:tc>
              <w:tc>
                <w:tcPr>
                  <w:tcW w:w="743" w:type="dxa"/>
                  <w:vMerge w:val="continue"/>
                  <w:shd w:val="clear" w:color="auto" w:fill="auto"/>
                  <w:vAlign w:val="center"/>
                </w:tcPr>
                <w:p w14:paraId="79D9DD5D">
                  <w:pPr>
                    <w:adjustRightInd w:val="0"/>
                    <w:snapToGrid w:val="0"/>
                    <w:jc w:val="center"/>
                    <w:rPr>
                      <w:szCs w:val="21"/>
                    </w:rPr>
                  </w:pPr>
                </w:p>
              </w:tc>
              <w:tc>
                <w:tcPr>
                  <w:tcW w:w="2171" w:type="dxa"/>
                  <w:shd w:val="clear" w:color="auto" w:fill="auto"/>
                  <w:vAlign w:val="center"/>
                </w:tcPr>
                <w:p w14:paraId="181380A7">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危险废物</w:t>
                  </w:r>
                </w:p>
              </w:tc>
              <w:tc>
                <w:tcPr>
                  <w:tcW w:w="3559" w:type="dxa"/>
                  <w:shd w:val="clear" w:color="auto" w:fill="auto"/>
                  <w:vAlign w:val="center"/>
                </w:tcPr>
                <w:p w14:paraId="40C9028D">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lang w:val="en-US" w:eastAsia="zh-CN"/>
                    </w:rPr>
                    <w:t>依托现有</w:t>
                  </w:r>
                  <w:r>
                    <w:rPr>
                      <w:rFonts w:hint="eastAsia"/>
                      <w:szCs w:val="21"/>
                    </w:rPr>
                    <w:t>危废间，暂存后定期交由资质单位处理</w:t>
                  </w:r>
                </w:p>
              </w:tc>
              <w:tc>
                <w:tcPr>
                  <w:tcW w:w="1092" w:type="dxa"/>
                  <w:shd w:val="clear" w:color="auto" w:fill="auto"/>
                  <w:vAlign w:val="center"/>
                </w:tcPr>
                <w:p w14:paraId="2627C362">
                  <w:pPr>
                    <w:widowControl/>
                    <w:jc w:val="center"/>
                    <w:textAlignment w:val="center"/>
                    <w:rPr>
                      <w:rFonts w:ascii="Times New Roman" w:hAnsi="Times New Roman" w:eastAsia="宋体" w:cs="Times New Roman"/>
                      <w:kern w:val="2"/>
                      <w:sz w:val="21"/>
                      <w:szCs w:val="21"/>
                      <w:lang w:val="en-US" w:eastAsia="zh-CN" w:bidi="ar-SA"/>
                    </w:rPr>
                  </w:pPr>
                  <w:r>
                    <w:rPr>
                      <w:rFonts w:hint="eastAsia"/>
                      <w:color w:val="000000"/>
                      <w:kern w:val="0"/>
                      <w:szCs w:val="21"/>
                      <w:lang w:bidi="ar"/>
                    </w:rPr>
                    <w:t>2</w:t>
                  </w:r>
                </w:p>
              </w:tc>
            </w:tr>
            <w:tr w14:paraId="5BEA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6" w:type="dxa"/>
                  <w:gridSpan w:val="4"/>
                  <w:shd w:val="clear" w:color="auto" w:fill="auto"/>
                  <w:vAlign w:val="center"/>
                </w:tcPr>
                <w:p w14:paraId="6673672C">
                  <w:pPr>
                    <w:adjustRightInd w:val="0"/>
                    <w:snapToGrid w:val="0"/>
                    <w:jc w:val="center"/>
                    <w:rPr>
                      <w:szCs w:val="21"/>
                    </w:rPr>
                  </w:pPr>
                  <w:r>
                    <w:rPr>
                      <w:rFonts w:hint="eastAsia"/>
                      <w:szCs w:val="21"/>
                    </w:rPr>
                    <w:t>总计</w:t>
                  </w:r>
                </w:p>
              </w:tc>
              <w:tc>
                <w:tcPr>
                  <w:tcW w:w="1092" w:type="dxa"/>
                  <w:shd w:val="clear" w:color="auto" w:fill="auto"/>
                  <w:vAlign w:val="center"/>
                </w:tcPr>
                <w:p w14:paraId="517EBA42">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133</w:t>
                  </w:r>
                </w:p>
              </w:tc>
            </w:tr>
          </w:tbl>
          <w:p w14:paraId="246A1075">
            <w:pPr>
              <w:spacing w:line="500" w:lineRule="exact"/>
              <w:ind w:firstLine="482"/>
              <w:rPr>
                <w:sz w:val="24"/>
              </w:rPr>
            </w:pPr>
          </w:p>
          <w:p w14:paraId="34441335">
            <w:pPr>
              <w:spacing w:line="500" w:lineRule="exact"/>
              <w:rPr>
                <w:sz w:val="24"/>
              </w:rPr>
            </w:pPr>
          </w:p>
          <w:p w14:paraId="36B774E3">
            <w:pPr>
              <w:spacing w:line="500" w:lineRule="exact"/>
              <w:rPr>
                <w:sz w:val="24"/>
              </w:rPr>
            </w:pPr>
          </w:p>
        </w:tc>
      </w:tr>
    </w:tbl>
    <w:p w14:paraId="2B2182A6">
      <w:pPr>
        <w:tabs>
          <w:tab w:val="left" w:pos="3225"/>
        </w:tabs>
        <w:spacing w:line="500" w:lineRule="exact"/>
        <w:rPr>
          <w:rFonts w:ascii="宋体" w:cs="宋体"/>
          <w:b/>
          <w:kern w:val="0"/>
          <w:sz w:val="28"/>
          <w:szCs w:val="28"/>
        </w:rPr>
      </w:pPr>
      <w:bookmarkStart w:id="7" w:name="_Toc66883323"/>
    </w:p>
    <w:p w14:paraId="08B5F6DA">
      <w:pPr>
        <w:widowControl/>
        <w:jc w:val="left"/>
        <w:rPr>
          <w:rFonts w:ascii="宋体" w:cs="宋体"/>
          <w:b/>
          <w:kern w:val="0"/>
          <w:sz w:val="28"/>
          <w:szCs w:val="28"/>
        </w:rPr>
      </w:pPr>
      <w:r>
        <w:rPr>
          <w:rFonts w:ascii="宋体" w:cs="宋体"/>
          <w:b/>
          <w:kern w:val="0"/>
          <w:sz w:val="28"/>
          <w:szCs w:val="28"/>
        </w:rPr>
        <w:br w:type="page"/>
      </w:r>
    </w:p>
    <w:p w14:paraId="0D93BBBC">
      <w:pPr>
        <w:tabs>
          <w:tab w:val="left" w:pos="3225"/>
        </w:tabs>
        <w:spacing w:line="500" w:lineRule="exact"/>
        <w:outlineLvl w:val="0"/>
        <w:rPr>
          <w:rFonts w:ascii="Calibri" w:hAnsi="Calibri" w:cs="Arial"/>
          <w:b/>
          <w:kern w:val="44"/>
          <w:sz w:val="28"/>
          <w:szCs w:val="28"/>
        </w:rPr>
      </w:pPr>
      <w:r>
        <w:rPr>
          <w:rFonts w:hint="eastAsia" w:ascii="Calibri" w:hAnsi="Calibri" w:cs="Arial"/>
          <w:b/>
          <w:kern w:val="44"/>
          <w:sz w:val="28"/>
          <w:szCs w:val="28"/>
        </w:rPr>
        <w:t>五、</w:t>
      </w:r>
      <w:bookmarkStart w:id="8" w:name="_Hlk54167917"/>
      <w:r>
        <w:rPr>
          <w:rFonts w:hint="eastAsia" w:ascii="Calibri" w:hAnsi="Calibri" w:cs="Arial"/>
          <w:b/>
          <w:kern w:val="44"/>
          <w:sz w:val="28"/>
          <w:szCs w:val="28"/>
        </w:rPr>
        <w:t>环境保护措施监督检查清单</w:t>
      </w:r>
      <w:bookmarkEnd w:id="7"/>
      <w:bookmarkEnd w:id="8"/>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807"/>
        <w:gridCol w:w="1244"/>
        <w:gridCol w:w="2010"/>
        <w:gridCol w:w="2169"/>
      </w:tblGrid>
      <w:tr w14:paraId="06BBB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tcBorders>
              <w:tl2br w:val="single" w:color="auto" w:sz="4" w:space="0"/>
            </w:tcBorders>
          </w:tcPr>
          <w:p w14:paraId="36423719">
            <w:pPr>
              <w:adjustRightInd w:val="0"/>
              <w:snapToGrid w:val="0"/>
              <w:ind w:firstLine="840"/>
              <w:rPr>
                <w:rFonts w:cs="宋体"/>
                <w:szCs w:val="21"/>
              </w:rPr>
            </w:pPr>
            <w:r>
              <w:rPr>
                <w:rFonts w:hint="eastAsia" w:cs="宋体"/>
                <w:szCs w:val="21"/>
              </w:rPr>
              <w:t>内容</w:t>
            </w:r>
          </w:p>
          <w:p w14:paraId="53DC136B">
            <w:pPr>
              <w:adjustRightInd w:val="0"/>
              <w:snapToGrid w:val="0"/>
              <w:rPr>
                <w:rFonts w:cs="宋体"/>
                <w:szCs w:val="21"/>
              </w:rPr>
            </w:pPr>
            <w:r>
              <w:rPr>
                <w:rFonts w:hint="eastAsia" w:cs="宋体"/>
                <w:szCs w:val="21"/>
              </w:rPr>
              <w:t>要素</w:t>
            </w:r>
          </w:p>
        </w:tc>
        <w:tc>
          <w:tcPr>
            <w:tcW w:w="1807" w:type="dxa"/>
            <w:vAlign w:val="center"/>
          </w:tcPr>
          <w:p w14:paraId="502BB84F">
            <w:pPr>
              <w:adjustRightInd w:val="0"/>
              <w:snapToGrid w:val="0"/>
              <w:jc w:val="center"/>
              <w:rPr>
                <w:rFonts w:cs="宋体"/>
                <w:szCs w:val="21"/>
              </w:rPr>
            </w:pPr>
            <w:r>
              <w:rPr>
                <w:rFonts w:hint="eastAsia" w:cs="宋体"/>
                <w:szCs w:val="21"/>
              </w:rPr>
              <w:t>排放口（编号、</w:t>
            </w:r>
          </w:p>
          <w:p w14:paraId="52CBC824">
            <w:pPr>
              <w:adjustRightInd w:val="0"/>
              <w:snapToGrid w:val="0"/>
              <w:jc w:val="center"/>
              <w:rPr>
                <w:rFonts w:cs="宋体"/>
                <w:szCs w:val="21"/>
              </w:rPr>
            </w:pPr>
            <w:r>
              <w:rPr>
                <w:rFonts w:hint="eastAsia" w:cs="宋体"/>
                <w:szCs w:val="21"/>
              </w:rPr>
              <w:t>名称）/污染源</w:t>
            </w:r>
          </w:p>
        </w:tc>
        <w:tc>
          <w:tcPr>
            <w:tcW w:w="1244" w:type="dxa"/>
            <w:vAlign w:val="center"/>
          </w:tcPr>
          <w:p w14:paraId="194C3FD8">
            <w:pPr>
              <w:adjustRightInd w:val="0"/>
              <w:snapToGrid w:val="0"/>
              <w:jc w:val="center"/>
              <w:rPr>
                <w:rFonts w:cs="宋体"/>
                <w:szCs w:val="21"/>
              </w:rPr>
            </w:pPr>
            <w:r>
              <w:rPr>
                <w:rFonts w:hint="eastAsia" w:cs="宋体"/>
                <w:szCs w:val="21"/>
              </w:rPr>
              <w:t>污染物项目</w:t>
            </w:r>
          </w:p>
        </w:tc>
        <w:tc>
          <w:tcPr>
            <w:tcW w:w="2010" w:type="dxa"/>
            <w:vAlign w:val="center"/>
          </w:tcPr>
          <w:p w14:paraId="2B561350">
            <w:pPr>
              <w:adjustRightInd w:val="0"/>
              <w:snapToGrid w:val="0"/>
              <w:jc w:val="center"/>
              <w:rPr>
                <w:rFonts w:cs="宋体"/>
                <w:szCs w:val="21"/>
              </w:rPr>
            </w:pPr>
            <w:r>
              <w:rPr>
                <w:rFonts w:hint="eastAsia" w:cs="宋体"/>
                <w:szCs w:val="21"/>
              </w:rPr>
              <w:t>环境保护措施</w:t>
            </w:r>
          </w:p>
        </w:tc>
        <w:tc>
          <w:tcPr>
            <w:tcW w:w="2169" w:type="dxa"/>
            <w:vAlign w:val="center"/>
          </w:tcPr>
          <w:p w14:paraId="135A4834">
            <w:pPr>
              <w:adjustRightInd w:val="0"/>
              <w:snapToGrid w:val="0"/>
              <w:jc w:val="center"/>
              <w:rPr>
                <w:rFonts w:cs="宋体"/>
                <w:szCs w:val="21"/>
              </w:rPr>
            </w:pPr>
            <w:r>
              <w:rPr>
                <w:rFonts w:hint="eastAsia" w:cs="宋体"/>
                <w:szCs w:val="21"/>
              </w:rPr>
              <w:t>执行标准</w:t>
            </w:r>
          </w:p>
        </w:tc>
      </w:tr>
      <w:tr w14:paraId="50742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Merge w:val="restart"/>
            <w:vAlign w:val="center"/>
          </w:tcPr>
          <w:p w14:paraId="3B4B73B2">
            <w:pPr>
              <w:adjustRightInd w:val="0"/>
              <w:snapToGrid w:val="0"/>
              <w:jc w:val="center"/>
              <w:rPr>
                <w:rFonts w:cs="宋体"/>
                <w:szCs w:val="21"/>
              </w:rPr>
            </w:pPr>
            <w:r>
              <w:rPr>
                <w:rFonts w:hint="eastAsia" w:cs="宋体"/>
                <w:szCs w:val="21"/>
              </w:rPr>
              <w:t>大气环境</w:t>
            </w:r>
          </w:p>
        </w:tc>
        <w:tc>
          <w:tcPr>
            <w:tcW w:w="1807" w:type="dxa"/>
            <w:shd w:val="clear" w:color="auto" w:fill="auto"/>
            <w:vAlign w:val="center"/>
          </w:tcPr>
          <w:p w14:paraId="662BFC51">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配料（上料、搅拌、</w:t>
            </w:r>
            <w:r>
              <w:rPr>
                <w:rFonts w:hint="eastAsia"/>
                <w:szCs w:val="21"/>
                <w:lang w:eastAsia="zh-CN"/>
              </w:rPr>
              <w:t>造球</w:t>
            </w:r>
            <w:r>
              <w:rPr>
                <w:rFonts w:hint="eastAsia"/>
                <w:szCs w:val="21"/>
              </w:rPr>
              <w:t>）</w:t>
            </w:r>
            <w:r>
              <w:rPr>
                <w:rFonts w:hint="eastAsia"/>
                <w:szCs w:val="21"/>
                <w:lang w:eastAsia="zh-CN"/>
              </w:rPr>
              <w:t>、</w:t>
            </w:r>
            <w:r>
              <w:rPr>
                <w:rFonts w:hint="eastAsia"/>
                <w:szCs w:val="21"/>
                <w:lang w:val="en-US" w:eastAsia="zh-CN"/>
              </w:rPr>
              <w:t>窑头窑尾粉尘</w:t>
            </w:r>
          </w:p>
        </w:tc>
        <w:tc>
          <w:tcPr>
            <w:tcW w:w="1244" w:type="dxa"/>
            <w:shd w:val="clear" w:color="auto" w:fill="auto"/>
            <w:vAlign w:val="center"/>
          </w:tcPr>
          <w:p w14:paraId="33484DFC">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颗粒物</w:t>
            </w:r>
          </w:p>
        </w:tc>
        <w:tc>
          <w:tcPr>
            <w:tcW w:w="2010" w:type="dxa"/>
            <w:shd w:val="clear" w:color="auto" w:fill="auto"/>
            <w:vAlign w:val="center"/>
          </w:tcPr>
          <w:p w14:paraId="1034283A">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集气罩+布袋除尘器+</w:t>
            </w:r>
            <w:r>
              <w:rPr>
                <w:rFonts w:hint="eastAsia"/>
                <w:szCs w:val="21"/>
                <w:lang w:val="en-US" w:eastAsia="zh-CN"/>
              </w:rPr>
              <w:t>26</w:t>
            </w:r>
            <w:r>
              <w:rPr>
                <w:rFonts w:hint="eastAsia"/>
                <w:szCs w:val="21"/>
              </w:rPr>
              <w:t>m高排气筒</w:t>
            </w:r>
          </w:p>
        </w:tc>
        <w:tc>
          <w:tcPr>
            <w:tcW w:w="2169" w:type="dxa"/>
            <w:vAlign w:val="center"/>
          </w:tcPr>
          <w:p w14:paraId="4D1711B7">
            <w:pPr>
              <w:adjustRightInd w:val="0"/>
              <w:snapToGrid w:val="0"/>
              <w:jc w:val="center"/>
              <w:rPr>
                <w:rFonts w:cs="宋体"/>
                <w:szCs w:val="21"/>
              </w:rPr>
            </w:pPr>
            <w:r>
              <w:rPr>
                <w:rFonts w:hint="eastAsia"/>
                <w:szCs w:val="21"/>
              </w:rPr>
              <w:t>《大气污染物综合排放标准》（GB16297-1996）</w:t>
            </w:r>
          </w:p>
        </w:tc>
      </w:tr>
      <w:tr w14:paraId="373EA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Merge w:val="continue"/>
            <w:vAlign w:val="center"/>
          </w:tcPr>
          <w:p w14:paraId="5853E142">
            <w:pPr>
              <w:adjustRightInd w:val="0"/>
              <w:snapToGrid w:val="0"/>
              <w:jc w:val="center"/>
              <w:rPr>
                <w:rFonts w:cs="宋体"/>
                <w:szCs w:val="21"/>
              </w:rPr>
            </w:pPr>
          </w:p>
        </w:tc>
        <w:tc>
          <w:tcPr>
            <w:tcW w:w="1807" w:type="dxa"/>
            <w:shd w:val="clear" w:color="auto" w:fill="auto"/>
            <w:vAlign w:val="center"/>
          </w:tcPr>
          <w:p w14:paraId="1724B4B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回转窑烟气</w:t>
            </w:r>
          </w:p>
        </w:tc>
        <w:tc>
          <w:tcPr>
            <w:tcW w:w="1244" w:type="dxa"/>
            <w:shd w:val="clear" w:color="auto" w:fill="auto"/>
            <w:vAlign w:val="center"/>
          </w:tcPr>
          <w:p w14:paraId="2C45C3D3">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rPr>
              <w:t>PM</w:t>
            </w:r>
            <w:r>
              <w:rPr>
                <w:rFonts w:hint="eastAsia"/>
                <w:szCs w:val="21"/>
                <w:vertAlign w:val="subscript"/>
              </w:rPr>
              <w:t>10</w:t>
            </w:r>
            <w:r>
              <w:rPr>
                <w:rFonts w:hint="eastAsia"/>
                <w:szCs w:val="21"/>
              </w:rPr>
              <w:t>、SO</w:t>
            </w:r>
            <w:r>
              <w:rPr>
                <w:rFonts w:hint="eastAsia"/>
                <w:szCs w:val="21"/>
                <w:vertAlign w:val="subscript"/>
              </w:rPr>
              <w:t>2</w:t>
            </w:r>
            <w:r>
              <w:rPr>
                <w:rFonts w:hint="eastAsia"/>
                <w:szCs w:val="21"/>
              </w:rPr>
              <w:t>、NO</w:t>
            </w:r>
            <w:r>
              <w:rPr>
                <w:rFonts w:hint="eastAsia"/>
                <w:szCs w:val="21"/>
                <w:vertAlign w:val="subscript"/>
              </w:rPr>
              <w:t>X</w:t>
            </w:r>
            <w:r>
              <w:rPr>
                <w:rFonts w:hint="eastAsia"/>
                <w:szCs w:val="21"/>
                <w:vertAlign w:val="baseline"/>
                <w:lang w:eastAsia="zh-CN"/>
              </w:rPr>
              <w:t>、</w:t>
            </w:r>
            <w:r>
              <w:rPr>
                <w:rFonts w:hint="eastAsia"/>
                <w:szCs w:val="21"/>
                <w:vertAlign w:val="baseline"/>
                <w:lang w:val="en-US" w:eastAsia="zh-CN"/>
              </w:rPr>
              <w:t>氟化物</w:t>
            </w:r>
          </w:p>
        </w:tc>
        <w:tc>
          <w:tcPr>
            <w:tcW w:w="2010" w:type="dxa"/>
            <w:shd w:val="clear" w:color="auto" w:fill="auto"/>
            <w:vAlign w:val="center"/>
          </w:tcPr>
          <w:p w14:paraId="07474B66">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布袋除尘器+</w:t>
            </w:r>
            <w:r>
              <w:rPr>
                <w:rFonts w:hint="eastAsia"/>
                <w:szCs w:val="21"/>
                <w:lang w:val="en-US" w:eastAsia="zh-CN"/>
              </w:rPr>
              <w:t>32</w:t>
            </w:r>
            <w:r>
              <w:rPr>
                <w:rFonts w:hint="eastAsia"/>
                <w:szCs w:val="21"/>
              </w:rPr>
              <w:t>m高排气筒</w:t>
            </w:r>
          </w:p>
        </w:tc>
        <w:tc>
          <w:tcPr>
            <w:tcW w:w="2169" w:type="dxa"/>
            <w:vAlign w:val="center"/>
          </w:tcPr>
          <w:p w14:paraId="6B220592">
            <w:pPr>
              <w:adjustRightInd w:val="0"/>
              <w:snapToGrid w:val="0"/>
              <w:jc w:val="center"/>
              <w:rPr>
                <w:rFonts w:hint="eastAsia" w:eastAsia="宋体" w:cs="宋体"/>
                <w:szCs w:val="21"/>
                <w:lang w:eastAsia="zh-CN"/>
              </w:rPr>
            </w:pPr>
            <w:r>
              <w:rPr>
                <w:rFonts w:hint="eastAsia"/>
                <w:szCs w:val="21"/>
              </w:rPr>
              <w:t>《无机化学工业污染物排放标准》（GB31573-2015）</w:t>
            </w:r>
          </w:p>
        </w:tc>
      </w:tr>
      <w:tr w14:paraId="7B431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Merge w:val="continue"/>
            <w:vAlign w:val="center"/>
          </w:tcPr>
          <w:p w14:paraId="0264D94A">
            <w:pPr>
              <w:adjustRightInd w:val="0"/>
              <w:snapToGrid w:val="0"/>
              <w:jc w:val="center"/>
              <w:rPr>
                <w:rFonts w:cs="宋体"/>
                <w:szCs w:val="21"/>
              </w:rPr>
            </w:pPr>
          </w:p>
        </w:tc>
        <w:tc>
          <w:tcPr>
            <w:tcW w:w="1807" w:type="dxa"/>
            <w:shd w:val="clear" w:color="auto" w:fill="auto"/>
            <w:vAlign w:val="center"/>
          </w:tcPr>
          <w:p w14:paraId="704DEA04">
            <w:pPr>
              <w:adjustRightInd w:val="0"/>
              <w:snapToGrid w:val="0"/>
              <w:jc w:val="center"/>
              <w:rPr>
                <w:rFonts w:hint="default"/>
                <w:szCs w:val="21"/>
                <w:lang w:val="en-US" w:eastAsia="zh-CN"/>
              </w:rPr>
            </w:pPr>
            <w:r>
              <w:rPr>
                <w:rFonts w:hint="eastAsia"/>
                <w:szCs w:val="21"/>
                <w:lang w:val="en-US" w:eastAsia="zh-CN"/>
              </w:rPr>
              <w:t>无组织废气</w:t>
            </w:r>
          </w:p>
        </w:tc>
        <w:tc>
          <w:tcPr>
            <w:tcW w:w="1244" w:type="dxa"/>
            <w:shd w:val="clear" w:color="auto" w:fill="auto"/>
            <w:vAlign w:val="center"/>
          </w:tcPr>
          <w:p w14:paraId="4F94BF6A">
            <w:pPr>
              <w:adjustRightInd w:val="0"/>
              <w:snapToGrid w:val="0"/>
              <w:jc w:val="center"/>
              <w:rPr>
                <w:rFonts w:hint="default" w:eastAsia="宋体"/>
                <w:szCs w:val="21"/>
                <w:lang w:val="en-US" w:eastAsia="zh-CN"/>
              </w:rPr>
            </w:pPr>
            <w:r>
              <w:rPr>
                <w:rFonts w:hint="eastAsia"/>
                <w:szCs w:val="21"/>
                <w:lang w:val="en-US" w:eastAsia="zh-CN"/>
              </w:rPr>
              <w:t>TSP</w:t>
            </w:r>
          </w:p>
        </w:tc>
        <w:tc>
          <w:tcPr>
            <w:tcW w:w="2010" w:type="dxa"/>
            <w:shd w:val="clear" w:color="auto" w:fill="auto"/>
            <w:vAlign w:val="center"/>
          </w:tcPr>
          <w:p w14:paraId="36B7F444">
            <w:pPr>
              <w:adjustRightInd w:val="0"/>
              <w:snapToGrid w:val="0"/>
              <w:jc w:val="center"/>
              <w:rPr>
                <w:rFonts w:hint="eastAsia" w:eastAsia="宋体"/>
                <w:szCs w:val="21"/>
                <w:lang w:val="en-US" w:eastAsia="zh-CN"/>
              </w:rPr>
            </w:pPr>
            <w:r>
              <w:rPr>
                <w:rFonts w:hint="eastAsia"/>
                <w:szCs w:val="21"/>
                <w:lang w:val="en-US" w:eastAsia="zh-CN"/>
              </w:rPr>
              <w:t>/</w:t>
            </w:r>
          </w:p>
        </w:tc>
        <w:tc>
          <w:tcPr>
            <w:tcW w:w="2169" w:type="dxa"/>
            <w:vAlign w:val="center"/>
          </w:tcPr>
          <w:p w14:paraId="58358999">
            <w:pPr>
              <w:adjustRightInd w:val="0"/>
              <w:snapToGrid w:val="0"/>
              <w:jc w:val="center"/>
              <w:rPr>
                <w:rFonts w:hint="eastAsia"/>
                <w:szCs w:val="21"/>
              </w:rPr>
            </w:pPr>
            <w:r>
              <w:rPr>
                <w:rFonts w:hint="eastAsia"/>
                <w:szCs w:val="21"/>
              </w:rPr>
              <w:t>《大气污染物综合排放标准》（GB16297-1996）</w:t>
            </w:r>
          </w:p>
        </w:tc>
      </w:tr>
      <w:tr w14:paraId="1101A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Align w:val="center"/>
          </w:tcPr>
          <w:p w14:paraId="24A580DC">
            <w:pPr>
              <w:adjustRightInd w:val="0"/>
              <w:snapToGrid w:val="0"/>
              <w:jc w:val="center"/>
              <w:rPr>
                <w:rFonts w:cs="宋体"/>
                <w:szCs w:val="21"/>
              </w:rPr>
            </w:pPr>
            <w:r>
              <w:rPr>
                <w:rFonts w:hint="eastAsia" w:cs="宋体"/>
                <w:szCs w:val="21"/>
              </w:rPr>
              <w:t>地表水环境</w:t>
            </w:r>
          </w:p>
        </w:tc>
        <w:tc>
          <w:tcPr>
            <w:tcW w:w="1807" w:type="dxa"/>
            <w:vAlign w:val="center"/>
          </w:tcPr>
          <w:p w14:paraId="3C09F73F">
            <w:pPr>
              <w:adjustRightInd w:val="0"/>
              <w:snapToGrid w:val="0"/>
              <w:jc w:val="center"/>
              <w:rPr>
                <w:rFonts w:cs="宋体"/>
                <w:szCs w:val="21"/>
              </w:rPr>
            </w:pPr>
            <w:r>
              <w:rPr>
                <w:rFonts w:hint="eastAsia" w:cs="宋体"/>
                <w:szCs w:val="21"/>
              </w:rPr>
              <w:t>无排放口</w:t>
            </w:r>
          </w:p>
        </w:tc>
        <w:tc>
          <w:tcPr>
            <w:tcW w:w="1244" w:type="dxa"/>
            <w:vAlign w:val="center"/>
          </w:tcPr>
          <w:p w14:paraId="665811F5">
            <w:pPr>
              <w:adjustRightInd w:val="0"/>
              <w:snapToGrid w:val="0"/>
              <w:jc w:val="center"/>
              <w:rPr>
                <w:rFonts w:cs="宋体"/>
                <w:szCs w:val="21"/>
              </w:rPr>
            </w:pPr>
            <w:r>
              <w:rPr>
                <w:rFonts w:hint="eastAsia" w:cs="宋体"/>
                <w:szCs w:val="21"/>
              </w:rPr>
              <w:t>—</w:t>
            </w:r>
          </w:p>
        </w:tc>
        <w:tc>
          <w:tcPr>
            <w:tcW w:w="2010" w:type="dxa"/>
            <w:vAlign w:val="center"/>
          </w:tcPr>
          <w:p w14:paraId="5F5F168F">
            <w:pPr>
              <w:adjustRightInd w:val="0"/>
              <w:snapToGrid w:val="0"/>
              <w:jc w:val="center"/>
              <w:rPr>
                <w:rFonts w:cs="宋体"/>
                <w:szCs w:val="21"/>
              </w:rPr>
            </w:pPr>
            <w:r>
              <w:rPr>
                <w:rFonts w:hint="eastAsia" w:cs="宋体"/>
                <w:szCs w:val="21"/>
              </w:rPr>
              <w:t>均经管道收集进入盛隆厂区废水处理系统处理后回用于各生产，不外排</w:t>
            </w:r>
          </w:p>
        </w:tc>
        <w:tc>
          <w:tcPr>
            <w:tcW w:w="2169" w:type="dxa"/>
            <w:vAlign w:val="center"/>
          </w:tcPr>
          <w:p w14:paraId="27A7816E">
            <w:pPr>
              <w:adjustRightInd w:val="0"/>
              <w:snapToGrid w:val="0"/>
              <w:jc w:val="center"/>
              <w:rPr>
                <w:rFonts w:cs="宋体"/>
                <w:szCs w:val="21"/>
              </w:rPr>
            </w:pPr>
            <w:r>
              <w:rPr>
                <w:rFonts w:hint="eastAsia" w:cs="宋体"/>
                <w:szCs w:val="21"/>
              </w:rPr>
              <w:t>—</w:t>
            </w:r>
          </w:p>
        </w:tc>
      </w:tr>
      <w:tr w14:paraId="0DEA1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Align w:val="center"/>
          </w:tcPr>
          <w:p w14:paraId="3415D37A">
            <w:pPr>
              <w:adjustRightInd w:val="0"/>
              <w:snapToGrid w:val="0"/>
              <w:jc w:val="center"/>
              <w:rPr>
                <w:rFonts w:cs="宋体"/>
                <w:szCs w:val="21"/>
              </w:rPr>
            </w:pPr>
            <w:r>
              <w:rPr>
                <w:rFonts w:hint="eastAsia" w:cs="宋体"/>
                <w:szCs w:val="21"/>
              </w:rPr>
              <w:t>声环境</w:t>
            </w:r>
          </w:p>
        </w:tc>
        <w:tc>
          <w:tcPr>
            <w:tcW w:w="1807" w:type="dxa"/>
            <w:vAlign w:val="center"/>
          </w:tcPr>
          <w:p w14:paraId="38E526B6">
            <w:pPr>
              <w:adjustRightInd w:val="0"/>
              <w:snapToGrid w:val="0"/>
              <w:jc w:val="center"/>
              <w:rPr>
                <w:rFonts w:cs="宋体"/>
                <w:szCs w:val="21"/>
              </w:rPr>
            </w:pPr>
            <w:r>
              <w:rPr>
                <w:rFonts w:hint="eastAsia" w:cs="宋体"/>
                <w:szCs w:val="21"/>
              </w:rPr>
              <w:t>设备噪声</w:t>
            </w:r>
          </w:p>
        </w:tc>
        <w:tc>
          <w:tcPr>
            <w:tcW w:w="1244" w:type="dxa"/>
            <w:vAlign w:val="center"/>
          </w:tcPr>
          <w:p w14:paraId="503A8676">
            <w:pPr>
              <w:adjustRightInd w:val="0"/>
              <w:snapToGrid w:val="0"/>
              <w:jc w:val="center"/>
              <w:rPr>
                <w:rFonts w:cs="宋体"/>
                <w:szCs w:val="21"/>
              </w:rPr>
            </w:pPr>
            <w:r>
              <w:rPr>
                <w:rFonts w:hint="eastAsia" w:cs="宋体"/>
                <w:szCs w:val="21"/>
              </w:rPr>
              <w:t>噪声</w:t>
            </w:r>
          </w:p>
        </w:tc>
        <w:tc>
          <w:tcPr>
            <w:tcW w:w="2010" w:type="dxa"/>
            <w:vAlign w:val="center"/>
          </w:tcPr>
          <w:p w14:paraId="752D6A4C">
            <w:pPr>
              <w:adjustRightInd w:val="0"/>
              <w:snapToGrid w:val="0"/>
              <w:jc w:val="center"/>
              <w:rPr>
                <w:rFonts w:cs="宋体"/>
                <w:szCs w:val="21"/>
              </w:rPr>
            </w:pPr>
            <w:r>
              <w:rPr>
                <w:rFonts w:hint="eastAsia" w:cs="宋体"/>
                <w:szCs w:val="21"/>
              </w:rPr>
              <w:t>减震、隔声、消音</w:t>
            </w:r>
          </w:p>
        </w:tc>
        <w:tc>
          <w:tcPr>
            <w:tcW w:w="2169" w:type="dxa"/>
            <w:vAlign w:val="center"/>
          </w:tcPr>
          <w:p w14:paraId="0F3B669E">
            <w:pPr>
              <w:keepNext w:val="0"/>
              <w:keepLines w:val="0"/>
              <w:pageBreakBefore w:val="0"/>
              <w:widowControl w:val="0"/>
              <w:kinsoku/>
              <w:wordWrap w:val="0"/>
              <w:overflowPunct/>
              <w:topLinePunct w:val="0"/>
              <w:autoSpaceDE/>
              <w:autoSpaceDN/>
              <w:bidi w:val="0"/>
              <w:adjustRightInd w:val="0"/>
              <w:snapToGrid w:val="0"/>
              <w:jc w:val="center"/>
              <w:textAlignment w:val="auto"/>
              <w:rPr>
                <w:rFonts w:cs="宋体"/>
                <w:szCs w:val="21"/>
              </w:rPr>
            </w:pPr>
            <w:r>
              <w:rPr>
                <w:rFonts w:hint="eastAsia"/>
              </w:rPr>
              <w:t>南、</w:t>
            </w:r>
            <w:r>
              <w:rPr>
                <w:rFonts w:hint="eastAsia"/>
                <w:lang w:val="en-US" w:eastAsia="zh-CN"/>
              </w:rPr>
              <w:t>西</w:t>
            </w:r>
            <w:r>
              <w:rPr>
                <w:rFonts w:hint="eastAsia"/>
              </w:rPr>
              <w:t>面厂界噪声执行（GB12348-2008）3类标准；</w:t>
            </w:r>
            <w:r>
              <w:rPr>
                <w:rFonts w:hint="eastAsia"/>
                <w:lang w:val="en-US" w:eastAsia="zh-CN"/>
              </w:rPr>
              <w:t>东、北</w:t>
            </w:r>
            <w:r>
              <w:rPr>
                <w:rFonts w:hint="eastAsia"/>
              </w:rPr>
              <w:t>面噪声执行（GB12348-20084类标准</w:t>
            </w:r>
          </w:p>
        </w:tc>
      </w:tr>
      <w:tr w14:paraId="19D7E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Align w:val="center"/>
          </w:tcPr>
          <w:p w14:paraId="4D24FC6D">
            <w:pPr>
              <w:adjustRightInd w:val="0"/>
              <w:snapToGrid w:val="0"/>
              <w:jc w:val="center"/>
              <w:rPr>
                <w:rFonts w:cs="宋体"/>
                <w:szCs w:val="21"/>
              </w:rPr>
            </w:pPr>
            <w:r>
              <w:rPr>
                <w:rFonts w:hint="eastAsia" w:cs="宋体"/>
                <w:szCs w:val="21"/>
              </w:rPr>
              <w:t>电磁辐射</w:t>
            </w:r>
          </w:p>
        </w:tc>
        <w:tc>
          <w:tcPr>
            <w:tcW w:w="1807" w:type="dxa"/>
            <w:vAlign w:val="center"/>
          </w:tcPr>
          <w:p w14:paraId="3597391A">
            <w:pPr>
              <w:adjustRightInd w:val="0"/>
              <w:snapToGrid w:val="0"/>
              <w:jc w:val="center"/>
              <w:rPr>
                <w:rFonts w:cs="宋体"/>
                <w:szCs w:val="21"/>
              </w:rPr>
            </w:pPr>
            <w:r>
              <w:rPr>
                <w:rFonts w:hint="eastAsia" w:cs="宋体"/>
                <w:szCs w:val="21"/>
              </w:rPr>
              <w:t>/</w:t>
            </w:r>
          </w:p>
        </w:tc>
        <w:tc>
          <w:tcPr>
            <w:tcW w:w="1244" w:type="dxa"/>
            <w:vAlign w:val="center"/>
          </w:tcPr>
          <w:p w14:paraId="3BB306AF">
            <w:pPr>
              <w:adjustRightInd w:val="0"/>
              <w:snapToGrid w:val="0"/>
              <w:jc w:val="center"/>
              <w:rPr>
                <w:rFonts w:cs="宋体"/>
                <w:szCs w:val="21"/>
              </w:rPr>
            </w:pPr>
            <w:r>
              <w:rPr>
                <w:rFonts w:hint="eastAsia" w:cs="宋体"/>
                <w:szCs w:val="21"/>
              </w:rPr>
              <w:t>/</w:t>
            </w:r>
          </w:p>
        </w:tc>
        <w:tc>
          <w:tcPr>
            <w:tcW w:w="2010" w:type="dxa"/>
            <w:vAlign w:val="center"/>
          </w:tcPr>
          <w:p w14:paraId="2B98AFC3">
            <w:pPr>
              <w:adjustRightInd w:val="0"/>
              <w:snapToGrid w:val="0"/>
              <w:jc w:val="center"/>
              <w:rPr>
                <w:rFonts w:cs="宋体"/>
                <w:szCs w:val="21"/>
              </w:rPr>
            </w:pPr>
            <w:r>
              <w:rPr>
                <w:rFonts w:hint="eastAsia" w:cs="宋体"/>
                <w:szCs w:val="21"/>
              </w:rPr>
              <w:t>/</w:t>
            </w:r>
          </w:p>
        </w:tc>
        <w:tc>
          <w:tcPr>
            <w:tcW w:w="2169" w:type="dxa"/>
            <w:vAlign w:val="center"/>
          </w:tcPr>
          <w:p w14:paraId="4DBE727C">
            <w:pPr>
              <w:adjustRightInd w:val="0"/>
              <w:snapToGrid w:val="0"/>
              <w:jc w:val="center"/>
              <w:rPr>
                <w:rFonts w:cs="宋体"/>
                <w:szCs w:val="21"/>
              </w:rPr>
            </w:pPr>
            <w:r>
              <w:rPr>
                <w:rFonts w:hint="eastAsia" w:cs="宋体"/>
                <w:szCs w:val="21"/>
              </w:rPr>
              <w:t>/</w:t>
            </w:r>
          </w:p>
        </w:tc>
      </w:tr>
      <w:tr w14:paraId="6CF48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Align w:val="center"/>
          </w:tcPr>
          <w:p w14:paraId="16C2BB67">
            <w:pPr>
              <w:adjustRightInd w:val="0"/>
              <w:snapToGrid w:val="0"/>
              <w:jc w:val="center"/>
              <w:rPr>
                <w:rFonts w:cs="宋体"/>
                <w:szCs w:val="21"/>
              </w:rPr>
            </w:pPr>
            <w:r>
              <w:rPr>
                <w:rFonts w:hint="eastAsia" w:cs="宋体"/>
                <w:szCs w:val="21"/>
              </w:rPr>
              <w:t>固体废物</w:t>
            </w:r>
          </w:p>
        </w:tc>
        <w:tc>
          <w:tcPr>
            <w:tcW w:w="7230" w:type="dxa"/>
            <w:gridSpan w:val="4"/>
            <w:vAlign w:val="center"/>
          </w:tcPr>
          <w:p w14:paraId="004910F1">
            <w:pPr>
              <w:autoSpaceDE w:val="0"/>
              <w:autoSpaceDN w:val="0"/>
              <w:adjustRightInd w:val="0"/>
            </w:pPr>
            <w:r>
              <w:rPr>
                <w:rFonts w:hint="eastAsia"/>
              </w:rPr>
              <w:t>本项目</w:t>
            </w:r>
            <w:r>
              <w:rPr>
                <w:rFonts w:hint="eastAsia"/>
                <w:lang w:val="en-US" w:eastAsia="zh-CN"/>
              </w:rPr>
              <w:t>窑渣</w:t>
            </w:r>
            <w:r>
              <w:rPr>
                <w:rFonts w:hint="eastAsia"/>
              </w:rPr>
              <w:t>收集后</w:t>
            </w:r>
            <w:r>
              <w:rPr>
                <w:rFonts w:hint="eastAsia"/>
                <w:lang w:val="en-US" w:eastAsia="zh-CN"/>
              </w:rPr>
              <w:t>回用于厂区炼钢工序</w:t>
            </w:r>
            <w:r>
              <w:rPr>
                <w:rFonts w:hint="eastAsia"/>
              </w:rPr>
              <w:t>；</w:t>
            </w:r>
            <w:r>
              <w:rPr>
                <w:rFonts w:hint="eastAsia"/>
                <w:lang w:val="en-US" w:eastAsia="zh-CN"/>
              </w:rPr>
              <w:t>废耐火材料收集后外售回收商综合利用</w:t>
            </w:r>
            <w:r>
              <w:rPr>
                <w:rFonts w:hint="eastAsia"/>
              </w:rPr>
              <w:t>；废油、</w:t>
            </w:r>
            <w:r>
              <w:rPr>
                <w:rFonts w:hint="eastAsia"/>
                <w:lang w:val="en-US" w:eastAsia="zh-CN"/>
              </w:rPr>
              <w:t>废含油抹布</w:t>
            </w:r>
            <w:r>
              <w:rPr>
                <w:rFonts w:hint="eastAsia"/>
              </w:rPr>
              <w:t>等危险固废暂存于厂内危废暂存间定期交由有资质单位处理，同时记录台账表。</w:t>
            </w:r>
          </w:p>
        </w:tc>
      </w:tr>
      <w:tr w14:paraId="0FF95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Align w:val="center"/>
          </w:tcPr>
          <w:p w14:paraId="474B1DEC">
            <w:pPr>
              <w:adjustRightInd w:val="0"/>
              <w:snapToGrid w:val="0"/>
              <w:jc w:val="center"/>
              <w:rPr>
                <w:rFonts w:cs="宋体"/>
                <w:szCs w:val="21"/>
              </w:rPr>
            </w:pPr>
            <w:r>
              <w:rPr>
                <w:rFonts w:hint="eastAsia" w:cs="宋体"/>
                <w:szCs w:val="21"/>
              </w:rPr>
              <w:t>土壤及地下水</w:t>
            </w:r>
          </w:p>
          <w:p w14:paraId="4EAA2F8C">
            <w:pPr>
              <w:adjustRightInd w:val="0"/>
              <w:snapToGrid w:val="0"/>
              <w:jc w:val="center"/>
              <w:rPr>
                <w:rFonts w:cs="宋体"/>
                <w:szCs w:val="21"/>
              </w:rPr>
            </w:pPr>
            <w:r>
              <w:rPr>
                <w:rFonts w:hint="eastAsia" w:cs="宋体"/>
                <w:szCs w:val="21"/>
              </w:rPr>
              <w:t>污染防治措施</w:t>
            </w:r>
          </w:p>
        </w:tc>
        <w:tc>
          <w:tcPr>
            <w:tcW w:w="7230" w:type="dxa"/>
            <w:gridSpan w:val="4"/>
            <w:vAlign w:val="center"/>
          </w:tcPr>
          <w:p w14:paraId="21B92D96">
            <w:pPr>
              <w:adjustRightInd w:val="0"/>
              <w:snapToGrid w:val="0"/>
              <w:jc w:val="left"/>
              <w:rPr>
                <w:rFonts w:hAnsi="宋体"/>
                <w:szCs w:val="21"/>
              </w:rPr>
            </w:pPr>
            <w:r>
              <w:rPr>
                <w:rFonts w:hint="eastAsia" w:hAnsi="宋体"/>
                <w:szCs w:val="21"/>
              </w:rPr>
              <w:t>①源头控制措施，严格产品的运输、存储管理，防止漏撒；</w:t>
            </w:r>
          </w:p>
          <w:p w14:paraId="4D712CCA">
            <w:pPr>
              <w:adjustRightInd w:val="0"/>
              <w:snapToGrid w:val="0"/>
              <w:jc w:val="left"/>
              <w:rPr>
                <w:rFonts w:hAnsi="宋体"/>
                <w:szCs w:val="21"/>
              </w:rPr>
            </w:pPr>
            <w:r>
              <w:rPr>
                <w:rFonts w:hint="eastAsia" w:hAnsi="宋体"/>
                <w:szCs w:val="21"/>
              </w:rPr>
              <w:t>②完善雨、污收集设施，对项目厂区内可能产生污染和泄漏下渗的场地进</w:t>
            </w:r>
          </w:p>
          <w:p w14:paraId="0D9D6AA9">
            <w:pPr>
              <w:adjustRightInd w:val="0"/>
              <w:snapToGrid w:val="0"/>
              <w:jc w:val="left"/>
              <w:rPr>
                <w:rFonts w:hAnsi="宋体"/>
                <w:szCs w:val="21"/>
              </w:rPr>
            </w:pPr>
            <w:r>
              <w:rPr>
                <w:rFonts w:hint="eastAsia" w:hAnsi="宋体"/>
                <w:szCs w:val="21"/>
              </w:rPr>
              <w:t>行防渗处理；对污水管道、储存及处理构筑物采取控制措施，防止污染物</w:t>
            </w:r>
          </w:p>
          <w:p w14:paraId="0D4ACE06">
            <w:pPr>
              <w:adjustRightInd w:val="0"/>
              <w:snapToGrid w:val="0"/>
              <w:jc w:val="left"/>
              <w:rPr>
                <w:rFonts w:hAnsi="宋体"/>
                <w:szCs w:val="21"/>
              </w:rPr>
            </w:pPr>
            <w:r>
              <w:rPr>
                <w:rFonts w:hint="eastAsia" w:hAnsi="宋体"/>
                <w:szCs w:val="21"/>
              </w:rPr>
              <w:t>的跑、冒、滴、漏，对地上管道、阀门严格质量管理，如发现问题，应及</w:t>
            </w:r>
          </w:p>
          <w:p w14:paraId="39578E5D">
            <w:pPr>
              <w:adjustRightInd w:val="0"/>
              <w:snapToGrid w:val="0"/>
              <w:jc w:val="left"/>
              <w:rPr>
                <w:rFonts w:hAnsi="宋体"/>
                <w:szCs w:val="21"/>
              </w:rPr>
            </w:pPr>
            <w:r>
              <w:rPr>
                <w:rFonts w:hint="eastAsia" w:hAnsi="宋体"/>
                <w:szCs w:val="21"/>
              </w:rPr>
              <w:t>时处理；</w:t>
            </w:r>
          </w:p>
          <w:p w14:paraId="11234D94">
            <w:pPr>
              <w:adjustRightInd w:val="0"/>
              <w:snapToGrid w:val="0"/>
              <w:rPr>
                <w:rFonts w:cs="宋体"/>
                <w:szCs w:val="21"/>
              </w:rPr>
            </w:pPr>
            <w:r>
              <w:rPr>
                <w:rFonts w:hint="eastAsia" w:hAnsi="宋体"/>
                <w:szCs w:val="21"/>
              </w:rPr>
              <w:t>③日常检查与定时维护废气处理设备。</w:t>
            </w:r>
          </w:p>
        </w:tc>
      </w:tr>
      <w:tr w14:paraId="24E4B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Align w:val="center"/>
          </w:tcPr>
          <w:p w14:paraId="250B8D7F">
            <w:pPr>
              <w:adjustRightInd w:val="0"/>
              <w:snapToGrid w:val="0"/>
              <w:jc w:val="center"/>
              <w:rPr>
                <w:rFonts w:cs="宋体"/>
                <w:szCs w:val="21"/>
              </w:rPr>
            </w:pPr>
            <w:r>
              <w:rPr>
                <w:rFonts w:hint="eastAsia" w:cs="宋体"/>
                <w:szCs w:val="21"/>
              </w:rPr>
              <w:t>生态保护措施</w:t>
            </w:r>
          </w:p>
        </w:tc>
        <w:tc>
          <w:tcPr>
            <w:tcW w:w="7230" w:type="dxa"/>
            <w:gridSpan w:val="4"/>
            <w:vAlign w:val="center"/>
          </w:tcPr>
          <w:p w14:paraId="2A31EBB9">
            <w:pPr>
              <w:adjustRightInd w:val="0"/>
              <w:snapToGrid w:val="0"/>
              <w:jc w:val="center"/>
              <w:rPr>
                <w:rFonts w:cs="宋体"/>
                <w:szCs w:val="21"/>
              </w:rPr>
            </w:pPr>
            <w:r>
              <w:rPr>
                <w:rFonts w:hint="eastAsia" w:cs="宋体"/>
                <w:szCs w:val="21"/>
              </w:rPr>
              <w:t>/</w:t>
            </w:r>
          </w:p>
        </w:tc>
      </w:tr>
      <w:tr w14:paraId="06BD7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Align w:val="center"/>
          </w:tcPr>
          <w:p w14:paraId="5A9C2788">
            <w:pPr>
              <w:adjustRightInd w:val="0"/>
              <w:snapToGrid w:val="0"/>
              <w:jc w:val="center"/>
              <w:rPr>
                <w:rFonts w:cs="宋体"/>
                <w:spacing w:val="-8"/>
                <w:szCs w:val="21"/>
              </w:rPr>
            </w:pPr>
            <w:r>
              <w:rPr>
                <w:rFonts w:hint="eastAsia" w:cs="宋体"/>
                <w:spacing w:val="-8"/>
                <w:szCs w:val="21"/>
              </w:rPr>
              <w:t>环境风险</w:t>
            </w:r>
          </w:p>
          <w:p w14:paraId="65D0DB32">
            <w:pPr>
              <w:adjustRightInd w:val="0"/>
              <w:snapToGrid w:val="0"/>
              <w:jc w:val="center"/>
              <w:rPr>
                <w:rFonts w:cs="宋体"/>
                <w:spacing w:val="-8"/>
                <w:szCs w:val="21"/>
              </w:rPr>
            </w:pPr>
            <w:r>
              <w:rPr>
                <w:rFonts w:hint="eastAsia" w:cs="宋体"/>
                <w:spacing w:val="-8"/>
                <w:szCs w:val="21"/>
              </w:rPr>
              <w:t>防范措施</w:t>
            </w:r>
          </w:p>
        </w:tc>
        <w:tc>
          <w:tcPr>
            <w:tcW w:w="7230" w:type="dxa"/>
            <w:gridSpan w:val="4"/>
            <w:vAlign w:val="center"/>
          </w:tcPr>
          <w:p w14:paraId="603A2441">
            <w:pPr>
              <w:adjustRightInd w:val="0"/>
              <w:snapToGrid w:val="0"/>
              <w:jc w:val="left"/>
            </w:pPr>
            <w:r>
              <w:t>1、制定环境风险应急预案，认真贯彻、层层落实预案中提出的应急措施，定期开展环境风险事故应急处理演练；</w:t>
            </w:r>
          </w:p>
          <w:p w14:paraId="471CA01B">
            <w:pPr>
              <w:adjustRightInd w:val="0"/>
              <w:snapToGrid w:val="0"/>
              <w:jc w:val="left"/>
            </w:pPr>
            <w:r>
              <w:t>2、加强员工的思想、道德教育，提高员工的责任心和主观能动性，提高员</w:t>
            </w:r>
          </w:p>
          <w:p w14:paraId="5E5AA8D4">
            <w:pPr>
              <w:adjustRightInd w:val="0"/>
              <w:snapToGrid w:val="0"/>
              <w:jc w:val="left"/>
            </w:pPr>
            <w:r>
              <w:t>工素质，增强安全意识；</w:t>
            </w:r>
          </w:p>
          <w:p w14:paraId="6EC326BB">
            <w:pPr>
              <w:adjustRightInd w:val="0"/>
              <w:snapToGrid w:val="0"/>
              <w:jc w:val="left"/>
            </w:pPr>
            <w:r>
              <w:t>3、定期或不定期检查贮存容器等设备，防止跑、冒、漏现象出现；</w:t>
            </w:r>
          </w:p>
          <w:p w14:paraId="4FE5F9AB">
            <w:pPr>
              <w:autoSpaceDE w:val="0"/>
              <w:autoSpaceDN w:val="0"/>
              <w:adjustRightInd w:val="0"/>
              <w:jc w:val="left"/>
              <w:rPr>
                <w:kern w:val="0"/>
              </w:rPr>
            </w:pPr>
            <w:r>
              <w:t>4、发生突发情况，废油、</w:t>
            </w:r>
            <w:r>
              <w:rPr>
                <w:rFonts w:hint="eastAsia"/>
                <w:lang w:val="en-US" w:eastAsia="zh-CN"/>
              </w:rPr>
              <w:t>煤气</w:t>
            </w:r>
            <w:r>
              <w:t>等发生泄漏时，</w:t>
            </w:r>
            <w:r>
              <w:rPr>
                <w:rFonts w:hint="eastAsia"/>
              </w:rPr>
              <w:t>应</w:t>
            </w:r>
            <w:r>
              <w:t>立刻采取措施，控制泄漏物进入外环境。</w:t>
            </w:r>
          </w:p>
        </w:tc>
      </w:tr>
      <w:tr w14:paraId="17329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0" w:type="dxa"/>
            <w:vAlign w:val="center"/>
          </w:tcPr>
          <w:p w14:paraId="706F957F">
            <w:pPr>
              <w:adjustRightInd w:val="0"/>
              <w:snapToGrid w:val="0"/>
              <w:jc w:val="center"/>
              <w:rPr>
                <w:rFonts w:cs="宋体"/>
                <w:spacing w:val="-8"/>
                <w:szCs w:val="21"/>
              </w:rPr>
            </w:pPr>
            <w:r>
              <w:rPr>
                <w:rFonts w:hint="eastAsia" w:cs="宋体"/>
                <w:spacing w:val="-8"/>
                <w:szCs w:val="21"/>
              </w:rPr>
              <w:t>其他环境</w:t>
            </w:r>
          </w:p>
          <w:p w14:paraId="665F4260">
            <w:pPr>
              <w:adjustRightInd w:val="0"/>
              <w:snapToGrid w:val="0"/>
              <w:jc w:val="center"/>
              <w:rPr>
                <w:rFonts w:cs="宋体"/>
                <w:spacing w:val="-8"/>
                <w:szCs w:val="21"/>
              </w:rPr>
            </w:pPr>
            <w:r>
              <w:rPr>
                <w:rFonts w:hint="eastAsia" w:cs="宋体"/>
                <w:spacing w:val="-8"/>
                <w:szCs w:val="21"/>
              </w:rPr>
              <w:t>管理要求</w:t>
            </w:r>
          </w:p>
        </w:tc>
        <w:tc>
          <w:tcPr>
            <w:tcW w:w="7230" w:type="dxa"/>
            <w:gridSpan w:val="4"/>
            <w:vAlign w:val="center"/>
          </w:tcPr>
          <w:p w14:paraId="5ACB1E09">
            <w:pPr>
              <w:adjustRightInd w:val="0"/>
              <w:snapToGrid w:val="0"/>
              <w:jc w:val="left"/>
            </w:pPr>
            <w:r>
              <w:rPr>
                <w:rFonts w:hint="eastAsia"/>
              </w:rPr>
              <w:t>根据《建设项目竣工环境保护验收暂行办法》的规定，建设项目竣工后，建设单位应当如实查验、监测、记载建设项目环境保护设施的建设和调试情况，编制验收监测报告表。</w:t>
            </w:r>
          </w:p>
        </w:tc>
      </w:tr>
    </w:tbl>
    <w:p w14:paraId="0925FA0C">
      <w:pPr>
        <w:tabs>
          <w:tab w:val="left" w:pos="3225"/>
        </w:tabs>
        <w:spacing w:line="500" w:lineRule="exact"/>
        <w:outlineLvl w:val="0"/>
        <w:rPr>
          <w:rFonts w:ascii="黑体" w:hAnsi="黑体" w:eastAsia="黑体"/>
          <w:snapToGrid w:val="0"/>
          <w:sz w:val="30"/>
          <w:szCs w:val="30"/>
        </w:rPr>
      </w:pPr>
      <w:r>
        <w:rPr>
          <w:snapToGrid w:val="0"/>
        </w:rPr>
        <w:br w:type="page"/>
      </w:r>
      <w:bookmarkStart w:id="9" w:name="_Toc66883324"/>
      <w:r>
        <w:rPr>
          <w:rFonts w:hint="eastAsia" w:ascii="Calibri" w:hAnsi="Calibri" w:cs="Arial"/>
          <w:b/>
          <w:kern w:val="44"/>
          <w:sz w:val="28"/>
          <w:szCs w:val="28"/>
        </w:rPr>
        <w:t>六、结论</w:t>
      </w:r>
      <w:bookmarkEnd w:id="9"/>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F374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727D3F55">
            <w:pPr>
              <w:adjustRightInd w:val="0"/>
              <w:snapToGrid w:val="0"/>
              <w:spacing w:line="500" w:lineRule="exact"/>
              <w:ind w:firstLine="470" w:firstLineChars="196"/>
              <w:rPr>
                <w:sz w:val="24"/>
              </w:rPr>
            </w:pPr>
            <w:r>
              <w:rPr>
                <w:rFonts w:hint="eastAsia"/>
                <w:sz w:val="24"/>
              </w:rPr>
              <w:t>综上所述，本项目的建设符合国家产业政策，符合用地规划、行业规范，且选址合理，只要该项目认真贯彻执行好国家现行的各项环境保护法规、法令、标准，严格落实切实有效的污染防治和生态保护措施，保证各污染治理设施稳定高效运行，确保各污染物长期稳定达标排放，确保工程对各环境保护目标不造成干扰，则在此基础上该项目建设在环境保护方面是可行的。</w:t>
            </w:r>
          </w:p>
          <w:p w14:paraId="4C56FC84">
            <w:pPr>
              <w:spacing w:line="360" w:lineRule="auto"/>
              <w:rPr>
                <w:rFonts w:ascii="宋体" w:cs="宋体"/>
                <w:sz w:val="24"/>
              </w:rPr>
            </w:pPr>
          </w:p>
        </w:tc>
      </w:tr>
    </w:tbl>
    <w:p w14:paraId="487F7F2C">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C6863A3">
      <w:pPr>
        <w:tabs>
          <w:tab w:val="left" w:pos="3225"/>
        </w:tabs>
        <w:spacing w:line="500" w:lineRule="exact"/>
        <w:outlineLvl w:val="0"/>
        <w:rPr>
          <w:rFonts w:ascii="Calibri" w:hAnsi="Calibri" w:cs="Arial"/>
          <w:b/>
          <w:kern w:val="44"/>
          <w:sz w:val="28"/>
          <w:szCs w:val="28"/>
        </w:rPr>
      </w:pPr>
      <w:bookmarkStart w:id="10" w:name="_Toc66883325"/>
      <w:r>
        <w:rPr>
          <w:rFonts w:hint="eastAsia" w:ascii="Calibri" w:hAnsi="Calibri" w:cs="Arial"/>
          <w:b/>
          <w:kern w:val="44"/>
          <w:sz w:val="28"/>
          <w:szCs w:val="28"/>
        </w:rPr>
        <w:t>附表</w:t>
      </w:r>
      <w:bookmarkEnd w:id="10"/>
    </w:p>
    <w:p w14:paraId="7882FC20">
      <w:pPr>
        <w:tabs>
          <w:tab w:val="left" w:pos="3225"/>
        </w:tabs>
        <w:spacing w:line="500" w:lineRule="exact"/>
        <w:jc w:val="center"/>
        <w:outlineLvl w:val="0"/>
        <w:rPr>
          <w:b/>
          <w:kern w:val="44"/>
          <w:sz w:val="28"/>
          <w:szCs w:val="28"/>
        </w:rPr>
      </w:pPr>
      <w:bookmarkStart w:id="11" w:name="_Toc66883326"/>
      <w:r>
        <w:rPr>
          <w:b/>
          <w:kern w:val="44"/>
          <w:sz w:val="28"/>
          <w:szCs w:val="28"/>
        </w:rPr>
        <w:t>建设项目污染物排放量汇总表</w:t>
      </w:r>
      <w:bookmarkEnd w:id="11"/>
      <w:r>
        <w:rPr>
          <w:b/>
          <w:kern w:val="44"/>
          <w:sz w:val="28"/>
          <w:szCs w:val="28"/>
        </w:rPr>
        <w:t xml:space="preserve">       单位：t/a</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25"/>
        <w:gridCol w:w="1525"/>
        <w:gridCol w:w="1250"/>
        <w:gridCol w:w="1664"/>
        <w:gridCol w:w="1525"/>
        <w:gridCol w:w="1722"/>
        <w:gridCol w:w="1605"/>
        <w:gridCol w:w="1121"/>
      </w:tblGrid>
      <w:tr w14:paraId="1DACE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tcBorders>
              <w:tl2br w:val="single" w:color="auto" w:sz="4" w:space="0"/>
            </w:tcBorders>
            <w:tcMar>
              <w:left w:w="28" w:type="dxa"/>
              <w:right w:w="28" w:type="dxa"/>
            </w:tcMar>
            <w:vAlign w:val="center"/>
          </w:tcPr>
          <w:p w14:paraId="7EFB2BDF">
            <w:pPr>
              <w:pStyle w:val="38"/>
              <w:spacing w:beforeLines="0" w:afterLines="0" w:line="240" w:lineRule="auto"/>
              <w:jc w:val="right"/>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项目</w:t>
            </w:r>
          </w:p>
          <w:p w14:paraId="3D65D8F1">
            <w:pPr>
              <w:pStyle w:val="38"/>
              <w:spacing w:beforeLines="0" w:afterLines="0" w:line="240" w:lineRule="auto"/>
              <w:jc w:val="left"/>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分类</w:t>
            </w:r>
          </w:p>
        </w:tc>
        <w:tc>
          <w:tcPr>
            <w:tcW w:w="1525" w:type="dxa"/>
            <w:tcMar>
              <w:left w:w="28" w:type="dxa"/>
              <w:right w:w="28" w:type="dxa"/>
            </w:tcMar>
            <w:vAlign w:val="center"/>
          </w:tcPr>
          <w:p w14:paraId="391B3194">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污染物名称</w:t>
            </w:r>
          </w:p>
        </w:tc>
        <w:tc>
          <w:tcPr>
            <w:tcW w:w="1525" w:type="dxa"/>
            <w:tcMar>
              <w:left w:w="28" w:type="dxa"/>
              <w:right w:w="28" w:type="dxa"/>
            </w:tcMar>
            <w:vAlign w:val="center"/>
          </w:tcPr>
          <w:p w14:paraId="6C801BD7">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现有工程</w:t>
            </w:r>
          </w:p>
          <w:p w14:paraId="76480262">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排放量（固体废物产生量）</w:t>
            </w:r>
            <w:r>
              <w:rPr>
                <w:rFonts w:ascii="Times New Roman" w:eastAsiaTheme="minorEastAsia"/>
                <w:snapToGrid w:val="0"/>
                <w:color w:val="000000"/>
                <w:spacing w:val="-6"/>
                <w:kern w:val="21"/>
                <w:szCs w:val="21"/>
              </w:rPr>
              <w:fldChar w:fldCharType="begin"/>
            </w:r>
            <w:r>
              <w:rPr>
                <w:rFonts w:ascii="Times New Roman" w:eastAsiaTheme="minorEastAsia"/>
                <w:snapToGrid w:val="0"/>
                <w:color w:val="000000"/>
                <w:spacing w:val="-6"/>
                <w:kern w:val="21"/>
                <w:szCs w:val="21"/>
              </w:rPr>
              <w:instrText xml:space="preserve"> = 1 \* GB3 \* MERGEFORMAT </w:instrText>
            </w:r>
            <w:r>
              <w:rPr>
                <w:rFonts w:ascii="Times New Roman" w:eastAsiaTheme="minorEastAsia"/>
                <w:snapToGrid w:val="0"/>
                <w:color w:val="000000"/>
                <w:spacing w:val="-6"/>
                <w:kern w:val="21"/>
                <w:szCs w:val="21"/>
              </w:rPr>
              <w:fldChar w:fldCharType="separate"/>
            </w:r>
            <w:r>
              <w:rPr>
                <w:rFonts w:hint="eastAsia" w:hAnsi="宋体" w:cs="宋体"/>
                <w:kern w:val="2"/>
                <w:szCs w:val="21"/>
              </w:rPr>
              <w:t>①</w:t>
            </w:r>
            <w:r>
              <w:rPr>
                <w:rFonts w:ascii="Times New Roman" w:eastAsiaTheme="minorEastAsia"/>
                <w:snapToGrid w:val="0"/>
                <w:color w:val="000000"/>
                <w:spacing w:val="-6"/>
                <w:kern w:val="21"/>
                <w:szCs w:val="21"/>
              </w:rPr>
              <w:fldChar w:fldCharType="end"/>
            </w:r>
          </w:p>
        </w:tc>
        <w:tc>
          <w:tcPr>
            <w:tcW w:w="1250" w:type="dxa"/>
            <w:tcMar>
              <w:left w:w="28" w:type="dxa"/>
              <w:right w:w="28" w:type="dxa"/>
            </w:tcMar>
            <w:vAlign w:val="center"/>
          </w:tcPr>
          <w:p w14:paraId="2A0C10DF">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现有工程</w:t>
            </w:r>
          </w:p>
          <w:p w14:paraId="3122E253">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许可排放量</w:t>
            </w:r>
          </w:p>
          <w:p w14:paraId="4274D923">
            <w:pPr>
              <w:pStyle w:val="38"/>
              <w:spacing w:beforeLines="0" w:afterLines="0"/>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fldChar w:fldCharType="begin"/>
            </w:r>
            <w:r>
              <w:rPr>
                <w:rFonts w:ascii="Times New Roman" w:eastAsiaTheme="minorEastAsia"/>
                <w:snapToGrid w:val="0"/>
                <w:color w:val="000000"/>
                <w:spacing w:val="-6"/>
                <w:kern w:val="21"/>
                <w:szCs w:val="21"/>
              </w:rPr>
              <w:instrText xml:space="preserve"> = 2 \* GB3 \* MERGEFORMAT </w:instrText>
            </w:r>
            <w:r>
              <w:rPr>
                <w:rFonts w:ascii="Times New Roman" w:eastAsiaTheme="minorEastAsia"/>
                <w:snapToGrid w:val="0"/>
                <w:color w:val="000000"/>
                <w:spacing w:val="-6"/>
                <w:kern w:val="21"/>
                <w:szCs w:val="21"/>
              </w:rPr>
              <w:fldChar w:fldCharType="separate"/>
            </w:r>
            <w:r>
              <w:rPr>
                <w:rFonts w:hint="eastAsia" w:hAnsi="宋体" w:cs="宋体"/>
                <w:snapToGrid w:val="0"/>
                <w:color w:val="000000"/>
                <w:spacing w:val="-6"/>
                <w:kern w:val="21"/>
                <w:szCs w:val="21"/>
              </w:rPr>
              <w:t>②</w:t>
            </w:r>
            <w:r>
              <w:rPr>
                <w:rFonts w:ascii="Times New Roman" w:eastAsiaTheme="minorEastAsia"/>
                <w:snapToGrid w:val="0"/>
                <w:color w:val="000000"/>
                <w:spacing w:val="-6"/>
                <w:kern w:val="21"/>
                <w:szCs w:val="21"/>
              </w:rPr>
              <w:fldChar w:fldCharType="end"/>
            </w:r>
          </w:p>
        </w:tc>
        <w:tc>
          <w:tcPr>
            <w:tcW w:w="1664" w:type="dxa"/>
            <w:tcMar>
              <w:left w:w="28" w:type="dxa"/>
              <w:right w:w="28" w:type="dxa"/>
            </w:tcMar>
            <w:vAlign w:val="center"/>
          </w:tcPr>
          <w:p w14:paraId="271D969B">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在建工程</w:t>
            </w:r>
          </w:p>
          <w:p w14:paraId="00397DA0">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排放量（固体废物产生量）</w:t>
            </w:r>
            <w:r>
              <w:rPr>
                <w:rFonts w:ascii="Times New Roman" w:eastAsiaTheme="minorEastAsia"/>
                <w:snapToGrid w:val="0"/>
                <w:color w:val="000000"/>
                <w:spacing w:val="-6"/>
                <w:kern w:val="21"/>
                <w:szCs w:val="21"/>
              </w:rPr>
              <w:fldChar w:fldCharType="begin"/>
            </w:r>
            <w:r>
              <w:rPr>
                <w:rFonts w:ascii="Times New Roman" w:eastAsiaTheme="minorEastAsia"/>
                <w:snapToGrid w:val="0"/>
                <w:color w:val="000000"/>
                <w:spacing w:val="-6"/>
                <w:kern w:val="21"/>
                <w:szCs w:val="21"/>
              </w:rPr>
              <w:instrText xml:space="preserve"> = 3 \* GB3 \* MERGEFORMAT </w:instrText>
            </w:r>
            <w:r>
              <w:rPr>
                <w:rFonts w:ascii="Times New Roman" w:eastAsiaTheme="minorEastAsia"/>
                <w:snapToGrid w:val="0"/>
                <w:color w:val="000000"/>
                <w:spacing w:val="-6"/>
                <w:kern w:val="21"/>
                <w:szCs w:val="21"/>
              </w:rPr>
              <w:fldChar w:fldCharType="separate"/>
            </w:r>
            <w:r>
              <w:rPr>
                <w:rFonts w:hint="eastAsia" w:hAnsi="宋体" w:cs="宋体"/>
                <w:kern w:val="2"/>
                <w:szCs w:val="21"/>
              </w:rPr>
              <w:t>③</w:t>
            </w:r>
            <w:r>
              <w:rPr>
                <w:rFonts w:ascii="Times New Roman" w:eastAsiaTheme="minorEastAsia"/>
                <w:snapToGrid w:val="0"/>
                <w:color w:val="000000"/>
                <w:spacing w:val="-6"/>
                <w:kern w:val="21"/>
                <w:szCs w:val="21"/>
              </w:rPr>
              <w:fldChar w:fldCharType="end"/>
            </w:r>
          </w:p>
        </w:tc>
        <w:tc>
          <w:tcPr>
            <w:tcW w:w="1525" w:type="dxa"/>
            <w:tcMar>
              <w:left w:w="28" w:type="dxa"/>
              <w:right w:w="28" w:type="dxa"/>
            </w:tcMar>
            <w:vAlign w:val="center"/>
          </w:tcPr>
          <w:p w14:paraId="5A6A72CF">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本项目</w:t>
            </w:r>
          </w:p>
          <w:p w14:paraId="51B6FBF8">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排放量（固体废物产生量）</w:t>
            </w:r>
            <w:r>
              <w:rPr>
                <w:rFonts w:ascii="Times New Roman" w:eastAsiaTheme="minorEastAsia"/>
                <w:snapToGrid w:val="0"/>
                <w:color w:val="000000"/>
                <w:spacing w:val="-6"/>
                <w:kern w:val="21"/>
                <w:szCs w:val="21"/>
              </w:rPr>
              <w:fldChar w:fldCharType="begin"/>
            </w:r>
            <w:r>
              <w:rPr>
                <w:rFonts w:ascii="Times New Roman" w:eastAsiaTheme="minorEastAsia"/>
                <w:snapToGrid w:val="0"/>
                <w:color w:val="000000"/>
                <w:spacing w:val="-6"/>
                <w:kern w:val="21"/>
                <w:szCs w:val="21"/>
              </w:rPr>
              <w:instrText xml:space="preserve"> = 4 \* GB3 \* MERGEFORMAT </w:instrText>
            </w:r>
            <w:r>
              <w:rPr>
                <w:rFonts w:ascii="Times New Roman" w:eastAsiaTheme="minorEastAsia"/>
                <w:snapToGrid w:val="0"/>
                <w:color w:val="000000"/>
                <w:spacing w:val="-6"/>
                <w:kern w:val="21"/>
                <w:szCs w:val="21"/>
              </w:rPr>
              <w:fldChar w:fldCharType="separate"/>
            </w:r>
            <w:r>
              <w:rPr>
                <w:rFonts w:hint="eastAsia" w:hAnsi="宋体" w:cs="宋体"/>
                <w:kern w:val="2"/>
                <w:szCs w:val="21"/>
              </w:rPr>
              <w:t>④</w:t>
            </w:r>
            <w:r>
              <w:rPr>
                <w:rFonts w:ascii="Times New Roman" w:eastAsiaTheme="minorEastAsia"/>
                <w:snapToGrid w:val="0"/>
                <w:color w:val="000000"/>
                <w:spacing w:val="-6"/>
                <w:kern w:val="21"/>
                <w:szCs w:val="21"/>
              </w:rPr>
              <w:fldChar w:fldCharType="end"/>
            </w:r>
          </w:p>
        </w:tc>
        <w:tc>
          <w:tcPr>
            <w:tcW w:w="1722" w:type="dxa"/>
            <w:tcMar>
              <w:left w:w="28" w:type="dxa"/>
              <w:right w:w="28" w:type="dxa"/>
            </w:tcMar>
            <w:vAlign w:val="center"/>
          </w:tcPr>
          <w:p w14:paraId="6D691F16">
            <w:pPr>
              <w:pStyle w:val="38"/>
              <w:spacing w:beforeLines="0" w:afterLines="0" w:line="240" w:lineRule="auto"/>
              <w:rPr>
                <w:rFonts w:ascii="Times New Roman" w:eastAsiaTheme="minorEastAsia"/>
                <w:snapToGrid w:val="0"/>
                <w:color w:val="000000"/>
                <w:spacing w:val="-16"/>
                <w:kern w:val="21"/>
                <w:szCs w:val="21"/>
              </w:rPr>
            </w:pPr>
            <w:r>
              <w:rPr>
                <w:rFonts w:ascii="Times New Roman" w:eastAsiaTheme="minorEastAsia"/>
                <w:snapToGrid w:val="0"/>
                <w:color w:val="000000"/>
                <w:spacing w:val="-16"/>
                <w:kern w:val="21"/>
                <w:szCs w:val="21"/>
              </w:rPr>
              <w:t>以新带老削减量</w:t>
            </w:r>
          </w:p>
          <w:p w14:paraId="26D03506">
            <w:pPr>
              <w:pStyle w:val="38"/>
              <w:spacing w:beforeLines="0" w:afterLines="0" w:line="240" w:lineRule="auto"/>
              <w:rPr>
                <w:rFonts w:ascii="Times New Roman" w:eastAsiaTheme="minorEastAsia"/>
                <w:snapToGrid w:val="0"/>
                <w:color w:val="000000"/>
                <w:spacing w:val="-16"/>
                <w:kern w:val="21"/>
                <w:szCs w:val="21"/>
              </w:rPr>
            </w:pPr>
            <w:r>
              <w:rPr>
                <w:rFonts w:ascii="Times New Roman" w:eastAsiaTheme="minorEastAsia"/>
                <w:snapToGrid w:val="0"/>
                <w:color w:val="000000"/>
                <w:spacing w:val="-16"/>
                <w:kern w:val="21"/>
                <w:szCs w:val="21"/>
              </w:rPr>
              <w:t>（新建项目不填）</w:t>
            </w:r>
            <w:r>
              <w:rPr>
                <w:rFonts w:ascii="Times New Roman" w:eastAsiaTheme="minorEastAsia"/>
                <w:snapToGrid w:val="0"/>
                <w:color w:val="000000"/>
                <w:spacing w:val="-16"/>
                <w:kern w:val="21"/>
                <w:szCs w:val="21"/>
              </w:rPr>
              <w:fldChar w:fldCharType="begin"/>
            </w:r>
            <w:r>
              <w:rPr>
                <w:rFonts w:ascii="Times New Roman" w:eastAsiaTheme="minorEastAsia"/>
                <w:snapToGrid w:val="0"/>
                <w:color w:val="000000"/>
                <w:spacing w:val="-16"/>
                <w:kern w:val="21"/>
                <w:szCs w:val="21"/>
              </w:rPr>
              <w:instrText xml:space="preserve"> = 5 \* GB3 \* MERGEFORMAT </w:instrText>
            </w:r>
            <w:r>
              <w:rPr>
                <w:rFonts w:ascii="Times New Roman" w:eastAsiaTheme="minorEastAsia"/>
                <w:snapToGrid w:val="0"/>
                <w:color w:val="000000"/>
                <w:spacing w:val="-16"/>
                <w:kern w:val="21"/>
                <w:szCs w:val="21"/>
              </w:rPr>
              <w:fldChar w:fldCharType="separate"/>
            </w:r>
            <w:r>
              <w:rPr>
                <w:rFonts w:hint="eastAsia" w:hAnsi="宋体" w:cs="宋体"/>
                <w:kern w:val="2"/>
                <w:szCs w:val="21"/>
              </w:rPr>
              <w:t>⑤</w:t>
            </w:r>
            <w:r>
              <w:rPr>
                <w:rFonts w:ascii="Times New Roman" w:eastAsiaTheme="minorEastAsia"/>
                <w:snapToGrid w:val="0"/>
                <w:color w:val="000000"/>
                <w:spacing w:val="-16"/>
                <w:kern w:val="21"/>
                <w:szCs w:val="21"/>
              </w:rPr>
              <w:fldChar w:fldCharType="end"/>
            </w:r>
          </w:p>
        </w:tc>
        <w:tc>
          <w:tcPr>
            <w:tcW w:w="1605" w:type="dxa"/>
            <w:tcMar>
              <w:left w:w="28" w:type="dxa"/>
              <w:right w:w="28" w:type="dxa"/>
            </w:tcMar>
            <w:vAlign w:val="center"/>
          </w:tcPr>
          <w:p w14:paraId="127791D1">
            <w:pPr>
              <w:pStyle w:val="38"/>
              <w:spacing w:beforeLines="0" w:afterLines="0" w:line="240" w:lineRule="auto"/>
              <w:rPr>
                <w:rFonts w:ascii="Times New Roman" w:eastAsiaTheme="minorEastAsia"/>
                <w:snapToGrid w:val="0"/>
                <w:color w:val="000000"/>
                <w:spacing w:val="-16"/>
                <w:kern w:val="21"/>
                <w:szCs w:val="21"/>
              </w:rPr>
            </w:pPr>
            <w:r>
              <w:rPr>
                <w:rFonts w:ascii="Times New Roman" w:eastAsiaTheme="minorEastAsia"/>
                <w:snapToGrid w:val="0"/>
                <w:color w:val="000000"/>
                <w:spacing w:val="-16"/>
                <w:kern w:val="21"/>
                <w:szCs w:val="21"/>
              </w:rPr>
              <w:t>本项目建成后</w:t>
            </w:r>
          </w:p>
          <w:p w14:paraId="37BF461A">
            <w:pPr>
              <w:pStyle w:val="38"/>
              <w:spacing w:beforeLines="0" w:afterLines="0" w:line="240" w:lineRule="auto"/>
              <w:rPr>
                <w:rFonts w:ascii="Times New Roman" w:eastAsiaTheme="minorEastAsia"/>
                <w:snapToGrid w:val="0"/>
                <w:color w:val="000000"/>
                <w:spacing w:val="-16"/>
                <w:kern w:val="21"/>
                <w:szCs w:val="21"/>
              </w:rPr>
            </w:pPr>
            <w:r>
              <w:rPr>
                <w:rFonts w:ascii="Times New Roman" w:eastAsiaTheme="minorEastAsia"/>
                <w:snapToGrid w:val="0"/>
                <w:color w:val="000000"/>
                <w:spacing w:val="-16"/>
                <w:kern w:val="21"/>
                <w:szCs w:val="21"/>
              </w:rPr>
              <w:t>全厂排放量（固体废物产生量）</w:t>
            </w:r>
            <w:r>
              <w:rPr>
                <w:rFonts w:ascii="Times New Roman" w:eastAsiaTheme="minorEastAsia"/>
                <w:snapToGrid w:val="0"/>
                <w:color w:val="000000"/>
                <w:spacing w:val="-16"/>
                <w:kern w:val="21"/>
                <w:szCs w:val="21"/>
              </w:rPr>
              <w:fldChar w:fldCharType="begin"/>
            </w:r>
            <w:r>
              <w:rPr>
                <w:rFonts w:ascii="Times New Roman" w:eastAsiaTheme="minorEastAsia"/>
                <w:snapToGrid w:val="0"/>
                <w:color w:val="000000"/>
                <w:spacing w:val="-16"/>
                <w:kern w:val="21"/>
                <w:szCs w:val="21"/>
              </w:rPr>
              <w:instrText xml:space="preserve"> = 6 \* GB3 \* MERGEFORMAT </w:instrText>
            </w:r>
            <w:r>
              <w:rPr>
                <w:rFonts w:ascii="Times New Roman" w:eastAsiaTheme="minorEastAsia"/>
                <w:snapToGrid w:val="0"/>
                <w:color w:val="000000"/>
                <w:spacing w:val="-16"/>
                <w:kern w:val="21"/>
                <w:szCs w:val="21"/>
              </w:rPr>
              <w:fldChar w:fldCharType="separate"/>
            </w:r>
            <w:r>
              <w:rPr>
                <w:rFonts w:hint="eastAsia" w:hAnsi="宋体" w:cs="宋体"/>
                <w:kern w:val="2"/>
                <w:szCs w:val="21"/>
              </w:rPr>
              <w:t>⑥</w:t>
            </w:r>
            <w:r>
              <w:rPr>
                <w:rFonts w:ascii="Times New Roman" w:eastAsiaTheme="minorEastAsia"/>
                <w:snapToGrid w:val="0"/>
                <w:color w:val="000000"/>
                <w:spacing w:val="-16"/>
                <w:kern w:val="21"/>
                <w:szCs w:val="21"/>
              </w:rPr>
              <w:fldChar w:fldCharType="end"/>
            </w:r>
          </w:p>
        </w:tc>
        <w:tc>
          <w:tcPr>
            <w:tcW w:w="1121" w:type="dxa"/>
            <w:tcMar>
              <w:left w:w="28" w:type="dxa"/>
              <w:right w:w="28" w:type="dxa"/>
            </w:tcMar>
            <w:vAlign w:val="center"/>
          </w:tcPr>
          <w:p w14:paraId="7EC94CE9">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t>变化量</w:t>
            </w:r>
          </w:p>
          <w:p w14:paraId="75E1FC2D">
            <w:pPr>
              <w:pStyle w:val="38"/>
              <w:spacing w:beforeLines="0" w:afterLines="0" w:line="240" w:lineRule="auto"/>
              <w:rPr>
                <w:rFonts w:ascii="Times New Roman" w:eastAsiaTheme="minorEastAsia"/>
                <w:snapToGrid w:val="0"/>
                <w:color w:val="000000"/>
                <w:spacing w:val="-6"/>
                <w:kern w:val="21"/>
                <w:szCs w:val="21"/>
              </w:rPr>
            </w:pPr>
            <w:r>
              <w:rPr>
                <w:rFonts w:ascii="Times New Roman" w:eastAsiaTheme="minorEastAsia"/>
                <w:snapToGrid w:val="0"/>
                <w:color w:val="000000"/>
                <w:spacing w:val="-6"/>
                <w:kern w:val="21"/>
                <w:szCs w:val="21"/>
              </w:rPr>
              <w:fldChar w:fldCharType="begin"/>
            </w:r>
            <w:r>
              <w:rPr>
                <w:rFonts w:ascii="Times New Roman" w:eastAsiaTheme="minorEastAsia"/>
                <w:snapToGrid w:val="0"/>
                <w:color w:val="000000"/>
                <w:spacing w:val="-6"/>
                <w:kern w:val="21"/>
                <w:szCs w:val="21"/>
              </w:rPr>
              <w:instrText xml:space="preserve"> = 7 \* GB3 \* MERGEFORMAT </w:instrText>
            </w:r>
            <w:r>
              <w:rPr>
                <w:rFonts w:ascii="Times New Roman" w:eastAsiaTheme="minorEastAsia"/>
                <w:snapToGrid w:val="0"/>
                <w:color w:val="000000"/>
                <w:spacing w:val="-6"/>
                <w:kern w:val="21"/>
                <w:szCs w:val="21"/>
              </w:rPr>
              <w:fldChar w:fldCharType="separate"/>
            </w:r>
            <w:r>
              <w:rPr>
                <w:rFonts w:hint="eastAsia" w:hAnsi="宋体" w:cs="宋体"/>
                <w:kern w:val="2"/>
                <w:szCs w:val="21"/>
              </w:rPr>
              <w:t>⑦</w:t>
            </w:r>
            <w:r>
              <w:rPr>
                <w:rFonts w:ascii="Times New Roman" w:eastAsiaTheme="minorEastAsia"/>
                <w:snapToGrid w:val="0"/>
                <w:color w:val="000000"/>
                <w:spacing w:val="-6"/>
                <w:kern w:val="21"/>
                <w:szCs w:val="21"/>
              </w:rPr>
              <w:fldChar w:fldCharType="end"/>
            </w:r>
          </w:p>
        </w:tc>
      </w:tr>
      <w:tr w14:paraId="674B8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restart"/>
            <w:vAlign w:val="center"/>
          </w:tcPr>
          <w:p w14:paraId="165D7B97">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废气</w:t>
            </w:r>
          </w:p>
        </w:tc>
        <w:tc>
          <w:tcPr>
            <w:tcW w:w="1525" w:type="dxa"/>
            <w:vAlign w:val="center"/>
          </w:tcPr>
          <w:p w14:paraId="5779616F">
            <w:pPr>
              <w:spacing w:line="240" w:lineRule="exact"/>
              <w:jc w:val="center"/>
              <w:rPr>
                <w:szCs w:val="21"/>
              </w:rPr>
            </w:pPr>
            <w:r>
              <w:rPr>
                <w:szCs w:val="21"/>
              </w:rPr>
              <w:t>颗粒物</w:t>
            </w:r>
          </w:p>
        </w:tc>
        <w:tc>
          <w:tcPr>
            <w:tcW w:w="1525" w:type="dxa"/>
            <w:shd w:val="clear" w:color="auto" w:fill="auto"/>
            <w:vAlign w:val="center"/>
          </w:tcPr>
          <w:p w14:paraId="66D46F59">
            <w:pPr>
              <w:spacing w:line="240" w:lineRule="exact"/>
              <w:jc w:val="center"/>
              <w:rPr>
                <w:rFonts w:ascii="Times New Roman" w:hAnsi="Times New Roman" w:eastAsia="宋体" w:cs="Times New Roman"/>
                <w:color w:val="auto"/>
                <w:kern w:val="2"/>
                <w:sz w:val="21"/>
                <w:szCs w:val="21"/>
                <w:lang w:val="en-US" w:eastAsia="zh-CN" w:bidi="ar-SA"/>
              </w:rPr>
            </w:pPr>
            <w:r>
              <w:rPr>
                <w:color w:val="auto"/>
                <w:szCs w:val="21"/>
              </w:rPr>
              <w:t>3512.729</w:t>
            </w:r>
          </w:p>
        </w:tc>
        <w:tc>
          <w:tcPr>
            <w:tcW w:w="1250" w:type="dxa"/>
            <w:vAlign w:val="center"/>
          </w:tcPr>
          <w:p w14:paraId="5676FA96">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4062.51</w:t>
            </w:r>
          </w:p>
        </w:tc>
        <w:tc>
          <w:tcPr>
            <w:tcW w:w="1664" w:type="dxa"/>
            <w:vAlign w:val="center"/>
          </w:tcPr>
          <w:p w14:paraId="44442CE9">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30543865">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5.04</w:t>
            </w:r>
          </w:p>
        </w:tc>
        <w:tc>
          <w:tcPr>
            <w:tcW w:w="1722" w:type="dxa"/>
            <w:vAlign w:val="center"/>
          </w:tcPr>
          <w:p w14:paraId="24CE4FD2">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vAlign w:val="center"/>
          </w:tcPr>
          <w:p w14:paraId="7AF4D865">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3517.769</w:t>
            </w:r>
          </w:p>
        </w:tc>
        <w:tc>
          <w:tcPr>
            <w:tcW w:w="1121" w:type="dxa"/>
            <w:shd w:val="clear" w:color="auto" w:fill="auto"/>
            <w:vAlign w:val="center"/>
          </w:tcPr>
          <w:p w14:paraId="1C604D46">
            <w:pPr>
              <w:pStyle w:val="38"/>
              <w:spacing w:beforeLines="0" w:afterLines="0" w:line="240" w:lineRule="auto"/>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eastAsiaTheme="minorEastAsia"/>
                <w:snapToGrid w:val="0"/>
                <w:color w:val="000000"/>
                <w:kern w:val="21"/>
                <w:szCs w:val="21"/>
                <w:lang w:val="en-US" w:eastAsia="zh-CN"/>
              </w:rPr>
              <w:t>+5.04</w:t>
            </w:r>
          </w:p>
        </w:tc>
      </w:tr>
      <w:tr w14:paraId="01614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44B4D281">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56640198">
            <w:pPr>
              <w:spacing w:line="240" w:lineRule="exact"/>
              <w:jc w:val="center"/>
              <w:rPr>
                <w:szCs w:val="21"/>
              </w:rPr>
            </w:pPr>
            <w:r>
              <w:rPr>
                <w:szCs w:val="21"/>
              </w:rPr>
              <w:t>SO</w:t>
            </w:r>
            <w:r>
              <w:rPr>
                <w:szCs w:val="21"/>
                <w:vertAlign w:val="subscript"/>
              </w:rPr>
              <w:t>2</w:t>
            </w:r>
          </w:p>
        </w:tc>
        <w:tc>
          <w:tcPr>
            <w:tcW w:w="1525" w:type="dxa"/>
            <w:shd w:val="clear" w:color="auto" w:fill="auto"/>
            <w:vAlign w:val="center"/>
          </w:tcPr>
          <w:p w14:paraId="2A471D57">
            <w:pPr>
              <w:spacing w:line="240" w:lineRule="exact"/>
              <w:jc w:val="center"/>
              <w:rPr>
                <w:rFonts w:ascii="Times New Roman" w:hAnsi="Times New Roman" w:eastAsia="宋体" w:cs="Times New Roman"/>
                <w:color w:val="auto"/>
                <w:kern w:val="2"/>
                <w:sz w:val="21"/>
                <w:szCs w:val="21"/>
                <w:lang w:val="en-US" w:eastAsia="zh-CN" w:bidi="ar-SA"/>
              </w:rPr>
            </w:pPr>
            <w:r>
              <w:rPr>
                <w:color w:val="auto"/>
                <w:szCs w:val="21"/>
              </w:rPr>
              <w:t>2501.558</w:t>
            </w:r>
          </w:p>
        </w:tc>
        <w:tc>
          <w:tcPr>
            <w:tcW w:w="1250" w:type="dxa"/>
            <w:vAlign w:val="center"/>
          </w:tcPr>
          <w:p w14:paraId="5B96196A">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2980.55</w:t>
            </w:r>
          </w:p>
        </w:tc>
        <w:tc>
          <w:tcPr>
            <w:tcW w:w="1664" w:type="dxa"/>
            <w:vAlign w:val="center"/>
          </w:tcPr>
          <w:p w14:paraId="454D41D3">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02B6880C">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32.01</w:t>
            </w:r>
          </w:p>
        </w:tc>
        <w:tc>
          <w:tcPr>
            <w:tcW w:w="1722" w:type="dxa"/>
            <w:vAlign w:val="center"/>
          </w:tcPr>
          <w:p w14:paraId="5F2C311C">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vAlign w:val="center"/>
          </w:tcPr>
          <w:p w14:paraId="1EF7E99F">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2533.568</w:t>
            </w:r>
          </w:p>
        </w:tc>
        <w:tc>
          <w:tcPr>
            <w:tcW w:w="1121" w:type="dxa"/>
            <w:shd w:val="clear" w:color="auto" w:fill="auto"/>
            <w:vAlign w:val="center"/>
          </w:tcPr>
          <w:p w14:paraId="06E6AA25">
            <w:pPr>
              <w:pStyle w:val="38"/>
              <w:spacing w:beforeLines="0" w:afterLines="0" w:line="240" w:lineRule="auto"/>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eastAsiaTheme="minorEastAsia"/>
                <w:snapToGrid w:val="0"/>
                <w:color w:val="000000"/>
                <w:kern w:val="21"/>
                <w:szCs w:val="21"/>
                <w:lang w:val="en-US" w:eastAsia="zh-CN"/>
              </w:rPr>
              <w:t>+32.01</w:t>
            </w:r>
          </w:p>
        </w:tc>
      </w:tr>
      <w:tr w14:paraId="52C42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3688C17F">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551C3883">
            <w:pPr>
              <w:spacing w:line="240" w:lineRule="exact"/>
              <w:jc w:val="center"/>
              <w:rPr>
                <w:szCs w:val="21"/>
              </w:rPr>
            </w:pPr>
            <w:r>
              <w:rPr>
                <w:szCs w:val="21"/>
              </w:rPr>
              <w:t>NO</w:t>
            </w:r>
            <w:r>
              <w:rPr>
                <w:szCs w:val="21"/>
                <w:vertAlign w:val="subscript"/>
              </w:rPr>
              <w:t>X</w:t>
            </w:r>
          </w:p>
        </w:tc>
        <w:tc>
          <w:tcPr>
            <w:tcW w:w="1525" w:type="dxa"/>
            <w:shd w:val="clear" w:color="auto" w:fill="auto"/>
            <w:vAlign w:val="center"/>
          </w:tcPr>
          <w:p w14:paraId="75DB81CA">
            <w:pPr>
              <w:spacing w:line="240" w:lineRule="exact"/>
              <w:jc w:val="center"/>
              <w:rPr>
                <w:rFonts w:ascii="Times New Roman" w:hAnsi="Times New Roman" w:eastAsia="宋体" w:cs="Times New Roman"/>
                <w:color w:val="auto"/>
                <w:kern w:val="2"/>
                <w:sz w:val="21"/>
                <w:szCs w:val="21"/>
                <w:lang w:val="en-US" w:eastAsia="zh-CN" w:bidi="ar-SA"/>
              </w:rPr>
            </w:pPr>
            <w:r>
              <w:rPr>
                <w:color w:val="auto"/>
                <w:szCs w:val="21"/>
              </w:rPr>
              <w:t>4752.69</w:t>
            </w:r>
          </w:p>
        </w:tc>
        <w:tc>
          <w:tcPr>
            <w:tcW w:w="1250" w:type="dxa"/>
            <w:vAlign w:val="center"/>
          </w:tcPr>
          <w:p w14:paraId="75349158">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5765.14</w:t>
            </w:r>
          </w:p>
        </w:tc>
        <w:tc>
          <w:tcPr>
            <w:tcW w:w="1664" w:type="dxa"/>
            <w:vAlign w:val="center"/>
          </w:tcPr>
          <w:p w14:paraId="469C3618">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436E2FF5">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16.08</w:t>
            </w:r>
          </w:p>
        </w:tc>
        <w:tc>
          <w:tcPr>
            <w:tcW w:w="1722" w:type="dxa"/>
            <w:vAlign w:val="center"/>
          </w:tcPr>
          <w:p w14:paraId="716B6D4E">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vAlign w:val="center"/>
          </w:tcPr>
          <w:p w14:paraId="7F3CB532">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4768.77</w:t>
            </w:r>
          </w:p>
        </w:tc>
        <w:tc>
          <w:tcPr>
            <w:tcW w:w="1121" w:type="dxa"/>
            <w:shd w:val="clear" w:color="auto" w:fill="auto"/>
            <w:vAlign w:val="center"/>
          </w:tcPr>
          <w:p w14:paraId="0ED888C4">
            <w:pPr>
              <w:pStyle w:val="38"/>
              <w:spacing w:beforeLines="0" w:afterLines="0" w:line="240" w:lineRule="auto"/>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eastAsiaTheme="minorEastAsia"/>
                <w:snapToGrid w:val="0"/>
                <w:color w:val="000000"/>
                <w:kern w:val="21"/>
                <w:szCs w:val="21"/>
                <w:lang w:val="en-US" w:eastAsia="zh-CN"/>
              </w:rPr>
              <w:t>+16.08</w:t>
            </w:r>
          </w:p>
        </w:tc>
      </w:tr>
      <w:tr w14:paraId="15AE7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2BBBA2EE">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59C14967">
            <w:pPr>
              <w:spacing w:line="240" w:lineRule="exact"/>
              <w:jc w:val="center"/>
              <w:rPr>
                <w:szCs w:val="21"/>
              </w:rPr>
            </w:pPr>
            <w:r>
              <w:rPr>
                <w:szCs w:val="21"/>
              </w:rPr>
              <w:t>VOCs</w:t>
            </w:r>
          </w:p>
        </w:tc>
        <w:tc>
          <w:tcPr>
            <w:tcW w:w="1525" w:type="dxa"/>
            <w:shd w:val="clear" w:color="auto" w:fill="auto"/>
            <w:vAlign w:val="center"/>
          </w:tcPr>
          <w:p w14:paraId="5FFBB764">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162.92</w:t>
            </w:r>
          </w:p>
        </w:tc>
        <w:tc>
          <w:tcPr>
            <w:tcW w:w="1250" w:type="dxa"/>
            <w:vAlign w:val="center"/>
          </w:tcPr>
          <w:p w14:paraId="7123E4F7">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rPr>
            </w:pPr>
            <w:r>
              <w:rPr>
                <w:rFonts w:ascii="Times New Roman" w:hAnsi="Times New Roman"/>
              </w:rPr>
              <w:t>171.15</w:t>
            </w:r>
          </w:p>
        </w:tc>
        <w:tc>
          <w:tcPr>
            <w:tcW w:w="1664" w:type="dxa"/>
            <w:vAlign w:val="center"/>
          </w:tcPr>
          <w:p w14:paraId="7045AC53">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2A9A5751">
            <w:pPr>
              <w:pStyle w:val="38"/>
              <w:spacing w:beforeLines="0" w:afterLines="0" w:line="240" w:lineRule="auto"/>
              <w:rPr>
                <w:rFonts w:hint="eastAsia" w:ascii="Times New Roman" w:eastAsiaTheme="minorEastAsia"/>
                <w:snapToGrid w:val="0"/>
                <w:color w:val="000000"/>
                <w:kern w:val="21"/>
                <w:szCs w:val="21"/>
                <w:lang w:eastAsia="zh-CN"/>
              </w:rPr>
            </w:pPr>
            <w:r>
              <w:rPr>
                <w:rFonts w:hint="eastAsia" w:ascii="Times New Roman" w:eastAsiaTheme="minorEastAsia"/>
                <w:snapToGrid w:val="0"/>
                <w:color w:val="000000"/>
                <w:kern w:val="21"/>
                <w:szCs w:val="21"/>
                <w:lang w:val="en-US" w:eastAsia="zh-CN"/>
              </w:rPr>
              <w:t>0</w:t>
            </w:r>
          </w:p>
        </w:tc>
        <w:tc>
          <w:tcPr>
            <w:tcW w:w="1722" w:type="dxa"/>
            <w:vAlign w:val="center"/>
          </w:tcPr>
          <w:p w14:paraId="17BA1BDD">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78751715">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162.92</w:t>
            </w:r>
          </w:p>
        </w:tc>
        <w:tc>
          <w:tcPr>
            <w:tcW w:w="1121" w:type="dxa"/>
            <w:shd w:val="clear" w:color="auto" w:fill="auto"/>
            <w:vAlign w:val="center"/>
          </w:tcPr>
          <w:p w14:paraId="0C200D4A">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750E5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22E38A97">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17852A58">
            <w:pPr>
              <w:spacing w:line="240" w:lineRule="exact"/>
              <w:jc w:val="center"/>
              <w:rPr>
                <w:szCs w:val="21"/>
              </w:rPr>
            </w:pPr>
            <w:r>
              <w:rPr>
                <w:szCs w:val="21"/>
              </w:rPr>
              <w:t>NH</w:t>
            </w:r>
            <w:r>
              <w:rPr>
                <w:szCs w:val="21"/>
                <w:vertAlign w:val="subscript"/>
              </w:rPr>
              <w:t>3</w:t>
            </w:r>
          </w:p>
        </w:tc>
        <w:tc>
          <w:tcPr>
            <w:tcW w:w="1525" w:type="dxa"/>
            <w:shd w:val="clear" w:color="auto" w:fill="auto"/>
            <w:vAlign w:val="center"/>
          </w:tcPr>
          <w:p w14:paraId="64DD4163">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3.92</w:t>
            </w:r>
          </w:p>
        </w:tc>
        <w:tc>
          <w:tcPr>
            <w:tcW w:w="1250" w:type="dxa"/>
            <w:vAlign w:val="center"/>
          </w:tcPr>
          <w:p w14:paraId="3AE025A5">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2A09AD4C">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1E170DEE">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0</w:t>
            </w:r>
          </w:p>
        </w:tc>
        <w:tc>
          <w:tcPr>
            <w:tcW w:w="1722" w:type="dxa"/>
            <w:vAlign w:val="center"/>
          </w:tcPr>
          <w:p w14:paraId="315E8657">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74BD4820">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3.92</w:t>
            </w:r>
          </w:p>
        </w:tc>
        <w:tc>
          <w:tcPr>
            <w:tcW w:w="1121" w:type="dxa"/>
            <w:shd w:val="clear" w:color="auto" w:fill="auto"/>
            <w:vAlign w:val="center"/>
          </w:tcPr>
          <w:p w14:paraId="06819997">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48CBB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24A6A3B5">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5A1831B0">
            <w:pPr>
              <w:spacing w:line="240" w:lineRule="exact"/>
              <w:jc w:val="center"/>
              <w:rPr>
                <w:szCs w:val="21"/>
              </w:rPr>
            </w:pPr>
            <w:r>
              <w:rPr>
                <w:szCs w:val="21"/>
              </w:rPr>
              <w:t>H</w:t>
            </w:r>
            <w:r>
              <w:rPr>
                <w:szCs w:val="21"/>
                <w:vertAlign w:val="subscript"/>
              </w:rPr>
              <w:t>2</w:t>
            </w:r>
            <w:r>
              <w:rPr>
                <w:szCs w:val="21"/>
              </w:rPr>
              <w:t>S</w:t>
            </w:r>
          </w:p>
        </w:tc>
        <w:tc>
          <w:tcPr>
            <w:tcW w:w="1525" w:type="dxa"/>
            <w:shd w:val="clear" w:color="auto" w:fill="auto"/>
            <w:vAlign w:val="center"/>
          </w:tcPr>
          <w:p w14:paraId="3C2701D0">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1.14</w:t>
            </w:r>
          </w:p>
        </w:tc>
        <w:tc>
          <w:tcPr>
            <w:tcW w:w="1250" w:type="dxa"/>
            <w:vAlign w:val="center"/>
          </w:tcPr>
          <w:p w14:paraId="6DCC182E">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1EDEA2F0">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742EDE4E">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0</w:t>
            </w:r>
          </w:p>
        </w:tc>
        <w:tc>
          <w:tcPr>
            <w:tcW w:w="1722" w:type="dxa"/>
            <w:vAlign w:val="center"/>
          </w:tcPr>
          <w:p w14:paraId="53DDA972">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1A8C6F1D">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1.14</w:t>
            </w:r>
          </w:p>
        </w:tc>
        <w:tc>
          <w:tcPr>
            <w:tcW w:w="1121" w:type="dxa"/>
            <w:shd w:val="clear" w:color="auto" w:fill="auto"/>
            <w:vAlign w:val="center"/>
          </w:tcPr>
          <w:p w14:paraId="0DFFCE51">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43FE2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3F2D1464">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0D12DC3D">
            <w:pPr>
              <w:spacing w:line="240" w:lineRule="exact"/>
              <w:jc w:val="center"/>
              <w:rPr>
                <w:szCs w:val="21"/>
              </w:rPr>
            </w:pPr>
            <w:r>
              <w:rPr>
                <w:spacing w:val="10"/>
                <w:szCs w:val="21"/>
              </w:rPr>
              <w:t>酚类</w:t>
            </w:r>
          </w:p>
        </w:tc>
        <w:tc>
          <w:tcPr>
            <w:tcW w:w="1525" w:type="dxa"/>
            <w:shd w:val="clear" w:color="auto" w:fill="auto"/>
            <w:vAlign w:val="center"/>
          </w:tcPr>
          <w:p w14:paraId="38BC35B0">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0.09</w:t>
            </w:r>
          </w:p>
        </w:tc>
        <w:tc>
          <w:tcPr>
            <w:tcW w:w="1250" w:type="dxa"/>
            <w:vAlign w:val="center"/>
          </w:tcPr>
          <w:p w14:paraId="3567FD65">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5F1EFF82">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0626256F">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0</w:t>
            </w:r>
          </w:p>
        </w:tc>
        <w:tc>
          <w:tcPr>
            <w:tcW w:w="1722" w:type="dxa"/>
            <w:vAlign w:val="center"/>
          </w:tcPr>
          <w:p w14:paraId="52E523D2">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3094311A">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0.09</w:t>
            </w:r>
          </w:p>
        </w:tc>
        <w:tc>
          <w:tcPr>
            <w:tcW w:w="1121" w:type="dxa"/>
            <w:shd w:val="clear" w:color="auto" w:fill="auto"/>
            <w:vAlign w:val="center"/>
          </w:tcPr>
          <w:p w14:paraId="4B0283FE">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0B738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31AB6153">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5B27E69B">
            <w:pPr>
              <w:spacing w:line="240" w:lineRule="exact"/>
              <w:jc w:val="center"/>
              <w:rPr>
                <w:szCs w:val="21"/>
              </w:rPr>
            </w:pPr>
            <w:r>
              <w:rPr>
                <w:spacing w:val="10"/>
                <w:szCs w:val="21"/>
              </w:rPr>
              <w:t>HCN</w:t>
            </w:r>
          </w:p>
        </w:tc>
        <w:tc>
          <w:tcPr>
            <w:tcW w:w="1525" w:type="dxa"/>
            <w:shd w:val="clear" w:color="auto" w:fill="auto"/>
            <w:vAlign w:val="center"/>
          </w:tcPr>
          <w:p w14:paraId="45EBEA4D">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2.3</w:t>
            </w:r>
          </w:p>
        </w:tc>
        <w:tc>
          <w:tcPr>
            <w:tcW w:w="1250" w:type="dxa"/>
            <w:vAlign w:val="center"/>
          </w:tcPr>
          <w:p w14:paraId="424FBD40">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2681622D">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3035704B">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0</w:t>
            </w:r>
          </w:p>
        </w:tc>
        <w:tc>
          <w:tcPr>
            <w:tcW w:w="1722" w:type="dxa"/>
            <w:vAlign w:val="center"/>
          </w:tcPr>
          <w:p w14:paraId="18B368BA">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32A48EC0">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2.3</w:t>
            </w:r>
          </w:p>
        </w:tc>
        <w:tc>
          <w:tcPr>
            <w:tcW w:w="1121" w:type="dxa"/>
            <w:shd w:val="clear" w:color="auto" w:fill="auto"/>
            <w:vAlign w:val="center"/>
          </w:tcPr>
          <w:p w14:paraId="39F980D3">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5699B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068ADA31">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304F7980">
            <w:pPr>
              <w:spacing w:line="240" w:lineRule="exact"/>
              <w:jc w:val="center"/>
              <w:rPr>
                <w:szCs w:val="21"/>
              </w:rPr>
            </w:pPr>
            <w:r>
              <w:rPr>
                <w:szCs w:val="21"/>
              </w:rPr>
              <w:t>苯</w:t>
            </w:r>
          </w:p>
        </w:tc>
        <w:tc>
          <w:tcPr>
            <w:tcW w:w="1525" w:type="dxa"/>
            <w:shd w:val="clear" w:color="auto" w:fill="auto"/>
            <w:vAlign w:val="center"/>
          </w:tcPr>
          <w:p w14:paraId="285908BF">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20.98</w:t>
            </w:r>
          </w:p>
        </w:tc>
        <w:tc>
          <w:tcPr>
            <w:tcW w:w="1250" w:type="dxa"/>
            <w:vAlign w:val="center"/>
          </w:tcPr>
          <w:p w14:paraId="00FE491F">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2188B0FB">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70E3B936">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0</w:t>
            </w:r>
          </w:p>
        </w:tc>
        <w:tc>
          <w:tcPr>
            <w:tcW w:w="1722" w:type="dxa"/>
            <w:vAlign w:val="center"/>
          </w:tcPr>
          <w:p w14:paraId="4728219D">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7B2B235D">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20.98</w:t>
            </w:r>
          </w:p>
        </w:tc>
        <w:tc>
          <w:tcPr>
            <w:tcW w:w="1121" w:type="dxa"/>
            <w:shd w:val="clear" w:color="auto" w:fill="auto"/>
            <w:vAlign w:val="center"/>
          </w:tcPr>
          <w:p w14:paraId="6281BBDE">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42171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1942B5E7">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2286B38F">
            <w:pPr>
              <w:spacing w:line="240" w:lineRule="exact"/>
              <w:jc w:val="center"/>
              <w:rPr>
                <w:szCs w:val="21"/>
              </w:rPr>
            </w:pPr>
            <w:r>
              <w:rPr>
                <w:szCs w:val="21"/>
              </w:rPr>
              <w:t>BaP（kg/a）</w:t>
            </w:r>
          </w:p>
        </w:tc>
        <w:tc>
          <w:tcPr>
            <w:tcW w:w="1525" w:type="dxa"/>
            <w:shd w:val="clear" w:color="auto" w:fill="auto"/>
            <w:vAlign w:val="center"/>
          </w:tcPr>
          <w:p w14:paraId="7ADCF930">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rPr>
              <w:t>7.35</w:t>
            </w:r>
          </w:p>
        </w:tc>
        <w:tc>
          <w:tcPr>
            <w:tcW w:w="1250" w:type="dxa"/>
            <w:vAlign w:val="center"/>
          </w:tcPr>
          <w:p w14:paraId="2A760C77">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4D145087">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016DF9BA">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0</w:t>
            </w:r>
          </w:p>
        </w:tc>
        <w:tc>
          <w:tcPr>
            <w:tcW w:w="1722" w:type="dxa"/>
            <w:vAlign w:val="center"/>
          </w:tcPr>
          <w:p w14:paraId="29528EA9">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62FD6383">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rPr>
              <w:t>7.35</w:t>
            </w:r>
          </w:p>
        </w:tc>
        <w:tc>
          <w:tcPr>
            <w:tcW w:w="1121" w:type="dxa"/>
            <w:shd w:val="clear" w:color="auto" w:fill="auto"/>
            <w:vAlign w:val="center"/>
          </w:tcPr>
          <w:p w14:paraId="38A27DEB">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19203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3B04E7BE">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6B135D5C">
            <w:pPr>
              <w:spacing w:line="240" w:lineRule="exact"/>
              <w:jc w:val="center"/>
              <w:rPr>
                <w:szCs w:val="21"/>
              </w:rPr>
            </w:pPr>
            <w:r>
              <w:rPr>
                <w:szCs w:val="21"/>
              </w:rPr>
              <w:t>氟化物</w:t>
            </w:r>
          </w:p>
        </w:tc>
        <w:tc>
          <w:tcPr>
            <w:tcW w:w="1525" w:type="dxa"/>
            <w:shd w:val="clear" w:color="auto" w:fill="auto"/>
            <w:vAlign w:val="center"/>
          </w:tcPr>
          <w:p w14:paraId="74C40ACD">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SA"/>
              </w:rPr>
            </w:pPr>
            <w:r>
              <w:rPr>
                <w:rFonts w:ascii="Times New Roman" w:hAnsi="Times New Roman"/>
                <w:lang w:bidi="ar"/>
              </w:rPr>
              <w:t>10.5</w:t>
            </w:r>
          </w:p>
        </w:tc>
        <w:tc>
          <w:tcPr>
            <w:tcW w:w="1250" w:type="dxa"/>
            <w:vAlign w:val="center"/>
          </w:tcPr>
          <w:p w14:paraId="79535154">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41D9FEC8">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64DB05E2">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5.76</w:t>
            </w:r>
          </w:p>
        </w:tc>
        <w:tc>
          <w:tcPr>
            <w:tcW w:w="1722" w:type="dxa"/>
            <w:vAlign w:val="center"/>
          </w:tcPr>
          <w:p w14:paraId="5A205245">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05867CBA">
            <w:pPr>
              <w:pStyle w:val="64"/>
              <w:widowControl w:val="0"/>
              <w:pBdr>
                <w:left w:val="none" w:color="auto" w:sz="0" w:space="0"/>
                <w:bottom w:val="none" w:color="auto" w:sz="0" w:space="0"/>
                <w:right w:val="none" w:color="auto" w:sz="0" w:space="0"/>
              </w:pBdr>
              <w:spacing w:before="0" w:beforeAutospacing="0" w:after="0" w:afterAutospacing="0" w:line="0" w:lineRule="atLeast"/>
              <w:rPr>
                <w:rFonts w:hint="default" w:ascii="Times New Roman" w:hAnsi="Times New Roman" w:eastAsia="宋体" w:cs="Times New Roman"/>
                <w:kern w:val="0"/>
                <w:sz w:val="21"/>
                <w:szCs w:val="21"/>
                <w:lang w:val="en-US" w:eastAsia="zh-CN" w:bidi="ar-SA"/>
              </w:rPr>
            </w:pPr>
            <w:r>
              <w:rPr>
                <w:rFonts w:hint="eastAsia" w:ascii="Times New Roman" w:hAnsi="Times New Roman"/>
                <w:lang w:val="en-US" w:eastAsia="zh-CN" w:bidi="ar"/>
              </w:rPr>
              <w:t>16.26</w:t>
            </w:r>
          </w:p>
        </w:tc>
        <w:tc>
          <w:tcPr>
            <w:tcW w:w="1121" w:type="dxa"/>
            <w:shd w:val="clear" w:color="auto" w:fill="auto"/>
            <w:vAlign w:val="center"/>
          </w:tcPr>
          <w:p w14:paraId="3121A976">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0FD1C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00DFF415">
            <w:pPr>
              <w:pStyle w:val="38"/>
              <w:spacing w:beforeLines="0" w:afterLines="0" w:line="240" w:lineRule="auto"/>
              <w:rPr>
                <w:rFonts w:ascii="Times New Roman" w:eastAsiaTheme="minorEastAsia"/>
                <w:snapToGrid w:val="0"/>
                <w:color w:val="000000"/>
                <w:kern w:val="21"/>
                <w:szCs w:val="21"/>
              </w:rPr>
            </w:pPr>
          </w:p>
        </w:tc>
        <w:tc>
          <w:tcPr>
            <w:tcW w:w="1525" w:type="dxa"/>
            <w:vAlign w:val="center"/>
          </w:tcPr>
          <w:p w14:paraId="35EAE6B0">
            <w:pPr>
              <w:spacing w:line="240" w:lineRule="exact"/>
              <w:jc w:val="center"/>
              <w:rPr>
                <w:szCs w:val="21"/>
              </w:rPr>
            </w:pPr>
            <w:r>
              <w:rPr>
                <w:szCs w:val="21"/>
              </w:rPr>
              <w:t>二噁英类（g-TEQ/a）</w:t>
            </w:r>
          </w:p>
        </w:tc>
        <w:tc>
          <w:tcPr>
            <w:tcW w:w="1525" w:type="dxa"/>
            <w:shd w:val="clear" w:color="auto" w:fill="auto"/>
            <w:vAlign w:val="center"/>
          </w:tcPr>
          <w:p w14:paraId="61A84C6E">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
              </w:rPr>
            </w:pPr>
            <w:r>
              <w:rPr>
                <w:rFonts w:ascii="Times New Roman" w:hAnsi="Times New Roman"/>
                <w:lang w:bidi="ar"/>
              </w:rPr>
              <w:t>6.88</w:t>
            </w:r>
          </w:p>
        </w:tc>
        <w:tc>
          <w:tcPr>
            <w:tcW w:w="1250" w:type="dxa"/>
            <w:vAlign w:val="center"/>
          </w:tcPr>
          <w:p w14:paraId="6540CDE7">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77DADFB5">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495AECF1">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0</w:t>
            </w:r>
          </w:p>
        </w:tc>
        <w:tc>
          <w:tcPr>
            <w:tcW w:w="1722" w:type="dxa"/>
            <w:vAlign w:val="center"/>
          </w:tcPr>
          <w:p w14:paraId="4E1CAC19">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shd w:val="clear" w:color="auto" w:fill="auto"/>
            <w:vAlign w:val="center"/>
          </w:tcPr>
          <w:p w14:paraId="52BC23A7">
            <w:pPr>
              <w:pStyle w:val="64"/>
              <w:widowControl w:val="0"/>
              <w:pBdr>
                <w:left w:val="none" w:color="auto" w:sz="0" w:space="0"/>
                <w:bottom w:val="none" w:color="auto" w:sz="0" w:space="0"/>
                <w:right w:val="none" w:color="auto" w:sz="0" w:space="0"/>
              </w:pBdr>
              <w:spacing w:before="0" w:beforeAutospacing="0" w:after="0" w:afterAutospacing="0" w:line="0" w:lineRule="atLeast"/>
              <w:rPr>
                <w:rFonts w:ascii="Times New Roman" w:hAnsi="Times New Roman" w:eastAsia="宋体" w:cs="Times New Roman"/>
                <w:kern w:val="0"/>
                <w:sz w:val="21"/>
                <w:szCs w:val="21"/>
                <w:lang w:val="en-US" w:eastAsia="zh-CN" w:bidi="ar"/>
              </w:rPr>
            </w:pPr>
            <w:r>
              <w:rPr>
                <w:rFonts w:ascii="Times New Roman" w:hAnsi="Times New Roman"/>
                <w:lang w:bidi="ar"/>
              </w:rPr>
              <w:t>6.88</w:t>
            </w:r>
          </w:p>
        </w:tc>
        <w:tc>
          <w:tcPr>
            <w:tcW w:w="1121" w:type="dxa"/>
            <w:shd w:val="clear" w:color="auto" w:fill="auto"/>
            <w:vAlign w:val="center"/>
          </w:tcPr>
          <w:p w14:paraId="592CCB81">
            <w:pPr>
              <w:pStyle w:val="38"/>
              <w:spacing w:beforeLines="0" w:afterLines="0" w:line="240" w:lineRule="auto"/>
              <w:rPr>
                <w:rFonts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6E468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Align w:val="center"/>
          </w:tcPr>
          <w:p w14:paraId="1D9694FD">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废水</w:t>
            </w:r>
          </w:p>
        </w:tc>
        <w:tc>
          <w:tcPr>
            <w:tcW w:w="1525" w:type="dxa"/>
            <w:vAlign w:val="center"/>
          </w:tcPr>
          <w:p w14:paraId="498C1038">
            <w:pPr>
              <w:jc w:val="center"/>
              <w:rPr>
                <w:rFonts w:eastAsiaTheme="minorEastAsia"/>
                <w:szCs w:val="21"/>
              </w:rPr>
            </w:pPr>
            <w:r>
              <w:rPr>
                <w:rFonts w:hint="eastAsia" w:eastAsiaTheme="minorEastAsia"/>
                <w:kern w:val="0"/>
                <w:szCs w:val="21"/>
              </w:rPr>
              <w:t>—</w:t>
            </w:r>
          </w:p>
        </w:tc>
        <w:tc>
          <w:tcPr>
            <w:tcW w:w="1525" w:type="dxa"/>
            <w:vAlign w:val="center"/>
          </w:tcPr>
          <w:p w14:paraId="67B80CCC">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50" w:type="dxa"/>
            <w:vAlign w:val="center"/>
          </w:tcPr>
          <w:p w14:paraId="423B7915">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2C3822CA">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113EC949">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0</w:t>
            </w:r>
          </w:p>
        </w:tc>
        <w:tc>
          <w:tcPr>
            <w:tcW w:w="1722" w:type="dxa"/>
            <w:vAlign w:val="center"/>
          </w:tcPr>
          <w:p w14:paraId="21B83C33">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vAlign w:val="center"/>
          </w:tcPr>
          <w:p w14:paraId="381EBA1A">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121" w:type="dxa"/>
            <w:vAlign w:val="center"/>
          </w:tcPr>
          <w:p w14:paraId="2264EE0A">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14:paraId="4FDCC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Align w:val="center"/>
          </w:tcPr>
          <w:p w14:paraId="372BFDDC">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生活垃圾</w:t>
            </w:r>
          </w:p>
        </w:tc>
        <w:tc>
          <w:tcPr>
            <w:tcW w:w="1525" w:type="dxa"/>
            <w:vAlign w:val="center"/>
          </w:tcPr>
          <w:p w14:paraId="630137B7">
            <w:pPr>
              <w:jc w:val="center"/>
              <w:rPr>
                <w:rFonts w:eastAsiaTheme="minorEastAsia"/>
              </w:rPr>
            </w:pPr>
            <w:r>
              <w:rPr>
                <w:rFonts w:eastAsiaTheme="minorEastAsia"/>
              </w:rPr>
              <w:t>生活垃圾</w:t>
            </w:r>
            <w:r>
              <w:rPr>
                <w:rFonts w:hint="eastAsia" w:eastAsiaTheme="minorEastAsia"/>
              </w:rPr>
              <w:t>（</w:t>
            </w:r>
            <w:r>
              <w:rPr>
                <w:rFonts w:hint="eastAsia" w:eastAsiaTheme="minorEastAsia"/>
                <w:lang w:val="en-US" w:eastAsia="zh-CN"/>
              </w:rPr>
              <w:t>万</w:t>
            </w:r>
            <w:r>
              <w:rPr>
                <w:rFonts w:hint="eastAsia" w:eastAsiaTheme="minorEastAsia"/>
              </w:rPr>
              <w:t>t/a）</w:t>
            </w:r>
          </w:p>
        </w:tc>
        <w:tc>
          <w:tcPr>
            <w:tcW w:w="1525" w:type="dxa"/>
            <w:vAlign w:val="center"/>
          </w:tcPr>
          <w:p w14:paraId="0BCDD222">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0.35</w:t>
            </w:r>
          </w:p>
        </w:tc>
        <w:tc>
          <w:tcPr>
            <w:tcW w:w="1250" w:type="dxa"/>
            <w:vAlign w:val="center"/>
          </w:tcPr>
          <w:p w14:paraId="09B56BB4">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7B9320D4">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2AD215D5">
            <w:pPr>
              <w:pStyle w:val="38"/>
              <w:spacing w:beforeLines="0" w:afterLines="0" w:line="240" w:lineRule="auto"/>
              <w:rPr>
                <w:rFonts w:hint="eastAsia" w:ascii="Times New Roman" w:eastAsiaTheme="minorEastAsia"/>
                <w:snapToGrid w:val="0"/>
                <w:color w:val="000000"/>
                <w:kern w:val="21"/>
                <w:szCs w:val="21"/>
                <w:lang w:eastAsia="zh-CN"/>
              </w:rPr>
            </w:pPr>
            <w:r>
              <w:rPr>
                <w:rFonts w:hint="eastAsia" w:ascii="Times New Roman" w:eastAsiaTheme="minorEastAsia"/>
                <w:snapToGrid w:val="0"/>
                <w:color w:val="000000"/>
                <w:kern w:val="21"/>
                <w:szCs w:val="21"/>
                <w:lang w:val="en-US" w:eastAsia="zh-CN"/>
              </w:rPr>
              <w:t>0</w:t>
            </w:r>
          </w:p>
        </w:tc>
        <w:tc>
          <w:tcPr>
            <w:tcW w:w="1722" w:type="dxa"/>
            <w:vAlign w:val="center"/>
          </w:tcPr>
          <w:p w14:paraId="4E2A258F">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vAlign w:val="center"/>
          </w:tcPr>
          <w:p w14:paraId="49CADDB8">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0.35</w:t>
            </w:r>
          </w:p>
        </w:tc>
        <w:tc>
          <w:tcPr>
            <w:tcW w:w="1121" w:type="dxa"/>
            <w:shd w:val="clear" w:color="auto" w:fill="auto"/>
            <w:vAlign w:val="center"/>
          </w:tcPr>
          <w:p w14:paraId="05D78344">
            <w:pPr>
              <w:pStyle w:val="38"/>
              <w:spacing w:beforeLines="0" w:afterLines="0" w:line="240" w:lineRule="auto"/>
              <w:rPr>
                <w:rFonts w:hint="eastAsia" w:ascii="Times New Roman" w:hAnsi="Times New Roman" w:cs="Times New Roman" w:eastAsiaTheme="minorEastAsia"/>
                <w:snapToGrid w:val="0"/>
                <w:color w:val="000000"/>
                <w:kern w:val="21"/>
                <w:sz w:val="21"/>
                <w:szCs w:val="21"/>
                <w:lang w:val="en-US" w:eastAsia="zh-CN" w:bidi="ar-SA"/>
              </w:rPr>
            </w:pPr>
            <w:r>
              <w:rPr>
                <w:rFonts w:ascii="Times New Roman" w:eastAsiaTheme="minorEastAsia"/>
                <w:snapToGrid w:val="0"/>
                <w:color w:val="000000"/>
                <w:kern w:val="21"/>
                <w:szCs w:val="21"/>
              </w:rPr>
              <w:t>—</w:t>
            </w:r>
          </w:p>
        </w:tc>
      </w:tr>
      <w:tr w14:paraId="4245C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Align w:val="center"/>
          </w:tcPr>
          <w:p w14:paraId="5E442821">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一般工业</w:t>
            </w:r>
          </w:p>
          <w:p w14:paraId="2C2F5B60">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固体废物</w:t>
            </w:r>
          </w:p>
        </w:tc>
        <w:tc>
          <w:tcPr>
            <w:tcW w:w="1525" w:type="dxa"/>
            <w:vAlign w:val="center"/>
          </w:tcPr>
          <w:p w14:paraId="1D1884AF">
            <w:pPr>
              <w:spacing w:line="240" w:lineRule="exact"/>
              <w:jc w:val="center"/>
              <w:rPr>
                <w:szCs w:val="21"/>
              </w:rPr>
            </w:pPr>
            <w:r>
              <w:rPr>
                <w:szCs w:val="21"/>
              </w:rPr>
              <w:t>一般工业固废（</w:t>
            </w:r>
            <w:r>
              <w:rPr>
                <w:rFonts w:hint="eastAsia"/>
                <w:szCs w:val="21"/>
                <w:lang w:val="en-US" w:eastAsia="zh-CN"/>
              </w:rPr>
              <w:t>万</w:t>
            </w:r>
            <w:r>
              <w:rPr>
                <w:szCs w:val="21"/>
              </w:rPr>
              <w:t>t/a）</w:t>
            </w:r>
          </w:p>
        </w:tc>
        <w:tc>
          <w:tcPr>
            <w:tcW w:w="1525" w:type="dxa"/>
            <w:shd w:val="clear" w:color="auto" w:fill="auto"/>
            <w:vAlign w:val="center"/>
          </w:tcPr>
          <w:p w14:paraId="306FFB4F">
            <w:pPr>
              <w:spacing w:line="240" w:lineRule="exact"/>
              <w:jc w:val="center"/>
              <w:rPr>
                <w:rFonts w:hint="default" w:ascii="Times New Roman" w:hAnsi="Times New Roman" w:eastAsia="宋体" w:cs="Times New Roman"/>
                <w:color w:val="auto"/>
                <w:kern w:val="2"/>
                <w:sz w:val="21"/>
                <w:szCs w:val="21"/>
                <w:lang w:val="en-US" w:eastAsia="zh-CN" w:bidi="ar"/>
              </w:rPr>
            </w:pPr>
            <w:r>
              <w:rPr>
                <w:rFonts w:hint="eastAsia"/>
                <w:color w:val="auto"/>
                <w:szCs w:val="21"/>
                <w:lang w:val="en-US" w:eastAsia="zh-CN" w:bidi="ar"/>
              </w:rPr>
              <w:t>624.07</w:t>
            </w:r>
          </w:p>
        </w:tc>
        <w:tc>
          <w:tcPr>
            <w:tcW w:w="1250" w:type="dxa"/>
            <w:vAlign w:val="center"/>
          </w:tcPr>
          <w:p w14:paraId="17974FFD">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205A83FB">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2DB4B1B1">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0.005</w:t>
            </w:r>
          </w:p>
        </w:tc>
        <w:tc>
          <w:tcPr>
            <w:tcW w:w="1722" w:type="dxa"/>
            <w:vAlign w:val="center"/>
          </w:tcPr>
          <w:p w14:paraId="3C33EB76">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vAlign w:val="center"/>
          </w:tcPr>
          <w:p w14:paraId="6B3A8ED2">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624.075</w:t>
            </w:r>
          </w:p>
        </w:tc>
        <w:tc>
          <w:tcPr>
            <w:tcW w:w="1121" w:type="dxa"/>
            <w:shd w:val="clear" w:color="auto" w:fill="auto"/>
            <w:vAlign w:val="center"/>
          </w:tcPr>
          <w:p w14:paraId="69A44E0A">
            <w:pPr>
              <w:pStyle w:val="38"/>
              <w:spacing w:beforeLines="0" w:afterLines="0" w:line="240" w:lineRule="auto"/>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eastAsiaTheme="minorEastAsia"/>
                <w:snapToGrid w:val="0"/>
                <w:color w:val="000000"/>
                <w:kern w:val="21"/>
                <w:szCs w:val="21"/>
                <w:lang w:val="en-US" w:eastAsia="zh-CN"/>
              </w:rPr>
              <w:t>+0.005</w:t>
            </w:r>
          </w:p>
        </w:tc>
      </w:tr>
      <w:tr w14:paraId="0FE38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Align w:val="center"/>
          </w:tcPr>
          <w:p w14:paraId="2D9A51C5">
            <w:pPr>
              <w:pStyle w:val="38"/>
              <w:spacing w:beforeLines="0" w:afterLines="0" w:line="240" w:lineRule="auto"/>
              <w:rPr>
                <w:rFonts w:ascii="Times New Roman" w:eastAsiaTheme="minorEastAsia"/>
                <w:snapToGrid w:val="0"/>
                <w:color w:val="000000"/>
                <w:kern w:val="21"/>
                <w:szCs w:val="21"/>
              </w:rPr>
            </w:pPr>
            <w:r>
              <w:rPr>
                <w:rFonts w:hint="eastAsia" w:ascii="Times New Roman" w:eastAsiaTheme="minorEastAsia"/>
                <w:snapToGrid w:val="0"/>
                <w:color w:val="000000"/>
                <w:kern w:val="21"/>
                <w:szCs w:val="21"/>
              </w:rPr>
              <w:t>危险废物</w:t>
            </w:r>
          </w:p>
        </w:tc>
        <w:tc>
          <w:tcPr>
            <w:tcW w:w="1525" w:type="dxa"/>
            <w:vAlign w:val="center"/>
          </w:tcPr>
          <w:p w14:paraId="5F3DB8B5">
            <w:pPr>
              <w:spacing w:line="240" w:lineRule="exact"/>
              <w:jc w:val="center"/>
              <w:rPr>
                <w:szCs w:val="21"/>
              </w:rPr>
            </w:pPr>
            <w:r>
              <w:rPr>
                <w:szCs w:val="21"/>
              </w:rPr>
              <w:t>危险废物（</w:t>
            </w:r>
            <w:r>
              <w:rPr>
                <w:rFonts w:hint="eastAsia"/>
                <w:szCs w:val="21"/>
                <w:lang w:val="en-US" w:eastAsia="zh-CN"/>
              </w:rPr>
              <w:t>万</w:t>
            </w:r>
            <w:r>
              <w:rPr>
                <w:szCs w:val="21"/>
              </w:rPr>
              <w:t>t/a）</w:t>
            </w:r>
          </w:p>
        </w:tc>
        <w:tc>
          <w:tcPr>
            <w:tcW w:w="1525" w:type="dxa"/>
            <w:shd w:val="clear" w:color="auto" w:fill="auto"/>
            <w:vAlign w:val="center"/>
          </w:tcPr>
          <w:p w14:paraId="474AB220">
            <w:pPr>
              <w:spacing w:line="240" w:lineRule="exact"/>
              <w:jc w:val="center"/>
              <w:rPr>
                <w:rFonts w:hint="default" w:ascii="Times New Roman" w:hAnsi="Times New Roman" w:eastAsia="宋体" w:cs="Times New Roman"/>
                <w:color w:val="auto"/>
                <w:kern w:val="2"/>
                <w:sz w:val="21"/>
                <w:szCs w:val="21"/>
                <w:lang w:val="en-US" w:eastAsia="zh-CN" w:bidi="ar"/>
              </w:rPr>
            </w:pPr>
            <w:r>
              <w:rPr>
                <w:rFonts w:hint="eastAsia"/>
                <w:color w:val="auto"/>
                <w:szCs w:val="21"/>
                <w:lang w:val="en-US" w:eastAsia="zh-CN" w:bidi="ar"/>
              </w:rPr>
              <w:t>5423.06</w:t>
            </w:r>
          </w:p>
        </w:tc>
        <w:tc>
          <w:tcPr>
            <w:tcW w:w="1250" w:type="dxa"/>
            <w:vAlign w:val="center"/>
          </w:tcPr>
          <w:p w14:paraId="02FCE30A">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64" w:type="dxa"/>
            <w:vAlign w:val="center"/>
          </w:tcPr>
          <w:p w14:paraId="42473DAD">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25" w:type="dxa"/>
            <w:vAlign w:val="center"/>
          </w:tcPr>
          <w:p w14:paraId="4EC664DE">
            <w:pPr>
              <w:pStyle w:val="38"/>
              <w:spacing w:beforeLines="0" w:afterLines="0" w:line="240" w:lineRule="auto"/>
              <w:rPr>
                <w:rFonts w:hint="default" w:ascii="Times New Roman" w:eastAsiaTheme="minorEastAsia"/>
                <w:snapToGrid w:val="0"/>
                <w:color w:val="000000"/>
                <w:kern w:val="21"/>
                <w:szCs w:val="21"/>
                <w:lang w:val="en-US" w:eastAsia="zh-CN"/>
              </w:rPr>
            </w:pPr>
            <w:r>
              <w:rPr>
                <w:rFonts w:hint="eastAsia" w:ascii="Times New Roman" w:eastAsiaTheme="minorEastAsia"/>
                <w:snapToGrid w:val="0"/>
                <w:color w:val="000000"/>
                <w:kern w:val="21"/>
                <w:szCs w:val="21"/>
                <w:lang w:val="en-US" w:eastAsia="zh-CN"/>
              </w:rPr>
              <w:t>0.000021</w:t>
            </w:r>
          </w:p>
        </w:tc>
        <w:tc>
          <w:tcPr>
            <w:tcW w:w="1722" w:type="dxa"/>
            <w:vAlign w:val="center"/>
          </w:tcPr>
          <w:p w14:paraId="68AC5357">
            <w:pPr>
              <w:pStyle w:val="38"/>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605" w:type="dxa"/>
            <w:vAlign w:val="center"/>
          </w:tcPr>
          <w:p w14:paraId="0F5EF66E">
            <w:pPr>
              <w:pStyle w:val="38"/>
              <w:spacing w:beforeLines="0" w:afterLines="0" w:line="240" w:lineRule="auto"/>
              <w:rPr>
                <w:rFonts w:hint="default" w:ascii="Times New Roman" w:eastAsiaTheme="minorEastAsia"/>
                <w:snapToGrid w:val="0"/>
                <w:color w:val="000000"/>
                <w:kern w:val="21"/>
                <w:szCs w:val="21"/>
                <w:lang w:val="en-US"/>
              </w:rPr>
            </w:pPr>
            <w:r>
              <w:rPr>
                <w:rFonts w:hint="eastAsia" w:ascii="Times New Roman" w:eastAsiaTheme="minorEastAsia"/>
                <w:snapToGrid w:val="0"/>
                <w:color w:val="000000"/>
                <w:kern w:val="21"/>
                <w:szCs w:val="21"/>
                <w:lang w:val="en-US" w:eastAsia="zh-CN"/>
              </w:rPr>
              <w:t>5423.060021</w:t>
            </w:r>
          </w:p>
        </w:tc>
        <w:tc>
          <w:tcPr>
            <w:tcW w:w="1121" w:type="dxa"/>
            <w:shd w:val="clear" w:color="auto" w:fill="auto"/>
            <w:vAlign w:val="center"/>
          </w:tcPr>
          <w:p w14:paraId="740D7E29">
            <w:pPr>
              <w:pStyle w:val="38"/>
              <w:spacing w:beforeLines="0" w:afterLines="0" w:line="240" w:lineRule="auto"/>
              <w:rPr>
                <w:rFonts w:hint="default" w:ascii="Times New Roman" w:hAnsi="Times New Roman" w:cs="Times New Roman" w:eastAsiaTheme="minorEastAsia"/>
                <w:snapToGrid w:val="0"/>
                <w:color w:val="000000"/>
                <w:kern w:val="21"/>
                <w:sz w:val="21"/>
                <w:szCs w:val="21"/>
                <w:lang w:val="en-US" w:eastAsia="zh-CN" w:bidi="ar-SA"/>
              </w:rPr>
            </w:pPr>
            <w:r>
              <w:rPr>
                <w:rFonts w:hint="eastAsia" w:ascii="Times New Roman" w:eastAsiaTheme="minorEastAsia"/>
                <w:snapToGrid w:val="0"/>
                <w:color w:val="000000"/>
                <w:kern w:val="21"/>
                <w:szCs w:val="21"/>
                <w:lang w:val="en-US" w:eastAsia="zh-CN"/>
              </w:rPr>
              <w:t>+0.000021</w:t>
            </w:r>
          </w:p>
        </w:tc>
      </w:tr>
    </w:tbl>
    <w:p w14:paraId="352B2CE2">
      <w:pPr>
        <w:pStyle w:val="38"/>
        <w:spacing w:before="192" w:beforeLines="80" w:after="24"/>
        <w:jc w:val="left"/>
        <w:rPr>
          <w:rFonts w:hAnsi="宋体" w:eastAsia="黑体"/>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0562D0-C893-4026-93CA-8DFB6E6584AC}"/>
  </w:font>
  <w:font w:name="黑体">
    <w:panose1 w:val="02010609060101010101"/>
    <w:charset w:val="86"/>
    <w:family w:val="auto"/>
    <w:pitch w:val="default"/>
    <w:sig w:usb0="800002BF" w:usb1="38CF7CFA" w:usb2="00000016" w:usb3="00000000" w:csb0="00040001" w:csb1="00000000"/>
    <w:embedRegular r:id="rId2" w:fontKey="{B51B37CB-2ACF-450F-BBF6-080F9B53AE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3F8D6EA-4663-47A1-93EF-795F036185AB}"/>
  </w:font>
  <w:font w:name="Cambria">
    <w:panose1 w:val="02040503050406030204"/>
    <w:charset w:val="00"/>
    <w:family w:val="roman"/>
    <w:pitch w:val="default"/>
    <w:sig w:usb0="E00006FF" w:usb1="420024FF" w:usb2="02000000" w:usb3="00000000" w:csb0="2000019F" w:csb1="00000000"/>
  </w:font>
  <w:font w:name="Wonder Arial">
    <w:panose1 w:val="00000500000000000000"/>
    <w:charset w:val="00"/>
    <w:family w:val="auto"/>
    <w:pitch w:val="default"/>
    <w:sig w:usb0="00000003" w:usb1="00000000" w:usb2="00000000" w:usb3="00000000" w:csb0="20000011" w:csb1="00000000"/>
  </w:font>
  <w:font w:name="方正仿宋_GB2312">
    <w:panose1 w:val="02000000000000000000"/>
    <w:charset w:val="86"/>
    <w:family w:val="auto"/>
    <w:pitch w:val="default"/>
    <w:sig w:usb0="A00002BF" w:usb1="184F6CFA" w:usb2="00000012" w:usb3="00000000" w:csb0="00040001" w:csb1="00000000"/>
    <w:embedRegular r:id="rId4" w:fontKey="{0CD01AAF-D92D-4847-9D49-56BC5089D134}"/>
  </w:font>
  <w:font w:name="方正小标宋_GBK">
    <w:panose1 w:val="02000000000000000000"/>
    <w:charset w:val="86"/>
    <w:family w:val="script"/>
    <w:pitch w:val="default"/>
    <w:sig w:usb0="A00002BF" w:usb1="38CF7CFA" w:usb2="00082016" w:usb3="00000000" w:csb0="00040001" w:csb1="00000000"/>
    <w:embedRegular r:id="rId5" w:fontKey="{1BB33F26-44CA-479C-987C-6F4DA2DC5E6A}"/>
  </w:font>
  <w:font w:name="方正楷体_GB2312">
    <w:panose1 w:val="02000000000000000000"/>
    <w:charset w:val="86"/>
    <w:family w:val="auto"/>
    <w:pitch w:val="default"/>
    <w:sig w:usb0="A00002BF" w:usb1="184F6CFA" w:usb2="00000012" w:usb3="00000000" w:csb0="00040001" w:csb1="00000000"/>
    <w:embedRegular r:id="rId6" w:fontKey="{BD4DB404-3297-45C3-A595-FE7007536D02}"/>
  </w:font>
  <w:font w:name="仿宋">
    <w:panose1 w:val="02010609060101010101"/>
    <w:charset w:val="86"/>
    <w:family w:val="modern"/>
    <w:pitch w:val="default"/>
    <w:sig w:usb0="800002BF" w:usb1="38CF7CFA" w:usb2="00000016" w:usb3="00000000" w:csb0="00040001" w:csb1="00000000"/>
    <w:embedRegular r:id="rId7" w:fontKey="{02094D62-3CE9-468A-A3FA-182436112E3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268B">
    <w:pPr>
      <w:pStyle w:val="16"/>
      <w:jc w:val="center"/>
    </w:pPr>
  </w:p>
  <w:p w14:paraId="1F4EF5CB">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17FB">
    <w:pPr>
      <w:pStyle w:val="16"/>
      <w:framePr w:wrap="around" w:vAnchor="text" w:hAnchor="margin" w:xAlign="center" w:y="1"/>
      <w:rPr>
        <w:rStyle w:val="27"/>
      </w:rPr>
    </w:pPr>
    <w:r>
      <w:fldChar w:fldCharType="begin"/>
    </w:r>
    <w:r>
      <w:rPr>
        <w:rStyle w:val="27"/>
      </w:rPr>
      <w:instrText xml:space="preserve">PAGE  </w:instrText>
    </w:r>
    <w:r>
      <w:fldChar w:fldCharType="end"/>
    </w:r>
  </w:p>
  <w:p w14:paraId="48305161">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0029">
    <w:pPr>
      <w:pStyle w:val="16"/>
      <w:jc w:val="center"/>
    </w:pPr>
  </w:p>
  <w:p w14:paraId="4CD12A08">
    <w:pPr>
      <w:pStyle w:val="1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7153149"/>
    </w:sdtPr>
    <w:sdtContent>
      <w:p w14:paraId="2ED6782A">
        <w:pPr>
          <w:pStyle w:val="16"/>
          <w:jc w:val="center"/>
        </w:pPr>
        <w:r>
          <w:fldChar w:fldCharType="begin"/>
        </w:r>
        <w:r>
          <w:instrText xml:space="preserve">PAGE   \* MERGEFORMAT</w:instrText>
        </w:r>
        <w:r>
          <w:fldChar w:fldCharType="separate"/>
        </w:r>
        <w:r>
          <w:rPr>
            <w:lang w:val="zh-CN"/>
          </w:rPr>
          <w:t>57</w:t>
        </w:r>
        <w:r>
          <w:fldChar w:fldCharType="end"/>
        </w:r>
      </w:p>
    </w:sdtContent>
  </w:sdt>
  <w:p w14:paraId="0C7384F3">
    <w:pPr>
      <w:pStyle w:val="1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7"/>
      <w:lvlText w:val="第%1章  "/>
      <w:lvlJc w:val="left"/>
      <w:pPr>
        <w:tabs>
          <w:tab w:val="left" w:pos="3065"/>
        </w:tabs>
        <w:ind w:left="2410" w:hanging="425"/>
      </w:pPr>
      <w:rPr>
        <w:rFonts w:hint="eastAsia"/>
        <w:color w:val="auto"/>
      </w:rPr>
    </w:lvl>
    <w:lvl w:ilvl="1" w:tentative="0">
      <w:start w:val="1"/>
      <w:numFmt w:val="decimal"/>
      <w:pStyle w:val="58"/>
      <w:lvlText w:val="%1.%2 "/>
      <w:lvlJc w:val="left"/>
      <w:pPr>
        <w:tabs>
          <w:tab w:val="left" w:pos="3217"/>
        </w:tabs>
        <w:ind w:left="3217" w:hanging="567"/>
      </w:pPr>
      <w:rPr>
        <w:rFonts w:hint="eastAsia"/>
        <w:lang w:val="en-US"/>
      </w:rPr>
    </w:lvl>
    <w:lvl w:ilvl="2" w:tentative="0">
      <w:start w:val="1"/>
      <w:numFmt w:val="decimal"/>
      <w:lvlText w:val="%1.%2.%3 "/>
      <w:lvlJc w:val="left"/>
      <w:pPr>
        <w:tabs>
          <w:tab w:val="left" w:pos="1080"/>
        </w:tabs>
        <w:ind w:left="709" w:hanging="709"/>
      </w:pPr>
      <w:rPr>
        <w:rFonts w:hint="default" w:ascii="Times New Roman" w:hAnsi="Times New Roman"/>
        <w:b/>
        <w:i w:val="0"/>
      </w:rPr>
    </w:lvl>
    <w:lvl w:ilvl="3" w:tentative="0">
      <w:start w:val="1"/>
      <w:numFmt w:val="decimal"/>
      <w:lvlRestart w:val="1"/>
      <w:lvlText w:val="表%1-%4"/>
      <w:lvlJc w:val="center"/>
      <w:pPr>
        <w:tabs>
          <w:tab w:val="left" w:pos="2973"/>
        </w:tabs>
        <w:ind w:left="2973" w:hanging="563"/>
      </w:pPr>
      <w:rPr>
        <w:rFonts w:hint="default" w:ascii="Times New Roman" w:hAnsi="Times New Roman" w:eastAsia="宋体"/>
        <w:b/>
        <w:i w:val="0"/>
        <w:color w:val="auto"/>
        <w:sz w:val="24"/>
        <w:lang w:val="en-US"/>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AD66A74"/>
    <w:multiLevelType w:val="multilevel"/>
    <w:tmpl w:val="0AD66A74"/>
    <w:lvl w:ilvl="0" w:tentative="0">
      <w:start w:val="1"/>
      <w:numFmt w:val="decimal"/>
      <w:lvlText w:val="表1-%1"/>
      <w:lvlJc w:val="left"/>
      <w:pPr>
        <w:ind w:left="2224" w:hanging="420"/>
      </w:pPr>
      <w:rPr>
        <w:rFonts w:hint="eastAsia"/>
      </w:rPr>
    </w:lvl>
    <w:lvl w:ilvl="1" w:tentative="0">
      <w:start w:val="1"/>
      <w:numFmt w:val="lowerLetter"/>
      <w:lvlText w:val="%2)"/>
      <w:lvlJc w:val="left"/>
      <w:pPr>
        <w:ind w:left="840" w:hanging="420"/>
      </w:pPr>
    </w:lvl>
    <w:lvl w:ilvl="2" w:tentative="0">
      <w:start w:val="1"/>
      <w:numFmt w:val="decimal"/>
      <w:lvlText w:val="表2-%3"/>
      <w:lvlJc w:val="right"/>
      <w:pPr>
        <w:ind w:left="1260" w:hanging="420"/>
      </w:pPr>
      <w:rPr>
        <w:rFonts w:hint="default"/>
        <w:b/>
        <w:bC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A74112"/>
    <w:multiLevelType w:val="multilevel"/>
    <w:tmpl w:val="1DA74112"/>
    <w:lvl w:ilvl="0" w:tentative="0">
      <w:start w:val="1"/>
      <w:numFmt w:val="decimal"/>
      <w:lvlText w:val="表1-%1"/>
      <w:lvlJc w:val="left"/>
      <w:pPr>
        <w:ind w:left="2224" w:hanging="420"/>
      </w:pPr>
      <w:rPr>
        <w:rFonts w:hint="eastAsia"/>
      </w:rPr>
    </w:lvl>
    <w:lvl w:ilvl="1" w:tentative="0">
      <w:start w:val="1"/>
      <w:numFmt w:val="lowerLetter"/>
      <w:lvlText w:val="%2)"/>
      <w:lvlJc w:val="left"/>
      <w:pPr>
        <w:ind w:left="840" w:hanging="420"/>
      </w:pPr>
    </w:lvl>
    <w:lvl w:ilvl="2" w:tentative="0">
      <w:start w:val="1"/>
      <w:numFmt w:val="decimal"/>
      <w:lvlText w:val="表3-%3"/>
      <w:lvlJc w:val="right"/>
      <w:pPr>
        <w:ind w:left="1260" w:hanging="420"/>
      </w:pPr>
      <w:rPr>
        <w:rFonts w:hint="default"/>
        <w:b/>
        <w:bCs/>
        <w:lang w:val="en-U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895F7E"/>
    <w:multiLevelType w:val="multilevel"/>
    <w:tmpl w:val="79895F7E"/>
    <w:lvl w:ilvl="0" w:tentative="0">
      <w:start w:val="1"/>
      <w:numFmt w:val="decimal"/>
      <w:lvlText w:val="表1-%1"/>
      <w:lvlJc w:val="left"/>
      <w:pPr>
        <w:ind w:left="2224" w:hanging="420"/>
      </w:pPr>
      <w:rPr>
        <w:rFonts w:hint="eastAsia"/>
      </w:rPr>
    </w:lvl>
    <w:lvl w:ilvl="1" w:tentative="0">
      <w:start w:val="1"/>
      <w:numFmt w:val="lowerLetter"/>
      <w:lvlText w:val="%2)"/>
      <w:lvlJc w:val="left"/>
      <w:pPr>
        <w:ind w:left="840" w:hanging="420"/>
      </w:pPr>
    </w:lvl>
    <w:lvl w:ilvl="2" w:tentative="0">
      <w:start w:val="1"/>
      <w:numFmt w:val="decimal"/>
      <w:lvlText w:val="表4-%3"/>
      <w:lvlJc w:val="right"/>
      <w:pPr>
        <w:ind w:left="1260" w:hanging="420"/>
      </w:pPr>
      <w:rPr>
        <w:rFonts w:hint="default"/>
        <w:b/>
        <w:bC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M2JmZTA0YWVhODM5MTU0NWI3ZGFhYmY2NTM4MjQifQ=="/>
  </w:docVars>
  <w:rsids>
    <w:rsidRoot w:val="00A14947"/>
    <w:rsid w:val="00001189"/>
    <w:rsid w:val="00002DD1"/>
    <w:rsid w:val="00003367"/>
    <w:rsid w:val="0000346C"/>
    <w:rsid w:val="00004FE8"/>
    <w:rsid w:val="000060B3"/>
    <w:rsid w:val="000123B8"/>
    <w:rsid w:val="00014524"/>
    <w:rsid w:val="000149FF"/>
    <w:rsid w:val="00015B9C"/>
    <w:rsid w:val="000162EA"/>
    <w:rsid w:val="00016B5C"/>
    <w:rsid w:val="00017E6F"/>
    <w:rsid w:val="0002175D"/>
    <w:rsid w:val="000219DF"/>
    <w:rsid w:val="00022155"/>
    <w:rsid w:val="00023480"/>
    <w:rsid w:val="000247E4"/>
    <w:rsid w:val="00024E26"/>
    <w:rsid w:val="000261E7"/>
    <w:rsid w:val="0002633D"/>
    <w:rsid w:val="00032883"/>
    <w:rsid w:val="00033F79"/>
    <w:rsid w:val="000349C4"/>
    <w:rsid w:val="0003641D"/>
    <w:rsid w:val="00036DC8"/>
    <w:rsid w:val="00036F10"/>
    <w:rsid w:val="0003701A"/>
    <w:rsid w:val="000372E3"/>
    <w:rsid w:val="0003780A"/>
    <w:rsid w:val="0004060A"/>
    <w:rsid w:val="00040889"/>
    <w:rsid w:val="0004342E"/>
    <w:rsid w:val="0004364B"/>
    <w:rsid w:val="00043805"/>
    <w:rsid w:val="00044D2B"/>
    <w:rsid w:val="00044E18"/>
    <w:rsid w:val="00045140"/>
    <w:rsid w:val="000453CD"/>
    <w:rsid w:val="000514E0"/>
    <w:rsid w:val="00052406"/>
    <w:rsid w:val="000551A7"/>
    <w:rsid w:val="00055F6E"/>
    <w:rsid w:val="00056991"/>
    <w:rsid w:val="000570BD"/>
    <w:rsid w:val="00060D03"/>
    <w:rsid w:val="00061B1F"/>
    <w:rsid w:val="00061BFC"/>
    <w:rsid w:val="000624E5"/>
    <w:rsid w:val="00063AA2"/>
    <w:rsid w:val="00067529"/>
    <w:rsid w:val="00067DAD"/>
    <w:rsid w:val="00070574"/>
    <w:rsid w:val="00070A9C"/>
    <w:rsid w:val="000710D0"/>
    <w:rsid w:val="000715AE"/>
    <w:rsid w:val="0007215E"/>
    <w:rsid w:val="0007254E"/>
    <w:rsid w:val="000733C4"/>
    <w:rsid w:val="00073737"/>
    <w:rsid w:val="00074783"/>
    <w:rsid w:val="0008070B"/>
    <w:rsid w:val="000810AC"/>
    <w:rsid w:val="00081A02"/>
    <w:rsid w:val="00082149"/>
    <w:rsid w:val="00082231"/>
    <w:rsid w:val="00082C3B"/>
    <w:rsid w:val="000840A1"/>
    <w:rsid w:val="00084D30"/>
    <w:rsid w:val="00092C14"/>
    <w:rsid w:val="00092D38"/>
    <w:rsid w:val="0009377B"/>
    <w:rsid w:val="00093819"/>
    <w:rsid w:val="000938BC"/>
    <w:rsid w:val="0009795F"/>
    <w:rsid w:val="000A0376"/>
    <w:rsid w:val="000A20C9"/>
    <w:rsid w:val="000A42AC"/>
    <w:rsid w:val="000A500E"/>
    <w:rsid w:val="000A52F1"/>
    <w:rsid w:val="000A6016"/>
    <w:rsid w:val="000A6E90"/>
    <w:rsid w:val="000B04CE"/>
    <w:rsid w:val="000B058F"/>
    <w:rsid w:val="000B171C"/>
    <w:rsid w:val="000B1875"/>
    <w:rsid w:val="000B390E"/>
    <w:rsid w:val="000B4467"/>
    <w:rsid w:val="000B4DB9"/>
    <w:rsid w:val="000B5A0F"/>
    <w:rsid w:val="000B783C"/>
    <w:rsid w:val="000C09AC"/>
    <w:rsid w:val="000C19F1"/>
    <w:rsid w:val="000C54EF"/>
    <w:rsid w:val="000C5752"/>
    <w:rsid w:val="000C6956"/>
    <w:rsid w:val="000C767F"/>
    <w:rsid w:val="000D0337"/>
    <w:rsid w:val="000D0B34"/>
    <w:rsid w:val="000D1A8D"/>
    <w:rsid w:val="000D46C9"/>
    <w:rsid w:val="000D4B29"/>
    <w:rsid w:val="000D5A44"/>
    <w:rsid w:val="000D6980"/>
    <w:rsid w:val="000E07A5"/>
    <w:rsid w:val="000E17E8"/>
    <w:rsid w:val="000E251C"/>
    <w:rsid w:val="000E2E2E"/>
    <w:rsid w:val="000E3ED2"/>
    <w:rsid w:val="000E49E8"/>
    <w:rsid w:val="000E5566"/>
    <w:rsid w:val="000F0977"/>
    <w:rsid w:val="000F1384"/>
    <w:rsid w:val="000F5BA1"/>
    <w:rsid w:val="001014DE"/>
    <w:rsid w:val="00104148"/>
    <w:rsid w:val="00112748"/>
    <w:rsid w:val="001132C7"/>
    <w:rsid w:val="00114E60"/>
    <w:rsid w:val="00115453"/>
    <w:rsid w:val="0012019E"/>
    <w:rsid w:val="00124B0A"/>
    <w:rsid w:val="00126149"/>
    <w:rsid w:val="001272BD"/>
    <w:rsid w:val="00130498"/>
    <w:rsid w:val="00130B37"/>
    <w:rsid w:val="00131F42"/>
    <w:rsid w:val="00131FD9"/>
    <w:rsid w:val="0013260B"/>
    <w:rsid w:val="00132B0F"/>
    <w:rsid w:val="001357F1"/>
    <w:rsid w:val="00135D90"/>
    <w:rsid w:val="001364ED"/>
    <w:rsid w:val="00140013"/>
    <w:rsid w:val="00140FA8"/>
    <w:rsid w:val="00142FEB"/>
    <w:rsid w:val="00143052"/>
    <w:rsid w:val="001430E5"/>
    <w:rsid w:val="00143A2D"/>
    <w:rsid w:val="00144C54"/>
    <w:rsid w:val="00145A41"/>
    <w:rsid w:val="00145D67"/>
    <w:rsid w:val="00145ED5"/>
    <w:rsid w:val="00151675"/>
    <w:rsid w:val="00152CF0"/>
    <w:rsid w:val="00153C00"/>
    <w:rsid w:val="00157435"/>
    <w:rsid w:val="00157A8E"/>
    <w:rsid w:val="00157BC8"/>
    <w:rsid w:val="00157C9E"/>
    <w:rsid w:val="00160A71"/>
    <w:rsid w:val="0016214D"/>
    <w:rsid w:val="00164A4D"/>
    <w:rsid w:val="001650CA"/>
    <w:rsid w:val="00166E4A"/>
    <w:rsid w:val="00166E8B"/>
    <w:rsid w:val="00170912"/>
    <w:rsid w:val="00171999"/>
    <w:rsid w:val="0017289D"/>
    <w:rsid w:val="00173606"/>
    <w:rsid w:val="00174655"/>
    <w:rsid w:val="00174C56"/>
    <w:rsid w:val="0017504D"/>
    <w:rsid w:val="0017671A"/>
    <w:rsid w:val="00176773"/>
    <w:rsid w:val="00176F71"/>
    <w:rsid w:val="00177422"/>
    <w:rsid w:val="001812DC"/>
    <w:rsid w:val="0018164C"/>
    <w:rsid w:val="00184590"/>
    <w:rsid w:val="00184AE1"/>
    <w:rsid w:val="001870D1"/>
    <w:rsid w:val="0018781E"/>
    <w:rsid w:val="00190B45"/>
    <w:rsid w:val="00192012"/>
    <w:rsid w:val="0019262D"/>
    <w:rsid w:val="0019670C"/>
    <w:rsid w:val="001A094C"/>
    <w:rsid w:val="001A1B35"/>
    <w:rsid w:val="001A2825"/>
    <w:rsid w:val="001A48A2"/>
    <w:rsid w:val="001A5AF0"/>
    <w:rsid w:val="001A6AE1"/>
    <w:rsid w:val="001A6F61"/>
    <w:rsid w:val="001B0E10"/>
    <w:rsid w:val="001B3727"/>
    <w:rsid w:val="001B70A5"/>
    <w:rsid w:val="001B712D"/>
    <w:rsid w:val="001B72B8"/>
    <w:rsid w:val="001B7A6D"/>
    <w:rsid w:val="001C075E"/>
    <w:rsid w:val="001C2A74"/>
    <w:rsid w:val="001C4409"/>
    <w:rsid w:val="001C5A05"/>
    <w:rsid w:val="001C69B3"/>
    <w:rsid w:val="001C7797"/>
    <w:rsid w:val="001C781C"/>
    <w:rsid w:val="001D17F6"/>
    <w:rsid w:val="001D27BA"/>
    <w:rsid w:val="001D35FD"/>
    <w:rsid w:val="001D46F9"/>
    <w:rsid w:val="001D5595"/>
    <w:rsid w:val="001D580E"/>
    <w:rsid w:val="001D6452"/>
    <w:rsid w:val="001D7874"/>
    <w:rsid w:val="001D7B08"/>
    <w:rsid w:val="001D7F22"/>
    <w:rsid w:val="001E0735"/>
    <w:rsid w:val="001E1291"/>
    <w:rsid w:val="001E163E"/>
    <w:rsid w:val="001E212F"/>
    <w:rsid w:val="001E21FF"/>
    <w:rsid w:val="001E33DE"/>
    <w:rsid w:val="001E439D"/>
    <w:rsid w:val="001E4D97"/>
    <w:rsid w:val="001E7BA3"/>
    <w:rsid w:val="001F088F"/>
    <w:rsid w:val="001F0F17"/>
    <w:rsid w:val="001F1674"/>
    <w:rsid w:val="001F21DD"/>
    <w:rsid w:val="001F3347"/>
    <w:rsid w:val="001F3679"/>
    <w:rsid w:val="001F5F82"/>
    <w:rsid w:val="001F5FBE"/>
    <w:rsid w:val="001F69E4"/>
    <w:rsid w:val="002033E7"/>
    <w:rsid w:val="0020574B"/>
    <w:rsid w:val="00205D62"/>
    <w:rsid w:val="00210217"/>
    <w:rsid w:val="00212493"/>
    <w:rsid w:val="002125B4"/>
    <w:rsid w:val="002125E7"/>
    <w:rsid w:val="00212745"/>
    <w:rsid w:val="0021278E"/>
    <w:rsid w:val="00214B88"/>
    <w:rsid w:val="002155B8"/>
    <w:rsid w:val="0021663E"/>
    <w:rsid w:val="002178DC"/>
    <w:rsid w:val="00222350"/>
    <w:rsid w:val="002235E9"/>
    <w:rsid w:val="00224839"/>
    <w:rsid w:val="002249B2"/>
    <w:rsid w:val="0022548B"/>
    <w:rsid w:val="00225FDF"/>
    <w:rsid w:val="00226574"/>
    <w:rsid w:val="00226CF0"/>
    <w:rsid w:val="002278EC"/>
    <w:rsid w:val="00230592"/>
    <w:rsid w:val="0023280E"/>
    <w:rsid w:val="002355C5"/>
    <w:rsid w:val="00235854"/>
    <w:rsid w:val="0023620A"/>
    <w:rsid w:val="002377D1"/>
    <w:rsid w:val="002416E7"/>
    <w:rsid w:val="002436F7"/>
    <w:rsid w:val="00244500"/>
    <w:rsid w:val="00244F10"/>
    <w:rsid w:val="002461A2"/>
    <w:rsid w:val="00246BC3"/>
    <w:rsid w:val="002477C1"/>
    <w:rsid w:val="002477CB"/>
    <w:rsid w:val="00247963"/>
    <w:rsid w:val="002506BC"/>
    <w:rsid w:val="00250C59"/>
    <w:rsid w:val="00250D39"/>
    <w:rsid w:val="002510DD"/>
    <w:rsid w:val="00251104"/>
    <w:rsid w:val="00251B47"/>
    <w:rsid w:val="00252F0F"/>
    <w:rsid w:val="00254345"/>
    <w:rsid w:val="00255787"/>
    <w:rsid w:val="002560E8"/>
    <w:rsid w:val="00256D23"/>
    <w:rsid w:val="00257673"/>
    <w:rsid w:val="00260F46"/>
    <w:rsid w:val="0026149B"/>
    <w:rsid w:val="00262912"/>
    <w:rsid w:val="002631B1"/>
    <w:rsid w:val="00264104"/>
    <w:rsid w:val="00264557"/>
    <w:rsid w:val="00266A5D"/>
    <w:rsid w:val="002670FB"/>
    <w:rsid w:val="00273162"/>
    <w:rsid w:val="0027319D"/>
    <w:rsid w:val="002740BD"/>
    <w:rsid w:val="00275B78"/>
    <w:rsid w:val="00275C61"/>
    <w:rsid w:val="00276FB3"/>
    <w:rsid w:val="002774D1"/>
    <w:rsid w:val="00277B37"/>
    <w:rsid w:val="002805AB"/>
    <w:rsid w:val="0028353F"/>
    <w:rsid w:val="00284204"/>
    <w:rsid w:val="0028597B"/>
    <w:rsid w:val="00285B9A"/>
    <w:rsid w:val="0028628B"/>
    <w:rsid w:val="00286E5E"/>
    <w:rsid w:val="00290A9F"/>
    <w:rsid w:val="00290CDB"/>
    <w:rsid w:val="00291145"/>
    <w:rsid w:val="0029175E"/>
    <w:rsid w:val="00291773"/>
    <w:rsid w:val="00292E9E"/>
    <w:rsid w:val="00293B1C"/>
    <w:rsid w:val="002A02A2"/>
    <w:rsid w:val="002A0962"/>
    <w:rsid w:val="002A0BDC"/>
    <w:rsid w:val="002A150E"/>
    <w:rsid w:val="002A168C"/>
    <w:rsid w:val="002A3DC7"/>
    <w:rsid w:val="002A3F7C"/>
    <w:rsid w:val="002A525A"/>
    <w:rsid w:val="002A7516"/>
    <w:rsid w:val="002A7C4F"/>
    <w:rsid w:val="002B1082"/>
    <w:rsid w:val="002B3AED"/>
    <w:rsid w:val="002B43DD"/>
    <w:rsid w:val="002B4962"/>
    <w:rsid w:val="002B49E2"/>
    <w:rsid w:val="002B4A4D"/>
    <w:rsid w:val="002B542F"/>
    <w:rsid w:val="002B7151"/>
    <w:rsid w:val="002B7B00"/>
    <w:rsid w:val="002B7C44"/>
    <w:rsid w:val="002C149C"/>
    <w:rsid w:val="002C2B17"/>
    <w:rsid w:val="002C549E"/>
    <w:rsid w:val="002C57B3"/>
    <w:rsid w:val="002C78BE"/>
    <w:rsid w:val="002D1EAB"/>
    <w:rsid w:val="002D3DD0"/>
    <w:rsid w:val="002D41D6"/>
    <w:rsid w:val="002D4838"/>
    <w:rsid w:val="002D4860"/>
    <w:rsid w:val="002D48DB"/>
    <w:rsid w:val="002E0586"/>
    <w:rsid w:val="002E1F3A"/>
    <w:rsid w:val="002E298A"/>
    <w:rsid w:val="002F233C"/>
    <w:rsid w:val="002F278A"/>
    <w:rsid w:val="002F3D98"/>
    <w:rsid w:val="002F546E"/>
    <w:rsid w:val="002F6D88"/>
    <w:rsid w:val="002F6E70"/>
    <w:rsid w:val="002F7F94"/>
    <w:rsid w:val="003006D4"/>
    <w:rsid w:val="00301978"/>
    <w:rsid w:val="0030332C"/>
    <w:rsid w:val="003051C2"/>
    <w:rsid w:val="00310FC5"/>
    <w:rsid w:val="00312113"/>
    <w:rsid w:val="00312296"/>
    <w:rsid w:val="00314F0E"/>
    <w:rsid w:val="003173C8"/>
    <w:rsid w:val="00321D8E"/>
    <w:rsid w:val="003234BD"/>
    <w:rsid w:val="00324507"/>
    <w:rsid w:val="00325928"/>
    <w:rsid w:val="00325E15"/>
    <w:rsid w:val="003273DB"/>
    <w:rsid w:val="003276AB"/>
    <w:rsid w:val="0032778C"/>
    <w:rsid w:val="00327D35"/>
    <w:rsid w:val="00330552"/>
    <w:rsid w:val="00332863"/>
    <w:rsid w:val="0033684D"/>
    <w:rsid w:val="0033729B"/>
    <w:rsid w:val="00337A9D"/>
    <w:rsid w:val="00337B42"/>
    <w:rsid w:val="00337C74"/>
    <w:rsid w:val="00341295"/>
    <w:rsid w:val="00341B42"/>
    <w:rsid w:val="003423D3"/>
    <w:rsid w:val="0034348F"/>
    <w:rsid w:val="00344A9D"/>
    <w:rsid w:val="00344BA4"/>
    <w:rsid w:val="00345F74"/>
    <w:rsid w:val="00346A23"/>
    <w:rsid w:val="00347399"/>
    <w:rsid w:val="00350079"/>
    <w:rsid w:val="00352726"/>
    <w:rsid w:val="00352E50"/>
    <w:rsid w:val="00353A3E"/>
    <w:rsid w:val="00356653"/>
    <w:rsid w:val="0035743F"/>
    <w:rsid w:val="00357A00"/>
    <w:rsid w:val="00357BE2"/>
    <w:rsid w:val="00360669"/>
    <w:rsid w:val="0036170C"/>
    <w:rsid w:val="00362E04"/>
    <w:rsid w:val="00364219"/>
    <w:rsid w:val="00365575"/>
    <w:rsid w:val="00366E0F"/>
    <w:rsid w:val="003708DB"/>
    <w:rsid w:val="00370C8E"/>
    <w:rsid w:val="00371257"/>
    <w:rsid w:val="00372539"/>
    <w:rsid w:val="00375002"/>
    <w:rsid w:val="00377B1F"/>
    <w:rsid w:val="00380B32"/>
    <w:rsid w:val="00381A72"/>
    <w:rsid w:val="00384676"/>
    <w:rsid w:val="003853E6"/>
    <w:rsid w:val="00385592"/>
    <w:rsid w:val="00386DEE"/>
    <w:rsid w:val="00387F14"/>
    <w:rsid w:val="00390857"/>
    <w:rsid w:val="00391D98"/>
    <w:rsid w:val="003958EE"/>
    <w:rsid w:val="003A23E4"/>
    <w:rsid w:val="003A244A"/>
    <w:rsid w:val="003A2901"/>
    <w:rsid w:val="003A36E5"/>
    <w:rsid w:val="003A4BF3"/>
    <w:rsid w:val="003A604E"/>
    <w:rsid w:val="003A6B5F"/>
    <w:rsid w:val="003A76E6"/>
    <w:rsid w:val="003B1546"/>
    <w:rsid w:val="003B16E2"/>
    <w:rsid w:val="003B22E3"/>
    <w:rsid w:val="003B30CA"/>
    <w:rsid w:val="003B420D"/>
    <w:rsid w:val="003B5676"/>
    <w:rsid w:val="003B56B9"/>
    <w:rsid w:val="003B6C37"/>
    <w:rsid w:val="003B7717"/>
    <w:rsid w:val="003C11D7"/>
    <w:rsid w:val="003C640B"/>
    <w:rsid w:val="003C6C16"/>
    <w:rsid w:val="003C77F0"/>
    <w:rsid w:val="003C7A52"/>
    <w:rsid w:val="003D18E4"/>
    <w:rsid w:val="003D470F"/>
    <w:rsid w:val="003D4C60"/>
    <w:rsid w:val="003D5155"/>
    <w:rsid w:val="003D5A8C"/>
    <w:rsid w:val="003D794D"/>
    <w:rsid w:val="003E068C"/>
    <w:rsid w:val="003E19A9"/>
    <w:rsid w:val="003E2A9C"/>
    <w:rsid w:val="003E3058"/>
    <w:rsid w:val="003E445E"/>
    <w:rsid w:val="003E4913"/>
    <w:rsid w:val="003E52BB"/>
    <w:rsid w:val="003E76A9"/>
    <w:rsid w:val="003F024F"/>
    <w:rsid w:val="003F0809"/>
    <w:rsid w:val="003F1E55"/>
    <w:rsid w:val="003F23B1"/>
    <w:rsid w:val="003F4C7E"/>
    <w:rsid w:val="003F526B"/>
    <w:rsid w:val="003F56A1"/>
    <w:rsid w:val="003F5D71"/>
    <w:rsid w:val="003F5FE7"/>
    <w:rsid w:val="003F5FFE"/>
    <w:rsid w:val="003F6016"/>
    <w:rsid w:val="003F6A8C"/>
    <w:rsid w:val="003F755C"/>
    <w:rsid w:val="003F7675"/>
    <w:rsid w:val="0040018C"/>
    <w:rsid w:val="004001E3"/>
    <w:rsid w:val="00400CD1"/>
    <w:rsid w:val="00401E49"/>
    <w:rsid w:val="00403188"/>
    <w:rsid w:val="004042A2"/>
    <w:rsid w:val="004047AA"/>
    <w:rsid w:val="00406F01"/>
    <w:rsid w:val="004107AB"/>
    <w:rsid w:val="0041171A"/>
    <w:rsid w:val="00416D20"/>
    <w:rsid w:val="00416D50"/>
    <w:rsid w:val="00416FD5"/>
    <w:rsid w:val="004175A0"/>
    <w:rsid w:val="00417772"/>
    <w:rsid w:val="00420E6A"/>
    <w:rsid w:val="00422666"/>
    <w:rsid w:val="004233DF"/>
    <w:rsid w:val="004254B6"/>
    <w:rsid w:val="00425A9E"/>
    <w:rsid w:val="00426D6B"/>
    <w:rsid w:val="00426E52"/>
    <w:rsid w:val="00426F7E"/>
    <w:rsid w:val="00427A8A"/>
    <w:rsid w:val="00430281"/>
    <w:rsid w:val="00430594"/>
    <w:rsid w:val="00430B2D"/>
    <w:rsid w:val="00431E6C"/>
    <w:rsid w:val="00432600"/>
    <w:rsid w:val="00432B85"/>
    <w:rsid w:val="00433CE7"/>
    <w:rsid w:val="0043634F"/>
    <w:rsid w:val="0044053C"/>
    <w:rsid w:val="0044153F"/>
    <w:rsid w:val="00444E08"/>
    <w:rsid w:val="00450206"/>
    <w:rsid w:val="00450624"/>
    <w:rsid w:val="0045097D"/>
    <w:rsid w:val="00451051"/>
    <w:rsid w:val="00452738"/>
    <w:rsid w:val="00452C0F"/>
    <w:rsid w:val="004530F2"/>
    <w:rsid w:val="004545A4"/>
    <w:rsid w:val="0045531D"/>
    <w:rsid w:val="00455B81"/>
    <w:rsid w:val="00456091"/>
    <w:rsid w:val="004601AB"/>
    <w:rsid w:val="00462070"/>
    <w:rsid w:val="00464816"/>
    <w:rsid w:val="00466321"/>
    <w:rsid w:val="00467BB6"/>
    <w:rsid w:val="00470B15"/>
    <w:rsid w:val="00471253"/>
    <w:rsid w:val="0047154C"/>
    <w:rsid w:val="00471B3B"/>
    <w:rsid w:val="00473F80"/>
    <w:rsid w:val="00474E07"/>
    <w:rsid w:val="00475E64"/>
    <w:rsid w:val="00477E70"/>
    <w:rsid w:val="004800DA"/>
    <w:rsid w:val="004809E1"/>
    <w:rsid w:val="00480D46"/>
    <w:rsid w:val="00484B9B"/>
    <w:rsid w:val="004855F6"/>
    <w:rsid w:val="00485638"/>
    <w:rsid w:val="0048661E"/>
    <w:rsid w:val="00494670"/>
    <w:rsid w:val="004970A3"/>
    <w:rsid w:val="0049740F"/>
    <w:rsid w:val="004A2866"/>
    <w:rsid w:val="004A35AE"/>
    <w:rsid w:val="004A3823"/>
    <w:rsid w:val="004A3998"/>
    <w:rsid w:val="004A3B73"/>
    <w:rsid w:val="004A4E82"/>
    <w:rsid w:val="004A6D7D"/>
    <w:rsid w:val="004A7325"/>
    <w:rsid w:val="004A7859"/>
    <w:rsid w:val="004B0752"/>
    <w:rsid w:val="004B12A8"/>
    <w:rsid w:val="004B1532"/>
    <w:rsid w:val="004B1E6C"/>
    <w:rsid w:val="004B30BD"/>
    <w:rsid w:val="004B350F"/>
    <w:rsid w:val="004B6500"/>
    <w:rsid w:val="004B7AC4"/>
    <w:rsid w:val="004C3B73"/>
    <w:rsid w:val="004C402D"/>
    <w:rsid w:val="004C5C43"/>
    <w:rsid w:val="004D79A0"/>
    <w:rsid w:val="004D7F26"/>
    <w:rsid w:val="004E4B4C"/>
    <w:rsid w:val="004E6946"/>
    <w:rsid w:val="004E6C0B"/>
    <w:rsid w:val="004E6D94"/>
    <w:rsid w:val="004F08BB"/>
    <w:rsid w:val="004F13A4"/>
    <w:rsid w:val="004F1AD8"/>
    <w:rsid w:val="004F2764"/>
    <w:rsid w:val="004F5731"/>
    <w:rsid w:val="004F72A0"/>
    <w:rsid w:val="005005D0"/>
    <w:rsid w:val="00500A9A"/>
    <w:rsid w:val="00502136"/>
    <w:rsid w:val="00502D95"/>
    <w:rsid w:val="005039CB"/>
    <w:rsid w:val="005040A5"/>
    <w:rsid w:val="00504FF3"/>
    <w:rsid w:val="0050558F"/>
    <w:rsid w:val="00506286"/>
    <w:rsid w:val="00507180"/>
    <w:rsid w:val="005100D4"/>
    <w:rsid w:val="00510813"/>
    <w:rsid w:val="00510C16"/>
    <w:rsid w:val="00511681"/>
    <w:rsid w:val="00511990"/>
    <w:rsid w:val="005119FE"/>
    <w:rsid w:val="00511DE0"/>
    <w:rsid w:val="00514870"/>
    <w:rsid w:val="00514B66"/>
    <w:rsid w:val="00514B9B"/>
    <w:rsid w:val="00515F5F"/>
    <w:rsid w:val="00516417"/>
    <w:rsid w:val="00517178"/>
    <w:rsid w:val="00517F02"/>
    <w:rsid w:val="00520094"/>
    <w:rsid w:val="005206EA"/>
    <w:rsid w:val="00520850"/>
    <w:rsid w:val="00523990"/>
    <w:rsid w:val="00524303"/>
    <w:rsid w:val="005258A2"/>
    <w:rsid w:val="00527B72"/>
    <w:rsid w:val="00527CB9"/>
    <w:rsid w:val="00530F59"/>
    <w:rsid w:val="00531C3D"/>
    <w:rsid w:val="00532CAF"/>
    <w:rsid w:val="00535087"/>
    <w:rsid w:val="0053531D"/>
    <w:rsid w:val="00537967"/>
    <w:rsid w:val="005401AE"/>
    <w:rsid w:val="00540387"/>
    <w:rsid w:val="00541A3F"/>
    <w:rsid w:val="00542299"/>
    <w:rsid w:val="00542734"/>
    <w:rsid w:val="00542972"/>
    <w:rsid w:val="00542E07"/>
    <w:rsid w:val="0054511C"/>
    <w:rsid w:val="00545424"/>
    <w:rsid w:val="00545B4E"/>
    <w:rsid w:val="00545B6F"/>
    <w:rsid w:val="005510FE"/>
    <w:rsid w:val="00551A42"/>
    <w:rsid w:val="00551F8B"/>
    <w:rsid w:val="0055327A"/>
    <w:rsid w:val="00553DB2"/>
    <w:rsid w:val="00554A7B"/>
    <w:rsid w:val="0055572C"/>
    <w:rsid w:val="005564F9"/>
    <w:rsid w:val="00556862"/>
    <w:rsid w:val="00557B51"/>
    <w:rsid w:val="0056106A"/>
    <w:rsid w:val="00567A7F"/>
    <w:rsid w:val="005711E2"/>
    <w:rsid w:val="005720AE"/>
    <w:rsid w:val="00573110"/>
    <w:rsid w:val="005731A8"/>
    <w:rsid w:val="005746D0"/>
    <w:rsid w:val="005811A4"/>
    <w:rsid w:val="00582573"/>
    <w:rsid w:val="00586AB0"/>
    <w:rsid w:val="0059000B"/>
    <w:rsid w:val="00594D77"/>
    <w:rsid w:val="005969E4"/>
    <w:rsid w:val="00597281"/>
    <w:rsid w:val="00597C55"/>
    <w:rsid w:val="005A06B7"/>
    <w:rsid w:val="005A0D27"/>
    <w:rsid w:val="005A1759"/>
    <w:rsid w:val="005A5AC3"/>
    <w:rsid w:val="005A68A7"/>
    <w:rsid w:val="005A6BE4"/>
    <w:rsid w:val="005A7E37"/>
    <w:rsid w:val="005B10DD"/>
    <w:rsid w:val="005B1B32"/>
    <w:rsid w:val="005B38D5"/>
    <w:rsid w:val="005B3BC7"/>
    <w:rsid w:val="005B6873"/>
    <w:rsid w:val="005B6CC7"/>
    <w:rsid w:val="005B738A"/>
    <w:rsid w:val="005C1022"/>
    <w:rsid w:val="005C1B5A"/>
    <w:rsid w:val="005C5794"/>
    <w:rsid w:val="005C59BF"/>
    <w:rsid w:val="005C5FD8"/>
    <w:rsid w:val="005C7B0D"/>
    <w:rsid w:val="005D1914"/>
    <w:rsid w:val="005D36AB"/>
    <w:rsid w:val="005D475D"/>
    <w:rsid w:val="005D48D0"/>
    <w:rsid w:val="005D49A5"/>
    <w:rsid w:val="005D544C"/>
    <w:rsid w:val="005D7B10"/>
    <w:rsid w:val="005D7EBF"/>
    <w:rsid w:val="005D7ECC"/>
    <w:rsid w:val="005E013B"/>
    <w:rsid w:val="005E14ED"/>
    <w:rsid w:val="005E15E3"/>
    <w:rsid w:val="005E31DE"/>
    <w:rsid w:val="005E42A1"/>
    <w:rsid w:val="005E42D9"/>
    <w:rsid w:val="005E6345"/>
    <w:rsid w:val="005F3607"/>
    <w:rsid w:val="005F6325"/>
    <w:rsid w:val="005F6A24"/>
    <w:rsid w:val="005F6EBB"/>
    <w:rsid w:val="005F6F0B"/>
    <w:rsid w:val="0060168C"/>
    <w:rsid w:val="00601F1C"/>
    <w:rsid w:val="006028DA"/>
    <w:rsid w:val="00604317"/>
    <w:rsid w:val="00604F52"/>
    <w:rsid w:val="0060647E"/>
    <w:rsid w:val="006103C6"/>
    <w:rsid w:val="0061111F"/>
    <w:rsid w:val="0061486B"/>
    <w:rsid w:val="00614C99"/>
    <w:rsid w:val="0061556C"/>
    <w:rsid w:val="00617C29"/>
    <w:rsid w:val="00617CC3"/>
    <w:rsid w:val="00620FFE"/>
    <w:rsid w:val="0062137A"/>
    <w:rsid w:val="00621639"/>
    <w:rsid w:val="00621E9A"/>
    <w:rsid w:val="00621EA2"/>
    <w:rsid w:val="006240AD"/>
    <w:rsid w:val="00625365"/>
    <w:rsid w:val="0062536B"/>
    <w:rsid w:val="006271AC"/>
    <w:rsid w:val="006326EE"/>
    <w:rsid w:val="00632D5C"/>
    <w:rsid w:val="0063456C"/>
    <w:rsid w:val="00634EE0"/>
    <w:rsid w:val="006358A6"/>
    <w:rsid w:val="00635FE2"/>
    <w:rsid w:val="006368FD"/>
    <w:rsid w:val="006377A6"/>
    <w:rsid w:val="00637A3D"/>
    <w:rsid w:val="00640B6A"/>
    <w:rsid w:val="006411EF"/>
    <w:rsid w:val="00641D48"/>
    <w:rsid w:val="00642049"/>
    <w:rsid w:val="006422AF"/>
    <w:rsid w:val="00643DC2"/>
    <w:rsid w:val="00644892"/>
    <w:rsid w:val="00651733"/>
    <w:rsid w:val="0065320A"/>
    <w:rsid w:val="006539E0"/>
    <w:rsid w:val="00653DBE"/>
    <w:rsid w:val="00654C8A"/>
    <w:rsid w:val="0065779B"/>
    <w:rsid w:val="00660AB6"/>
    <w:rsid w:val="0066139B"/>
    <w:rsid w:val="00661D2E"/>
    <w:rsid w:val="00662BF6"/>
    <w:rsid w:val="00666055"/>
    <w:rsid w:val="00671395"/>
    <w:rsid w:val="006715B2"/>
    <w:rsid w:val="00671846"/>
    <w:rsid w:val="006720D0"/>
    <w:rsid w:val="00672C28"/>
    <w:rsid w:val="006736E7"/>
    <w:rsid w:val="00673DBD"/>
    <w:rsid w:val="006748B8"/>
    <w:rsid w:val="00675667"/>
    <w:rsid w:val="00676F1E"/>
    <w:rsid w:val="00676FE7"/>
    <w:rsid w:val="006775C3"/>
    <w:rsid w:val="0067795E"/>
    <w:rsid w:val="00681751"/>
    <w:rsid w:val="00682C6D"/>
    <w:rsid w:val="00683083"/>
    <w:rsid w:val="00684919"/>
    <w:rsid w:val="00685566"/>
    <w:rsid w:val="0069004A"/>
    <w:rsid w:val="00690464"/>
    <w:rsid w:val="00690DE9"/>
    <w:rsid w:val="00691FC2"/>
    <w:rsid w:val="00692413"/>
    <w:rsid w:val="0069290A"/>
    <w:rsid w:val="0069424D"/>
    <w:rsid w:val="00694971"/>
    <w:rsid w:val="00695260"/>
    <w:rsid w:val="006967DD"/>
    <w:rsid w:val="0069775A"/>
    <w:rsid w:val="00697813"/>
    <w:rsid w:val="006A02E3"/>
    <w:rsid w:val="006A030E"/>
    <w:rsid w:val="006A1035"/>
    <w:rsid w:val="006A183F"/>
    <w:rsid w:val="006A2C38"/>
    <w:rsid w:val="006A3EE8"/>
    <w:rsid w:val="006A478F"/>
    <w:rsid w:val="006A72BF"/>
    <w:rsid w:val="006B03F2"/>
    <w:rsid w:val="006B2121"/>
    <w:rsid w:val="006B37DC"/>
    <w:rsid w:val="006B4F68"/>
    <w:rsid w:val="006B6D1F"/>
    <w:rsid w:val="006B78B7"/>
    <w:rsid w:val="006C0592"/>
    <w:rsid w:val="006C272E"/>
    <w:rsid w:val="006C3C4D"/>
    <w:rsid w:val="006C4267"/>
    <w:rsid w:val="006C46B9"/>
    <w:rsid w:val="006C5479"/>
    <w:rsid w:val="006C62A5"/>
    <w:rsid w:val="006C6D9F"/>
    <w:rsid w:val="006D01BA"/>
    <w:rsid w:val="006D04AF"/>
    <w:rsid w:val="006D13B5"/>
    <w:rsid w:val="006D30AF"/>
    <w:rsid w:val="006D32AA"/>
    <w:rsid w:val="006E12FF"/>
    <w:rsid w:val="006E155A"/>
    <w:rsid w:val="006E156D"/>
    <w:rsid w:val="006E4B1D"/>
    <w:rsid w:val="006E607E"/>
    <w:rsid w:val="006F0C8F"/>
    <w:rsid w:val="006F145A"/>
    <w:rsid w:val="006F2377"/>
    <w:rsid w:val="006F31B9"/>
    <w:rsid w:val="006F48B9"/>
    <w:rsid w:val="006F70BE"/>
    <w:rsid w:val="006F7CCD"/>
    <w:rsid w:val="007012DA"/>
    <w:rsid w:val="00704201"/>
    <w:rsid w:val="00704667"/>
    <w:rsid w:val="007047E7"/>
    <w:rsid w:val="00706C5D"/>
    <w:rsid w:val="00707345"/>
    <w:rsid w:val="00710B11"/>
    <w:rsid w:val="007117E7"/>
    <w:rsid w:val="007120A4"/>
    <w:rsid w:val="00713B10"/>
    <w:rsid w:val="007172C4"/>
    <w:rsid w:val="007178A3"/>
    <w:rsid w:val="00720073"/>
    <w:rsid w:val="00720E70"/>
    <w:rsid w:val="007215C4"/>
    <w:rsid w:val="00721CF3"/>
    <w:rsid w:val="007235E6"/>
    <w:rsid w:val="00725182"/>
    <w:rsid w:val="00725A75"/>
    <w:rsid w:val="00726D49"/>
    <w:rsid w:val="00727E2D"/>
    <w:rsid w:val="007309BD"/>
    <w:rsid w:val="00731B3E"/>
    <w:rsid w:val="00732922"/>
    <w:rsid w:val="00734674"/>
    <w:rsid w:val="00734EC3"/>
    <w:rsid w:val="007350E9"/>
    <w:rsid w:val="00735C17"/>
    <w:rsid w:val="00736C93"/>
    <w:rsid w:val="00740A88"/>
    <w:rsid w:val="007416A9"/>
    <w:rsid w:val="007434F8"/>
    <w:rsid w:val="00743938"/>
    <w:rsid w:val="0074400C"/>
    <w:rsid w:val="00746B46"/>
    <w:rsid w:val="00750A14"/>
    <w:rsid w:val="0075162E"/>
    <w:rsid w:val="007525A3"/>
    <w:rsid w:val="00753523"/>
    <w:rsid w:val="00754034"/>
    <w:rsid w:val="00754BE7"/>
    <w:rsid w:val="00756556"/>
    <w:rsid w:val="0075751A"/>
    <w:rsid w:val="00760796"/>
    <w:rsid w:val="007618C4"/>
    <w:rsid w:val="007624AB"/>
    <w:rsid w:val="007641BC"/>
    <w:rsid w:val="00767816"/>
    <w:rsid w:val="00767980"/>
    <w:rsid w:val="00770B19"/>
    <w:rsid w:val="00771087"/>
    <w:rsid w:val="00771826"/>
    <w:rsid w:val="007733BF"/>
    <w:rsid w:val="0077463F"/>
    <w:rsid w:val="00777413"/>
    <w:rsid w:val="00777CEA"/>
    <w:rsid w:val="0078052B"/>
    <w:rsid w:val="00781314"/>
    <w:rsid w:val="007814FB"/>
    <w:rsid w:val="00781A7A"/>
    <w:rsid w:val="007836EA"/>
    <w:rsid w:val="007837AD"/>
    <w:rsid w:val="00784CDA"/>
    <w:rsid w:val="00785E5B"/>
    <w:rsid w:val="007906C4"/>
    <w:rsid w:val="007910DD"/>
    <w:rsid w:val="007927F0"/>
    <w:rsid w:val="00793267"/>
    <w:rsid w:val="007940EA"/>
    <w:rsid w:val="007967E8"/>
    <w:rsid w:val="00796ADE"/>
    <w:rsid w:val="00796DF9"/>
    <w:rsid w:val="0079763F"/>
    <w:rsid w:val="007A089E"/>
    <w:rsid w:val="007A1245"/>
    <w:rsid w:val="007A2170"/>
    <w:rsid w:val="007A22BF"/>
    <w:rsid w:val="007A3323"/>
    <w:rsid w:val="007A5881"/>
    <w:rsid w:val="007A5E16"/>
    <w:rsid w:val="007B061D"/>
    <w:rsid w:val="007B09C4"/>
    <w:rsid w:val="007B0D15"/>
    <w:rsid w:val="007B1763"/>
    <w:rsid w:val="007B1CC6"/>
    <w:rsid w:val="007B259D"/>
    <w:rsid w:val="007B50D8"/>
    <w:rsid w:val="007B72B8"/>
    <w:rsid w:val="007B7970"/>
    <w:rsid w:val="007B7A58"/>
    <w:rsid w:val="007C03A0"/>
    <w:rsid w:val="007C0D38"/>
    <w:rsid w:val="007C102D"/>
    <w:rsid w:val="007C21B5"/>
    <w:rsid w:val="007C41F0"/>
    <w:rsid w:val="007C7CF7"/>
    <w:rsid w:val="007D0BAF"/>
    <w:rsid w:val="007D4059"/>
    <w:rsid w:val="007D5A90"/>
    <w:rsid w:val="007D7C87"/>
    <w:rsid w:val="007E024B"/>
    <w:rsid w:val="007E421A"/>
    <w:rsid w:val="007E4BD2"/>
    <w:rsid w:val="007F215B"/>
    <w:rsid w:val="007F2986"/>
    <w:rsid w:val="007F47E6"/>
    <w:rsid w:val="007F6FB5"/>
    <w:rsid w:val="007F7FB4"/>
    <w:rsid w:val="0080107F"/>
    <w:rsid w:val="00801393"/>
    <w:rsid w:val="00802F88"/>
    <w:rsid w:val="00802FDC"/>
    <w:rsid w:val="00806A8B"/>
    <w:rsid w:val="00810933"/>
    <w:rsid w:val="00810CF7"/>
    <w:rsid w:val="0081186F"/>
    <w:rsid w:val="0081293E"/>
    <w:rsid w:val="00814941"/>
    <w:rsid w:val="00814E8E"/>
    <w:rsid w:val="00815465"/>
    <w:rsid w:val="0081550F"/>
    <w:rsid w:val="00817E9A"/>
    <w:rsid w:val="0082225A"/>
    <w:rsid w:val="008306BD"/>
    <w:rsid w:val="00830CBA"/>
    <w:rsid w:val="00831A80"/>
    <w:rsid w:val="0083236E"/>
    <w:rsid w:val="00833743"/>
    <w:rsid w:val="00834058"/>
    <w:rsid w:val="008340A4"/>
    <w:rsid w:val="00834121"/>
    <w:rsid w:val="0083585A"/>
    <w:rsid w:val="00836902"/>
    <w:rsid w:val="00841DB5"/>
    <w:rsid w:val="008455B4"/>
    <w:rsid w:val="00846197"/>
    <w:rsid w:val="00846C5A"/>
    <w:rsid w:val="0085513E"/>
    <w:rsid w:val="00857223"/>
    <w:rsid w:val="008578A1"/>
    <w:rsid w:val="00857B29"/>
    <w:rsid w:val="00857CED"/>
    <w:rsid w:val="00857E6B"/>
    <w:rsid w:val="008608DE"/>
    <w:rsid w:val="008632C4"/>
    <w:rsid w:val="008634B0"/>
    <w:rsid w:val="008646A6"/>
    <w:rsid w:val="0087135F"/>
    <w:rsid w:val="00871C9A"/>
    <w:rsid w:val="00871FA8"/>
    <w:rsid w:val="00872157"/>
    <w:rsid w:val="00872D3A"/>
    <w:rsid w:val="00872D94"/>
    <w:rsid w:val="00873E53"/>
    <w:rsid w:val="00874111"/>
    <w:rsid w:val="00876575"/>
    <w:rsid w:val="00877677"/>
    <w:rsid w:val="00877B45"/>
    <w:rsid w:val="00877C11"/>
    <w:rsid w:val="00880364"/>
    <w:rsid w:val="0088258D"/>
    <w:rsid w:val="00882F9C"/>
    <w:rsid w:val="00883902"/>
    <w:rsid w:val="00884CF1"/>
    <w:rsid w:val="00886638"/>
    <w:rsid w:val="00886B1A"/>
    <w:rsid w:val="00891592"/>
    <w:rsid w:val="00891E9E"/>
    <w:rsid w:val="00891F91"/>
    <w:rsid w:val="008927F2"/>
    <w:rsid w:val="0089367A"/>
    <w:rsid w:val="008938DE"/>
    <w:rsid w:val="00894F7A"/>
    <w:rsid w:val="0089622E"/>
    <w:rsid w:val="0089627A"/>
    <w:rsid w:val="0089671D"/>
    <w:rsid w:val="0089747B"/>
    <w:rsid w:val="00897723"/>
    <w:rsid w:val="008A007E"/>
    <w:rsid w:val="008A0342"/>
    <w:rsid w:val="008A0A89"/>
    <w:rsid w:val="008A2F68"/>
    <w:rsid w:val="008A3EF2"/>
    <w:rsid w:val="008A5468"/>
    <w:rsid w:val="008A56C2"/>
    <w:rsid w:val="008A5956"/>
    <w:rsid w:val="008A6972"/>
    <w:rsid w:val="008B0B22"/>
    <w:rsid w:val="008B2A63"/>
    <w:rsid w:val="008B33A4"/>
    <w:rsid w:val="008B4FA6"/>
    <w:rsid w:val="008B5282"/>
    <w:rsid w:val="008B6260"/>
    <w:rsid w:val="008B6AAB"/>
    <w:rsid w:val="008B7528"/>
    <w:rsid w:val="008B7C17"/>
    <w:rsid w:val="008C17E2"/>
    <w:rsid w:val="008C2A9E"/>
    <w:rsid w:val="008C2BCF"/>
    <w:rsid w:val="008C2D01"/>
    <w:rsid w:val="008C3199"/>
    <w:rsid w:val="008C3AD6"/>
    <w:rsid w:val="008C40E6"/>
    <w:rsid w:val="008C4674"/>
    <w:rsid w:val="008D0F7A"/>
    <w:rsid w:val="008D1948"/>
    <w:rsid w:val="008D2963"/>
    <w:rsid w:val="008D37C5"/>
    <w:rsid w:val="008D55B2"/>
    <w:rsid w:val="008D68E4"/>
    <w:rsid w:val="008D71BC"/>
    <w:rsid w:val="008E0506"/>
    <w:rsid w:val="008E0CFF"/>
    <w:rsid w:val="008E2CFC"/>
    <w:rsid w:val="008E2D5F"/>
    <w:rsid w:val="008E44FF"/>
    <w:rsid w:val="008E56DC"/>
    <w:rsid w:val="008E584D"/>
    <w:rsid w:val="008E5D6B"/>
    <w:rsid w:val="008E6271"/>
    <w:rsid w:val="008E63F4"/>
    <w:rsid w:val="008E734A"/>
    <w:rsid w:val="008E76F0"/>
    <w:rsid w:val="008F0948"/>
    <w:rsid w:val="008F15FE"/>
    <w:rsid w:val="008F190A"/>
    <w:rsid w:val="008F2D29"/>
    <w:rsid w:val="008F3974"/>
    <w:rsid w:val="008F3A13"/>
    <w:rsid w:val="008F4093"/>
    <w:rsid w:val="008F4DE9"/>
    <w:rsid w:val="008F5187"/>
    <w:rsid w:val="008F593E"/>
    <w:rsid w:val="008F5B9D"/>
    <w:rsid w:val="008F60D8"/>
    <w:rsid w:val="008F6A47"/>
    <w:rsid w:val="008F6FAB"/>
    <w:rsid w:val="00900439"/>
    <w:rsid w:val="00902727"/>
    <w:rsid w:val="0090312B"/>
    <w:rsid w:val="00903C53"/>
    <w:rsid w:val="00905794"/>
    <w:rsid w:val="00905AA9"/>
    <w:rsid w:val="009063D3"/>
    <w:rsid w:val="00906EA0"/>
    <w:rsid w:val="00910E63"/>
    <w:rsid w:val="00910EAC"/>
    <w:rsid w:val="00911C10"/>
    <w:rsid w:val="009120DC"/>
    <w:rsid w:val="00916051"/>
    <w:rsid w:val="009161FB"/>
    <w:rsid w:val="0091736D"/>
    <w:rsid w:val="00920DAF"/>
    <w:rsid w:val="00921454"/>
    <w:rsid w:val="0092147B"/>
    <w:rsid w:val="00921A9E"/>
    <w:rsid w:val="00922433"/>
    <w:rsid w:val="009225DD"/>
    <w:rsid w:val="00922C78"/>
    <w:rsid w:val="00922FE7"/>
    <w:rsid w:val="00923172"/>
    <w:rsid w:val="009262C5"/>
    <w:rsid w:val="00926784"/>
    <w:rsid w:val="0093037A"/>
    <w:rsid w:val="009324D6"/>
    <w:rsid w:val="00934874"/>
    <w:rsid w:val="00935EF5"/>
    <w:rsid w:val="00936FAD"/>
    <w:rsid w:val="0094104D"/>
    <w:rsid w:val="0094154D"/>
    <w:rsid w:val="00944B1B"/>
    <w:rsid w:val="0094620C"/>
    <w:rsid w:val="009466A2"/>
    <w:rsid w:val="00950ACC"/>
    <w:rsid w:val="009511EE"/>
    <w:rsid w:val="0095155F"/>
    <w:rsid w:val="00951A8A"/>
    <w:rsid w:val="009535A0"/>
    <w:rsid w:val="00953B7E"/>
    <w:rsid w:val="00954429"/>
    <w:rsid w:val="009563CE"/>
    <w:rsid w:val="009611B4"/>
    <w:rsid w:val="00962343"/>
    <w:rsid w:val="00962430"/>
    <w:rsid w:val="00962E74"/>
    <w:rsid w:val="00963320"/>
    <w:rsid w:val="00963B54"/>
    <w:rsid w:val="00964945"/>
    <w:rsid w:val="009661B1"/>
    <w:rsid w:val="009673F2"/>
    <w:rsid w:val="00967B38"/>
    <w:rsid w:val="00971DD2"/>
    <w:rsid w:val="00974EF0"/>
    <w:rsid w:val="00975AA2"/>
    <w:rsid w:val="00976328"/>
    <w:rsid w:val="0097680D"/>
    <w:rsid w:val="00981755"/>
    <w:rsid w:val="00982438"/>
    <w:rsid w:val="0098404C"/>
    <w:rsid w:val="00984202"/>
    <w:rsid w:val="00985283"/>
    <w:rsid w:val="009858EE"/>
    <w:rsid w:val="00986762"/>
    <w:rsid w:val="00986DAA"/>
    <w:rsid w:val="00990386"/>
    <w:rsid w:val="00991474"/>
    <w:rsid w:val="00992134"/>
    <w:rsid w:val="00993107"/>
    <w:rsid w:val="00993E6E"/>
    <w:rsid w:val="009943ED"/>
    <w:rsid w:val="00995992"/>
    <w:rsid w:val="009973D1"/>
    <w:rsid w:val="009A03E5"/>
    <w:rsid w:val="009A0F3B"/>
    <w:rsid w:val="009A18D8"/>
    <w:rsid w:val="009A1BB4"/>
    <w:rsid w:val="009A2628"/>
    <w:rsid w:val="009A3200"/>
    <w:rsid w:val="009A3F95"/>
    <w:rsid w:val="009A473E"/>
    <w:rsid w:val="009A5122"/>
    <w:rsid w:val="009A5281"/>
    <w:rsid w:val="009A6628"/>
    <w:rsid w:val="009A7F69"/>
    <w:rsid w:val="009B0897"/>
    <w:rsid w:val="009B0C9D"/>
    <w:rsid w:val="009B3581"/>
    <w:rsid w:val="009B38D6"/>
    <w:rsid w:val="009B3AA7"/>
    <w:rsid w:val="009B6B85"/>
    <w:rsid w:val="009B6BC0"/>
    <w:rsid w:val="009B6D57"/>
    <w:rsid w:val="009B6D71"/>
    <w:rsid w:val="009B75E2"/>
    <w:rsid w:val="009B7BD9"/>
    <w:rsid w:val="009C004A"/>
    <w:rsid w:val="009C0341"/>
    <w:rsid w:val="009C7DD5"/>
    <w:rsid w:val="009D1C45"/>
    <w:rsid w:val="009D20C8"/>
    <w:rsid w:val="009D3982"/>
    <w:rsid w:val="009D43B8"/>
    <w:rsid w:val="009D4C33"/>
    <w:rsid w:val="009D5508"/>
    <w:rsid w:val="009E1275"/>
    <w:rsid w:val="009E149D"/>
    <w:rsid w:val="009E1535"/>
    <w:rsid w:val="009E1C9D"/>
    <w:rsid w:val="009E21F0"/>
    <w:rsid w:val="009E227D"/>
    <w:rsid w:val="009E362C"/>
    <w:rsid w:val="009E37BD"/>
    <w:rsid w:val="009E4EFD"/>
    <w:rsid w:val="009E5019"/>
    <w:rsid w:val="009E5B44"/>
    <w:rsid w:val="009E5B47"/>
    <w:rsid w:val="009E62FC"/>
    <w:rsid w:val="009E64E1"/>
    <w:rsid w:val="009E67CD"/>
    <w:rsid w:val="009E746A"/>
    <w:rsid w:val="009E7C0E"/>
    <w:rsid w:val="009F16A3"/>
    <w:rsid w:val="009F199A"/>
    <w:rsid w:val="009F3FC2"/>
    <w:rsid w:val="009F4043"/>
    <w:rsid w:val="009F48FF"/>
    <w:rsid w:val="009F5658"/>
    <w:rsid w:val="009F5D7C"/>
    <w:rsid w:val="009F7F0D"/>
    <w:rsid w:val="00A01853"/>
    <w:rsid w:val="00A01C2D"/>
    <w:rsid w:val="00A02B3C"/>
    <w:rsid w:val="00A034EB"/>
    <w:rsid w:val="00A03543"/>
    <w:rsid w:val="00A0363F"/>
    <w:rsid w:val="00A03F1F"/>
    <w:rsid w:val="00A04F1B"/>
    <w:rsid w:val="00A0501B"/>
    <w:rsid w:val="00A05292"/>
    <w:rsid w:val="00A05420"/>
    <w:rsid w:val="00A07399"/>
    <w:rsid w:val="00A11378"/>
    <w:rsid w:val="00A118B6"/>
    <w:rsid w:val="00A12BD6"/>
    <w:rsid w:val="00A13597"/>
    <w:rsid w:val="00A139AB"/>
    <w:rsid w:val="00A14947"/>
    <w:rsid w:val="00A1771B"/>
    <w:rsid w:val="00A17B82"/>
    <w:rsid w:val="00A23191"/>
    <w:rsid w:val="00A2321E"/>
    <w:rsid w:val="00A24AB6"/>
    <w:rsid w:val="00A27DB0"/>
    <w:rsid w:val="00A30101"/>
    <w:rsid w:val="00A32A83"/>
    <w:rsid w:val="00A33C60"/>
    <w:rsid w:val="00A368DB"/>
    <w:rsid w:val="00A400A2"/>
    <w:rsid w:val="00A40A9A"/>
    <w:rsid w:val="00A40B20"/>
    <w:rsid w:val="00A40E38"/>
    <w:rsid w:val="00A417DF"/>
    <w:rsid w:val="00A423AA"/>
    <w:rsid w:val="00A42BC1"/>
    <w:rsid w:val="00A42E70"/>
    <w:rsid w:val="00A43242"/>
    <w:rsid w:val="00A43DC2"/>
    <w:rsid w:val="00A4422D"/>
    <w:rsid w:val="00A44B13"/>
    <w:rsid w:val="00A44DD3"/>
    <w:rsid w:val="00A46008"/>
    <w:rsid w:val="00A47834"/>
    <w:rsid w:val="00A5257E"/>
    <w:rsid w:val="00A52D8B"/>
    <w:rsid w:val="00A53EC6"/>
    <w:rsid w:val="00A55C0F"/>
    <w:rsid w:val="00A57375"/>
    <w:rsid w:val="00A6230B"/>
    <w:rsid w:val="00A62850"/>
    <w:rsid w:val="00A63F62"/>
    <w:rsid w:val="00A645AB"/>
    <w:rsid w:val="00A677BB"/>
    <w:rsid w:val="00A70C87"/>
    <w:rsid w:val="00A72B44"/>
    <w:rsid w:val="00A73627"/>
    <w:rsid w:val="00A744D6"/>
    <w:rsid w:val="00A75A36"/>
    <w:rsid w:val="00A75C35"/>
    <w:rsid w:val="00A770A9"/>
    <w:rsid w:val="00A80314"/>
    <w:rsid w:val="00A80820"/>
    <w:rsid w:val="00A819FE"/>
    <w:rsid w:val="00A82A00"/>
    <w:rsid w:val="00A83BB0"/>
    <w:rsid w:val="00A8548A"/>
    <w:rsid w:val="00A8713F"/>
    <w:rsid w:val="00A87347"/>
    <w:rsid w:val="00A873B1"/>
    <w:rsid w:val="00A878C7"/>
    <w:rsid w:val="00A90A62"/>
    <w:rsid w:val="00A90BA1"/>
    <w:rsid w:val="00A938A1"/>
    <w:rsid w:val="00A97A9A"/>
    <w:rsid w:val="00AA0671"/>
    <w:rsid w:val="00AA12A6"/>
    <w:rsid w:val="00AA2531"/>
    <w:rsid w:val="00AA2D7E"/>
    <w:rsid w:val="00AA42DA"/>
    <w:rsid w:val="00AA4451"/>
    <w:rsid w:val="00AA4DF3"/>
    <w:rsid w:val="00AA517E"/>
    <w:rsid w:val="00AA51D3"/>
    <w:rsid w:val="00AA5379"/>
    <w:rsid w:val="00AA605B"/>
    <w:rsid w:val="00AA70F9"/>
    <w:rsid w:val="00AB0650"/>
    <w:rsid w:val="00AB1A83"/>
    <w:rsid w:val="00AB1E09"/>
    <w:rsid w:val="00AB2223"/>
    <w:rsid w:val="00AB22E8"/>
    <w:rsid w:val="00AB5330"/>
    <w:rsid w:val="00AB59CC"/>
    <w:rsid w:val="00AB7747"/>
    <w:rsid w:val="00AC0406"/>
    <w:rsid w:val="00AC14CE"/>
    <w:rsid w:val="00AC235E"/>
    <w:rsid w:val="00AC28C0"/>
    <w:rsid w:val="00AC2A56"/>
    <w:rsid w:val="00AC33D1"/>
    <w:rsid w:val="00AC3700"/>
    <w:rsid w:val="00AC46A1"/>
    <w:rsid w:val="00AC4A0D"/>
    <w:rsid w:val="00AC5236"/>
    <w:rsid w:val="00AC5468"/>
    <w:rsid w:val="00AC71DC"/>
    <w:rsid w:val="00AC7B36"/>
    <w:rsid w:val="00AD0114"/>
    <w:rsid w:val="00AD0209"/>
    <w:rsid w:val="00AD055E"/>
    <w:rsid w:val="00AD31AA"/>
    <w:rsid w:val="00AD47A7"/>
    <w:rsid w:val="00AD674B"/>
    <w:rsid w:val="00AE0A4C"/>
    <w:rsid w:val="00AE318F"/>
    <w:rsid w:val="00AE3C94"/>
    <w:rsid w:val="00AE3EB7"/>
    <w:rsid w:val="00AE5C09"/>
    <w:rsid w:val="00AE5D67"/>
    <w:rsid w:val="00AE6B0B"/>
    <w:rsid w:val="00AF02F1"/>
    <w:rsid w:val="00AF0CBF"/>
    <w:rsid w:val="00AF257F"/>
    <w:rsid w:val="00AF33CF"/>
    <w:rsid w:val="00AF3FE6"/>
    <w:rsid w:val="00AF4D50"/>
    <w:rsid w:val="00AF4E3C"/>
    <w:rsid w:val="00AF6179"/>
    <w:rsid w:val="00B0002F"/>
    <w:rsid w:val="00B0267A"/>
    <w:rsid w:val="00B078AB"/>
    <w:rsid w:val="00B1295A"/>
    <w:rsid w:val="00B12CEC"/>
    <w:rsid w:val="00B14EE9"/>
    <w:rsid w:val="00B166AE"/>
    <w:rsid w:val="00B16A2E"/>
    <w:rsid w:val="00B17FAA"/>
    <w:rsid w:val="00B20371"/>
    <w:rsid w:val="00B209B5"/>
    <w:rsid w:val="00B20A45"/>
    <w:rsid w:val="00B22C5C"/>
    <w:rsid w:val="00B23EAD"/>
    <w:rsid w:val="00B24449"/>
    <w:rsid w:val="00B24F30"/>
    <w:rsid w:val="00B25C00"/>
    <w:rsid w:val="00B26BC3"/>
    <w:rsid w:val="00B31ABF"/>
    <w:rsid w:val="00B31AF7"/>
    <w:rsid w:val="00B3250A"/>
    <w:rsid w:val="00B329B4"/>
    <w:rsid w:val="00B32B1F"/>
    <w:rsid w:val="00B32F0A"/>
    <w:rsid w:val="00B33BE3"/>
    <w:rsid w:val="00B343CA"/>
    <w:rsid w:val="00B34F8C"/>
    <w:rsid w:val="00B355A4"/>
    <w:rsid w:val="00B36E5A"/>
    <w:rsid w:val="00B37B7B"/>
    <w:rsid w:val="00B40CA1"/>
    <w:rsid w:val="00B40D6E"/>
    <w:rsid w:val="00B41147"/>
    <w:rsid w:val="00B41310"/>
    <w:rsid w:val="00B42B14"/>
    <w:rsid w:val="00B42B28"/>
    <w:rsid w:val="00B43209"/>
    <w:rsid w:val="00B43E8B"/>
    <w:rsid w:val="00B444A7"/>
    <w:rsid w:val="00B50C4C"/>
    <w:rsid w:val="00B51949"/>
    <w:rsid w:val="00B52539"/>
    <w:rsid w:val="00B53B5D"/>
    <w:rsid w:val="00B54423"/>
    <w:rsid w:val="00B546F6"/>
    <w:rsid w:val="00B54AB9"/>
    <w:rsid w:val="00B55085"/>
    <w:rsid w:val="00B56E84"/>
    <w:rsid w:val="00B577B6"/>
    <w:rsid w:val="00B6055E"/>
    <w:rsid w:val="00B61E84"/>
    <w:rsid w:val="00B6317D"/>
    <w:rsid w:val="00B664B1"/>
    <w:rsid w:val="00B672A9"/>
    <w:rsid w:val="00B6746C"/>
    <w:rsid w:val="00B676A8"/>
    <w:rsid w:val="00B676E7"/>
    <w:rsid w:val="00B70420"/>
    <w:rsid w:val="00B714B0"/>
    <w:rsid w:val="00B71A69"/>
    <w:rsid w:val="00B73D4F"/>
    <w:rsid w:val="00B771DB"/>
    <w:rsid w:val="00B7723F"/>
    <w:rsid w:val="00B77371"/>
    <w:rsid w:val="00B80534"/>
    <w:rsid w:val="00B80836"/>
    <w:rsid w:val="00B81E9C"/>
    <w:rsid w:val="00B836FE"/>
    <w:rsid w:val="00B8433C"/>
    <w:rsid w:val="00B85F4D"/>
    <w:rsid w:val="00B8648E"/>
    <w:rsid w:val="00B87491"/>
    <w:rsid w:val="00B87811"/>
    <w:rsid w:val="00B878ED"/>
    <w:rsid w:val="00B911B2"/>
    <w:rsid w:val="00B93596"/>
    <w:rsid w:val="00B93EEE"/>
    <w:rsid w:val="00B94578"/>
    <w:rsid w:val="00B94580"/>
    <w:rsid w:val="00B95332"/>
    <w:rsid w:val="00B96000"/>
    <w:rsid w:val="00B97DE8"/>
    <w:rsid w:val="00BA0D91"/>
    <w:rsid w:val="00BA28BA"/>
    <w:rsid w:val="00BA29E9"/>
    <w:rsid w:val="00BA3EA3"/>
    <w:rsid w:val="00BA5641"/>
    <w:rsid w:val="00BA5B72"/>
    <w:rsid w:val="00BA7142"/>
    <w:rsid w:val="00BA7C9C"/>
    <w:rsid w:val="00BB0369"/>
    <w:rsid w:val="00BB046C"/>
    <w:rsid w:val="00BB0FF8"/>
    <w:rsid w:val="00BB237C"/>
    <w:rsid w:val="00BB41A3"/>
    <w:rsid w:val="00BB5730"/>
    <w:rsid w:val="00BC0541"/>
    <w:rsid w:val="00BC11E6"/>
    <w:rsid w:val="00BC1963"/>
    <w:rsid w:val="00BC2850"/>
    <w:rsid w:val="00BC2AA0"/>
    <w:rsid w:val="00BC32DC"/>
    <w:rsid w:val="00BC35B6"/>
    <w:rsid w:val="00BC6A23"/>
    <w:rsid w:val="00BC7913"/>
    <w:rsid w:val="00BD1B51"/>
    <w:rsid w:val="00BD2D16"/>
    <w:rsid w:val="00BD3934"/>
    <w:rsid w:val="00BD43A0"/>
    <w:rsid w:val="00BD4596"/>
    <w:rsid w:val="00BD56EC"/>
    <w:rsid w:val="00BD5A3D"/>
    <w:rsid w:val="00BD6595"/>
    <w:rsid w:val="00BD76B2"/>
    <w:rsid w:val="00BE047A"/>
    <w:rsid w:val="00BE1405"/>
    <w:rsid w:val="00BE222F"/>
    <w:rsid w:val="00BE312D"/>
    <w:rsid w:val="00BE4FBE"/>
    <w:rsid w:val="00BF1084"/>
    <w:rsid w:val="00BF1AEC"/>
    <w:rsid w:val="00BF1C20"/>
    <w:rsid w:val="00BF237D"/>
    <w:rsid w:val="00BF3C1D"/>
    <w:rsid w:val="00BF3C8E"/>
    <w:rsid w:val="00BF454C"/>
    <w:rsid w:val="00BF5001"/>
    <w:rsid w:val="00BF5A0D"/>
    <w:rsid w:val="00BF7531"/>
    <w:rsid w:val="00C00D77"/>
    <w:rsid w:val="00C01D1A"/>
    <w:rsid w:val="00C01D35"/>
    <w:rsid w:val="00C03138"/>
    <w:rsid w:val="00C104FE"/>
    <w:rsid w:val="00C10578"/>
    <w:rsid w:val="00C11999"/>
    <w:rsid w:val="00C135BC"/>
    <w:rsid w:val="00C1496F"/>
    <w:rsid w:val="00C15C95"/>
    <w:rsid w:val="00C15FDE"/>
    <w:rsid w:val="00C201F3"/>
    <w:rsid w:val="00C20EC8"/>
    <w:rsid w:val="00C21C00"/>
    <w:rsid w:val="00C238E5"/>
    <w:rsid w:val="00C25492"/>
    <w:rsid w:val="00C2596A"/>
    <w:rsid w:val="00C26940"/>
    <w:rsid w:val="00C27537"/>
    <w:rsid w:val="00C302A7"/>
    <w:rsid w:val="00C3080C"/>
    <w:rsid w:val="00C32281"/>
    <w:rsid w:val="00C327FA"/>
    <w:rsid w:val="00C328FE"/>
    <w:rsid w:val="00C33507"/>
    <w:rsid w:val="00C3754F"/>
    <w:rsid w:val="00C4112F"/>
    <w:rsid w:val="00C42114"/>
    <w:rsid w:val="00C4409D"/>
    <w:rsid w:val="00C44E72"/>
    <w:rsid w:val="00C45A06"/>
    <w:rsid w:val="00C47E5B"/>
    <w:rsid w:val="00C47EC8"/>
    <w:rsid w:val="00C505E7"/>
    <w:rsid w:val="00C508B2"/>
    <w:rsid w:val="00C55BDC"/>
    <w:rsid w:val="00C56DCB"/>
    <w:rsid w:val="00C6031E"/>
    <w:rsid w:val="00C61C6A"/>
    <w:rsid w:val="00C61D66"/>
    <w:rsid w:val="00C61E4B"/>
    <w:rsid w:val="00C63E1C"/>
    <w:rsid w:val="00C64BFF"/>
    <w:rsid w:val="00C64D09"/>
    <w:rsid w:val="00C704E9"/>
    <w:rsid w:val="00C7127A"/>
    <w:rsid w:val="00C7304B"/>
    <w:rsid w:val="00C73B11"/>
    <w:rsid w:val="00C763C9"/>
    <w:rsid w:val="00C76DF3"/>
    <w:rsid w:val="00C771F4"/>
    <w:rsid w:val="00C80057"/>
    <w:rsid w:val="00C8197B"/>
    <w:rsid w:val="00C82232"/>
    <w:rsid w:val="00C82913"/>
    <w:rsid w:val="00C83F4F"/>
    <w:rsid w:val="00C842CA"/>
    <w:rsid w:val="00C8433E"/>
    <w:rsid w:val="00C85A4A"/>
    <w:rsid w:val="00C86C30"/>
    <w:rsid w:val="00C86EC0"/>
    <w:rsid w:val="00C87E67"/>
    <w:rsid w:val="00C9097A"/>
    <w:rsid w:val="00C946E9"/>
    <w:rsid w:val="00C94C2F"/>
    <w:rsid w:val="00C9607A"/>
    <w:rsid w:val="00C96DDB"/>
    <w:rsid w:val="00C972B1"/>
    <w:rsid w:val="00CA0923"/>
    <w:rsid w:val="00CA2434"/>
    <w:rsid w:val="00CA2CCE"/>
    <w:rsid w:val="00CA38FF"/>
    <w:rsid w:val="00CA43FD"/>
    <w:rsid w:val="00CA637F"/>
    <w:rsid w:val="00CA7800"/>
    <w:rsid w:val="00CA7EF8"/>
    <w:rsid w:val="00CB19CA"/>
    <w:rsid w:val="00CB1B0C"/>
    <w:rsid w:val="00CB2F63"/>
    <w:rsid w:val="00CB4881"/>
    <w:rsid w:val="00CB6572"/>
    <w:rsid w:val="00CB72AB"/>
    <w:rsid w:val="00CB7E9B"/>
    <w:rsid w:val="00CB7F4A"/>
    <w:rsid w:val="00CC068C"/>
    <w:rsid w:val="00CC35E0"/>
    <w:rsid w:val="00CC44A6"/>
    <w:rsid w:val="00CC489B"/>
    <w:rsid w:val="00CC6768"/>
    <w:rsid w:val="00CC698F"/>
    <w:rsid w:val="00CC6ABA"/>
    <w:rsid w:val="00CD071A"/>
    <w:rsid w:val="00CD17C2"/>
    <w:rsid w:val="00CD1E95"/>
    <w:rsid w:val="00CD2BCD"/>
    <w:rsid w:val="00CD33AF"/>
    <w:rsid w:val="00CD3A4C"/>
    <w:rsid w:val="00CD3B45"/>
    <w:rsid w:val="00CD40ED"/>
    <w:rsid w:val="00CD4455"/>
    <w:rsid w:val="00CD6CD6"/>
    <w:rsid w:val="00CE0A04"/>
    <w:rsid w:val="00CE10E9"/>
    <w:rsid w:val="00CE2193"/>
    <w:rsid w:val="00CE24EC"/>
    <w:rsid w:val="00CE2910"/>
    <w:rsid w:val="00CE3863"/>
    <w:rsid w:val="00CE5393"/>
    <w:rsid w:val="00CF0375"/>
    <w:rsid w:val="00CF059A"/>
    <w:rsid w:val="00CF06DE"/>
    <w:rsid w:val="00CF07D5"/>
    <w:rsid w:val="00CF36BE"/>
    <w:rsid w:val="00CF36E7"/>
    <w:rsid w:val="00CF56E0"/>
    <w:rsid w:val="00CF6000"/>
    <w:rsid w:val="00D003F3"/>
    <w:rsid w:val="00D00FA6"/>
    <w:rsid w:val="00D013FF"/>
    <w:rsid w:val="00D03443"/>
    <w:rsid w:val="00D0364F"/>
    <w:rsid w:val="00D04FD7"/>
    <w:rsid w:val="00D0525D"/>
    <w:rsid w:val="00D062E5"/>
    <w:rsid w:val="00D06834"/>
    <w:rsid w:val="00D11A05"/>
    <w:rsid w:val="00D1349C"/>
    <w:rsid w:val="00D136A4"/>
    <w:rsid w:val="00D14A3E"/>
    <w:rsid w:val="00D16020"/>
    <w:rsid w:val="00D200D1"/>
    <w:rsid w:val="00D21939"/>
    <w:rsid w:val="00D21E57"/>
    <w:rsid w:val="00D23DD4"/>
    <w:rsid w:val="00D241A3"/>
    <w:rsid w:val="00D242E3"/>
    <w:rsid w:val="00D25A9F"/>
    <w:rsid w:val="00D25C70"/>
    <w:rsid w:val="00D26128"/>
    <w:rsid w:val="00D308ED"/>
    <w:rsid w:val="00D31A4E"/>
    <w:rsid w:val="00D3232E"/>
    <w:rsid w:val="00D32591"/>
    <w:rsid w:val="00D33282"/>
    <w:rsid w:val="00D354F2"/>
    <w:rsid w:val="00D35763"/>
    <w:rsid w:val="00D36D86"/>
    <w:rsid w:val="00D37772"/>
    <w:rsid w:val="00D41AB6"/>
    <w:rsid w:val="00D41C67"/>
    <w:rsid w:val="00D428AA"/>
    <w:rsid w:val="00D458EC"/>
    <w:rsid w:val="00D5040B"/>
    <w:rsid w:val="00D5043E"/>
    <w:rsid w:val="00D50A34"/>
    <w:rsid w:val="00D50C51"/>
    <w:rsid w:val="00D53EFA"/>
    <w:rsid w:val="00D56F80"/>
    <w:rsid w:val="00D633D9"/>
    <w:rsid w:val="00D64276"/>
    <w:rsid w:val="00D67227"/>
    <w:rsid w:val="00D70A84"/>
    <w:rsid w:val="00D71332"/>
    <w:rsid w:val="00D71E80"/>
    <w:rsid w:val="00D73384"/>
    <w:rsid w:val="00D734E2"/>
    <w:rsid w:val="00D76E8B"/>
    <w:rsid w:val="00D81437"/>
    <w:rsid w:val="00D820F0"/>
    <w:rsid w:val="00D83CE9"/>
    <w:rsid w:val="00D84078"/>
    <w:rsid w:val="00D85F29"/>
    <w:rsid w:val="00D900C1"/>
    <w:rsid w:val="00D908A3"/>
    <w:rsid w:val="00D923DA"/>
    <w:rsid w:val="00D94A7C"/>
    <w:rsid w:val="00D95896"/>
    <w:rsid w:val="00D96384"/>
    <w:rsid w:val="00D96A9B"/>
    <w:rsid w:val="00DA40A5"/>
    <w:rsid w:val="00DA45F9"/>
    <w:rsid w:val="00DA693B"/>
    <w:rsid w:val="00DB101B"/>
    <w:rsid w:val="00DB13EC"/>
    <w:rsid w:val="00DB1418"/>
    <w:rsid w:val="00DB1624"/>
    <w:rsid w:val="00DB231F"/>
    <w:rsid w:val="00DB2983"/>
    <w:rsid w:val="00DB3CDC"/>
    <w:rsid w:val="00DB3F07"/>
    <w:rsid w:val="00DB4EE3"/>
    <w:rsid w:val="00DB55D2"/>
    <w:rsid w:val="00DB6BBE"/>
    <w:rsid w:val="00DB7072"/>
    <w:rsid w:val="00DC1257"/>
    <w:rsid w:val="00DC2C4E"/>
    <w:rsid w:val="00DC3DC0"/>
    <w:rsid w:val="00DC5B2B"/>
    <w:rsid w:val="00DC5E9A"/>
    <w:rsid w:val="00DC6313"/>
    <w:rsid w:val="00DC7149"/>
    <w:rsid w:val="00DC7403"/>
    <w:rsid w:val="00DD0AFD"/>
    <w:rsid w:val="00DD1DF7"/>
    <w:rsid w:val="00DD2795"/>
    <w:rsid w:val="00DD28EB"/>
    <w:rsid w:val="00DD2960"/>
    <w:rsid w:val="00DD2C58"/>
    <w:rsid w:val="00DD318D"/>
    <w:rsid w:val="00DD47C4"/>
    <w:rsid w:val="00DD4B25"/>
    <w:rsid w:val="00DD4B99"/>
    <w:rsid w:val="00DD664A"/>
    <w:rsid w:val="00DD7E06"/>
    <w:rsid w:val="00DE5440"/>
    <w:rsid w:val="00DE734A"/>
    <w:rsid w:val="00DE741F"/>
    <w:rsid w:val="00DE7650"/>
    <w:rsid w:val="00DF16BA"/>
    <w:rsid w:val="00DF18DC"/>
    <w:rsid w:val="00DF2E12"/>
    <w:rsid w:val="00DF4593"/>
    <w:rsid w:val="00DF514A"/>
    <w:rsid w:val="00DF5D13"/>
    <w:rsid w:val="00DF6690"/>
    <w:rsid w:val="00DF6804"/>
    <w:rsid w:val="00E00C4A"/>
    <w:rsid w:val="00E0358D"/>
    <w:rsid w:val="00E0366C"/>
    <w:rsid w:val="00E04323"/>
    <w:rsid w:val="00E05557"/>
    <w:rsid w:val="00E05D9B"/>
    <w:rsid w:val="00E070A2"/>
    <w:rsid w:val="00E07AD7"/>
    <w:rsid w:val="00E10B29"/>
    <w:rsid w:val="00E119DE"/>
    <w:rsid w:val="00E13771"/>
    <w:rsid w:val="00E142CA"/>
    <w:rsid w:val="00E14407"/>
    <w:rsid w:val="00E146DD"/>
    <w:rsid w:val="00E151CF"/>
    <w:rsid w:val="00E16D46"/>
    <w:rsid w:val="00E17A4F"/>
    <w:rsid w:val="00E20F2F"/>
    <w:rsid w:val="00E213AB"/>
    <w:rsid w:val="00E21A65"/>
    <w:rsid w:val="00E2231B"/>
    <w:rsid w:val="00E22C48"/>
    <w:rsid w:val="00E22F6E"/>
    <w:rsid w:val="00E22FF5"/>
    <w:rsid w:val="00E24E54"/>
    <w:rsid w:val="00E25FC2"/>
    <w:rsid w:val="00E264D5"/>
    <w:rsid w:val="00E2656A"/>
    <w:rsid w:val="00E27533"/>
    <w:rsid w:val="00E30A47"/>
    <w:rsid w:val="00E317F8"/>
    <w:rsid w:val="00E32540"/>
    <w:rsid w:val="00E32CB6"/>
    <w:rsid w:val="00E35191"/>
    <w:rsid w:val="00E37BDB"/>
    <w:rsid w:val="00E4021E"/>
    <w:rsid w:val="00E40595"/>
    <w:rsid w:val="00E4065D"/>
    <w:rsid w:val="00E412D0"/>
    <w:rsid w:val="00E41F34"/>
    <w:rsid w:val="00E41F57"/>
    <w:rsid w:val="00E4303E"/>
    <w:rsid w:val="00E4339A"/>
    <w:rsid w:val="00E45802"/>
    <w:rsid w:val="00E459D4"/>
    <w:rsid w:val="00E45B37"/>
    <w:rsid w:val="00E46E7A"/>
    <w:rsid w:val="00E46F23"/>
    <w:rsid w:val="00E47843"/>
    <w:rsid w:val="00E4793A"/>
    <w:rsid w:val="00E47BC0"/>
    <w:rsid w:val="00E54437"/>
    <w:rsid w:val="00E56322"/>
    <w:rsid w:val="00E5656B"/>
    <w:rsid w:val="00E601B1"/>
    <w:rsid w:val="00E60982"/>
    <w:rsid w:val="00E6191B"/>
    <w:rsid w:val="00E62C62"/>
    <w:rsid w:val="00E63D0E"/>
    <w:rsid w:val="00E63DB6"/>
    <w:rsid w:val="00E64697"/>
    <w:rsid w:val="00E654C1"/>
    <w:rsid w:val="00E654D5"/>
    <w:rsid w:val="00E65D97"/>
    <w:rsid w:val="00E665FC"/>
    <w:rsid w:val="00E67CFF"/>
    <w:rsid w:val="00E701E5"/>
    <w:rsid w:val="00E70933"/>
    <w:rsid w:val="00E70D48"/>
    <w:rsid w:val="00E72281"/>
    <w:rsid w:val="00E72A5A"/>
    <w:rsid w:val="00E73354"/>
    <w:rsid w:val="00E73B3A"/>
    <w:rsid w:val="00E74443"/>
    <w:rsid w:val="00E745B4"/>
    <w:rsid w:val="00E749FE"/>
    <w:rsid w:val="00E779F9"/>
    <w:rsid w:val="00E83065"/>
    <w:rsid w:val="00E84EBF"/>
    <w:rsid w:val="00E85066"/>
    <w:rsid w:val="00E90464"/>
    <w:rsid w:val="00E91AC9"/>
    <w:rsid w:val="00E9242D"/>
    <w:rsid w:val="00E93574"/>
    <w:rsid w:val="00E96B36"/>
    <w:rsid w:val="00E971DB"/>
    <w:rsid w:val="00EA1C74"/>
    <w:rsid w:val="00EA314E"/>
    <w:rsid w:val="00EA3960"/>
    <w:rsid w:val="00EA4A63"/>
    <w:rsid w:val="00EA5BC0"/>
    <w:rsid w:val="00EA6180"/>
    <w:rsid w:val="00EA66A8"/>
    <w:rsid w:val="00EA7B39"/>
    <w:rsid w:val="00EB11AA"/>
    <w:rsid w:val="00EB3095"/>
    <w:rsid w:val="00EB5255"/>
    <w:rsid w:val="00EB5C47"/>
    <w:rsid w:val="00EB7639"/>
    <w:rsid w:val="00EB7D62"/>
    <w:rsid w:val="00EC015C"/>
    <w:rsid w:val="00EC0975"/>
    <w:rsid w:val="00EC09C9"/>
    <w:rsid w:val="00EC0AFF"/>
    <w:rsid w:val="00EC164F"/>
    <w:rsid w:val="00EC187F"/>
    <w:rsid w:val="00EC456A"/>
    <w:rsid w:val="00EC5182"/>
    <w:rsid w:val="00EC5A69"/>
    <w:rsid w:val="00EC67B8"/>
    <w:rsid w:val="00EC7F89"/>
    <w:rsid w:val="00ED0639"/>
    <w:rsid w:val="00ED0E25"/>
    <w:rsid w:val="00ED5257"/>
    <w:rsid w:val="00ED69E2"/>
    <w:rsid w:val="00ED6D24"/>
    <w:rsid w:val="00EE27BB"/>
    <w:rsid w:val="00EE295B"/>
    <w:rsid w:val="00EE3141"/>
    <w:rsid w:val="00EE413B"/>
    <w:rsid w:val="00EE7CC6"/>
    <w:rsid w:val="00EF1712"/>
    <w:rsid w:val="00EF2D59"/>
    <w:rsid w:val="00EF2F5F"/>
    <w:rsid w:val="00EF398C"/>
    <w:rsid w:val="00EF46F0"/>
    <w:rsid w:val="00EF4755"/>
    <w:rsid w:val="00EF4F81"/>
    <w:rsid w:val="00EF6B9E"/>
    <w:rsid w:val="00EF70F7"/>
    <w:rsid w:val="00EF7135"/>
    <w:rsid w:val="00EF735C"/>
    <w:rsid w:val="00F006AA"/>
    <w:rsid w:val="00F011AA"/>
    <w:rsid w:val="00F01864"/>
    <w:rsid w:val="00F027DB"/>
    <w:rsid w:val="00F02FBC"/>
    <w:rsid w:val="00F039AB"/>
    <w:rsid w:val="00F039D5"/>
    <w:rsid w:val="00F06392"/>
    <w:rsid w:val="00F065D9"/>
    <w:rsid w:val="00F07842"/>
    <w:rsid w:val="00F07FB4"/>
    <w:rsid w:val="00F10A09"/>
    <w:rsid w:val="00F11EFA"/>
    <w:rsid w:val="00F11F15"/>
    <w:rsid w:val="00F14A7A"/>
    <w:rsid w:val="00F1603F"/>
    <w:rsid w:val="00F162AE"/>
    <w:rsid w:val="00F17E6E"/>
    <w:rsid w:val="00F20379"/>
    <w:rsid w:val="00F20442"/>
    <w:rsid w:val="00F20CD9"/>
    <w:rsid w:val="00F21058"/>
    <w:rsid w:val="00F217B3"/>
    <w:rsid w:val="00F22985"/>
    <w:rsid w:val="00F24538"/>
    <w:rsid w:val="00F24B40"/>
    <w:rsid w:val="00F26636"/>
    <w:rsid w:val="00F32521"/>
    <w:rsid w:val="00F3383E"/>
    <w:rsid w:val="00F40378"/>
    <w:rsid w:val="00F4130F"/>
    <w:rsid w:val="00F41484"/>
    <w:rsid w:val="00F41B46"/>
    <w:rsid w:val="00F429E9"/>
    <w:rsid w:val="00F42DE4"/>
    <w:rsid w:val="00F440A8"/>
    <w:rsid w:val="00F45A23"/>
    <w:rsid w:val="00F465A7"/>
    <w:rsid w:val="00F502BE"/>
    <w:rsid w:val="00F50B7C"/>
    <w:rsid w:val="00F51272"/>
    <w:rsid w:val="00F5401F"/>
    <w:rsid w:val="00F544B4"/>
    <w:rsid w:val="00F550E6"/>
    <w:rsid w:val="00F604C5"/>
    <w:rsid w:val="00F67AE5"/>
    <w:rsid w:val="00F70ED3"/>
    <w:rsid w:val="00F71805"/>
    <w:rsid w:val="00F72D3E"/>
    <w:rsid w:val="00F74345"/>
    <w:rsid w:val="00F7456D"/>
    <w:rsid w:val="00F75488"/>
    <w:rsid w:val="00F754DB"/>
    <w:rsid w:val="00F779E1"/>
    <w:rsid w:val="00F806C9"/>
    <w:rsid w:val="00F80A0A"/>
    <w:rsid w:val="00F81501"/>
    <w:rsid w:val="00F8248C"/>
    <w:rsid w:val="00F82B19"/>
    <w:rsid w:val="00F8315B"/>
    <w:rsid w:val="00F83629"/>
    <w:rsid w:val="00F83F7F"/>
    <w:rsid w:val="00F84DDE"/>
    <w:rsid w:val="00F853C4"/>
    <w:rsid w:val="00F859AD"/>
    <w:rsid w:val="00F85F1F"/>
    <w:rsid w:val="00F862FA"/>
    <w:rsid w:val="00F86652"/>
    <w:rsid w:val="00F87C67"/>
    <w:rsid w:val="00F90712"/>
    <w:rsid w:val="00F9212D"/>
    <w:rsid w:val="00F93896"/>
    <w:rsid w:val="00F95E47"/>
    <w:rsid w:val="00F965DA"/>
    <w:rsid w:val="00FA07F3"/>
    <w:rsid w:val="00FA090D"/>
    <w:rsid w:val="00FA0989"/>
    <w:rsid w:val="00FA0A14"/>
    <w:rsid w:val="00FA11B9"/>
    <w:rsid w:val="00FA18AC"/>
    <w:rsid w:val="00FA341E"/>
    <w:rsid w:val="00FA406A"/>
    <w:rsid w:val="00FA4BC0"/>
    <w:rsid w:val="00FA50AB"/>
    <w:rsid w:val="00FA5697"/>
    <w:rsid w:val="00FA72F0"/>
    <w:rsid w:val="00FA783D"/>
    <w:rsid w:val="00FA78BF"/>
    <w:rsid w:val="00FA7BC4"/>
    <w:rsid w:val="00FB1878"/>
    <w:rsid w:val="00FB2D7E"/>
    <w:rsid w:val="00FB3331"/>
    <w:rsid w:val="00FB403B"/>
    <w:rsid w:val="00FB490D"/>
    <w:rsid w:val="00FB503A"/>
    <w:rsid w:val="00FB516C"/>
    <w:rsid w:val="00FB6BDB"/>
    <w:rsid w:val="00FB6C72"/>
    <w:rsid w:val="00FC1017"/>
    <w:rsid w:val="00FC1198"/>
    <w:rsid w:val="00FC746D"/>
    <w:rsid w:val="00FD0236"/>
    <w:rsid w:val="00FD1541"/>
    <w:rsid w:val="00FD18F4"/>
    <w:rsid w:val="00FD21D9"/>
    <w:rsid w:val="00FD28F2"/>
    <w:rsid w:val="00FD2B55"/>
    <w:rsid w:val="00FD54DB"/>
    <w:rsid w:val="00FD5EE5"/>
    <w:rsid w:val="00FD619F"/>
    <w:rsid w:val="00FD7803"/>
    <w:rsid w:val="00FE1E41"/>
    <w:rsid w:val="00FE2874"/>
    <w:rsid w:val="00FE57E3"/>
    <w:rsid w:val="00FE6D34"/>
    <w:rsid w:val="00FF0E0B"/>
    <w:rsid w:val="00FF1601"/>
    <w:rsid w:val="00FF42A4"/>
    <w:rsid w:val="00FF433E"/>
    <w:rsid w:val="00FF5024"/>
    <w:rsid w:val="00FF614C"/>
    <w:rsid w:val="00FF66D4"/>
    <w:rsid w:val="00FF6D5F"/>
    <w:rsid w:val="00FF73A5"/>
    <w:rsid w:val="0106443D"/>
    <w:rsid w:val="010B15F4"/>
    <w:rsid w:val="01207B0A"/>
    <w:rsid w:val="01290F7E"/>
    <w:rsid w:val="012A7AF5"/>
    <w:rsid w:val="01390850"/>
    <w:rsid w:val="01507D34"/>
    <w:rsid w:val="015D1E09"/>
    <w:rsid w:val="016112D3"/>
    <w:rsid w:val="016A2DE9"/>
    <w:rsid w:val="0179546C"/>
    <w:rsid w:val="01DC539A"/>
    <w:rsid w:val="020761BA"/>
    <w:rsid w:val="02697903"/>
    <w:rsid w:val="028E6B24"/>
    <w:rsid w:val="02B5726A"/>
    <w:rsid w:val="02B9662A"/>
    <w:rsid w:val="02DA3417"/>
    <w:rsid w:val="02EF71F0"/>
    <w:rsid w:val="02F96569"/>
    <w:rsid w:val="0389415C"/>
    <w:rsid w:val="03EA7B21"/>
    <w:rsid w:val="03F9548C"/>
    <w:rsid w:val="041E1308"/>
    <w:rsid w:val="04234B34"/>
    <w:rsid w:val="043A0A9D"/>
    <w:rsid w:val="045556A5"/>
    <w:rsid w:val="04BE5FB8"/>
    <w:rsid w:val="04C33949"/>
    <w:rsid w:val="04F91753"/>
    <w:rsid w:val="04FA5B7A"/>
    <w:rsid w:val="05103EE6"/>
    <w:rsid w:val="05225CB8"/>
    <w:rsid w:val="053E2528"/>
    <w:rsid w:val="054F4E62"/>
    <w:rsid w:val="05AB1859"/>
    <w:rsid w:val="05B327AC"/>
    <w:rsid w:val="05D0463C"/>
    <w:rsid w:val="05D877D3"/>
    <w:rsid w:val="05F83EAE"/>
    <w:rsid w:val="06293905"/>
    <w:rsid w:val="063472AD"/>
    <w:rsid w:val="063E7D85"/>
    <w:rsid w:val="064D5098"/>
    <w:rsid w:val="06561F26"/>
    <w:rsid w:val="067410D2"/>
    <w:rsid w:val="067D59FE"/>
    <w:rsid w:val="06A82522"/>
    <w:rsid w:val="06EC048E"/>
    <w:rsid w:val="07293586"/>
    <w:rsid w:val="07295285"/>
    <w:rsid w:val="074A238C"/>
    <w:rsid w:val="075D429A"/>
    <w:rsid w:val="075E72EA"/>
    <w:rsid w:val="07636392"/>
    <w:rsid w:val="07770C56"/>
    <w:rsid w:val="079B5FAE"/>
    <w:rsid w:val="07A36D94"/>
    <w:rsid w:val="07AB1CFC"/>
    <w:rsid w:val="07C879D4"/>
    <w:rsid w:val="07D6476B"/>
    <w:rsid w:val="08071C22"/>
    <w:rsid w:val="08283748"/>
    <w:rsid w:val="08285E69"/>
    <w:rsid w:val="08356C1D"/>
    <w:rsid w:val="08C607F0"/>
    <w:rsid w:val="08CB0CA3"/>
    <w:rsid w:val="08D01082"/>
    <w:rsid w:val="08FA4BEC"/>
    <w:rsid w:val="092217DD"/>
    <w:rsid w:val="093A7294"/>
    <w:rsid w:val="09436A8B"/>
    <w:rsid w:val="094A18E2"/>
    <w:rsid w:val="09660018"/>
    <w:rsid w:val="097E3822"/>
    <w:rsid w:val="09C50A19"/>
    <w:rsid w:val="09E162A4"/>
    <w:rsid w:val="0A005C1C"/>
    <w:rsid w:val="0A263993"/>
    <w:rsid w:val="0A2D3AC2"/>
    <w:rsid w:val="0A8B0C0C"/>
    <w:rsid w:val="0AA755DF"/>
    <w:rsid w:val="0AAA2B3A"/>
    <w:rsid w:val="0AB6351E"/>
    <w:rsid w:val="0ABC6A61"/>
    <w:rsid w:val="0B120D44"/>
    <w:rsid w:val="0B1412DE"/>
    <w:rsid w:val="0B257290"/>
    <w:rsid w:val="0B5C70F9"/>
    <w:rsid w:val="0B64718D"/>
    <w:rsid w:val="0B6D4AD0"/>
    <w:rsid w:val="0BA86B08"/>
    <w:rsid w:val="0BC7144F"/>
    <w:rsid w:val="0BD27BF6"/>
    <w:rsid w:val="0BD97DE4"/>
    <w:rsid w:val="0BE37CA1"/>
    <w:rsid w:val="0BF132A6"/>
    <w:rsid w:val="0C0F4630"/>
    <w:rsid w:val="0C3B3C7D"/>
    <w:rsid w:val="0CAB2EAE"/>
    <w:rsid w:val="0CD84886"/>
    <w:rsid w:val="0CE140FC"/>
    <w:rsid w:val="0D105F88"/>
    <w:rsid w:val="0D38275D"/>
    <w:rsid w:val="0D5B287E"/>
    <w:rsid w:val="0D5C470D"/>
    <w:rsid w:val="0D5F3A7D"/>
    <w:rsid w:val="0D621C7D"/>
    <w:rsid w:val="0D911585"/>
    <w:rsid w:val="0DBF68FD"/>
    <w:rsid w:val="0DC069BD"/>
    <w:rsid w:val="0E73034D"/>
    <w:rsid w:val="0E9C4E0F"/>
    <w:rsid w:val="0F0E1EBF"/>
    <w:rsid w:val="0F13775A"/>
    <w:rsid w:val="0F5F45FE"/>
    <w:rsid w:val="0F6D3A07"/>
    <w:rsid w:val="0F7A7721"/>
    <w:rsid w:val="0F840A02"/>
    <w:rsid w:val="0F883D87"/>
    <w:rsid w:val="0F9A112B"/>
    <w:rsid w:val="101A42BE"/>
    <w:rsid w:val="101D1628"/>
    <w:rsid w:val="103D771C"/>
    <w:rsid w:val="104A76C8"/>
    <w:rsid w:val="105E0F24"/>
    <w:rsid w:val="106D2F64"/>
    <w:rsid w:val="10B63710"/>
    <w:rsid w:val="10C94F5E"/>
    <w:rsid w:val="10DE62E5"/>
    <w:rsid w:val="10F10820"/>
    <w:rsid w:val="111C2F7A"/>
    <w:rsid w:val="11361223"/>
    <w:rsid w:val="11665CA1"/>
    <w:rsid w:val="11774223"/>
    <w:rsid w:val="11867FD7"/>
    <w:rsid w:val="118B4CF5"/>
    <w:rsid w:val="12274A70"/>
    <w:rsid w:val="128A57C6"/>
    <w:rsid w:val="12B839F5"/>
    <w:rsid w:val="12E00606"/>
    <w:rsid w:val="13124A6D"/>
    <w:rsid w:val="131A4BEF"/>
    <w:rsid w:val="13217251"/>
    <w:rsid w:val="133F6421"/>
    <w:rsid w:val="13441E3C"/>
    <w:rsid w:val="13502B2B"/>
    <w:rsid w:val="13653831"/>
    <w:rsid w:val="137C0484"/>
    <w:rsid w:val="137F7E6F"/>
    <w:rsid w:val="138F7287"/>
    <w:rsid w:val="13951726"/>
    <w:rsid w:val="13C2125B"/>
    <w:rsid w:val="13F371C9"/>
    <w:rsid w:val="1419732D"/>
    <w:rsid w:val="14396509"/>
    <w:rsid w:val="143C0CA7"/>
    <w:rsid w:val="14621E5D"/>
    <w:rsid w:val="147B03A7"/>
    <w:rsid w:val="148A34BB"/>
    <w:rsid w:val="14BB6070"/>
    <w:rsid w:val="14DD2C3C"/>
    <w:rsid w:val="15070BAE"/>
    <w:rsid w:val="153572FF"/>
    <w:rsid w:val="158104AF"/>
    <w:rsid w:val="159E329B"/>
    <w:rsid w:val="15EA0FB6"/>
    <w:rsid w:val="16087E1D"/>
    <w:rsid w:val="163A6261"/>
    <w:rsid w:val="1648769E"/>
    <w:rsid w:val="166C6737"/>
    <w:rsid w:val="16806C42"/>
    <w:rsid w:val="16B86AE8"/>
    <w:rsid w:val="16D03473"/>
    <w:rsid w:val="16D57B4E"/>
    <w:rsid w:val="16E01F94"/>
    <w:rsid w:val="174E2D0E"/>
    <w:rsid w:val="175311C6"/>
    <w:rsid w:val="17701D14"/>
    <w:rsid w:val="17735226"/>
    <w:rsid w:val="17A96398"/>
    <w:rsid w:val="17AD27E8"/>
    <w:rsid w:val="17D31338"/>
    <w:rsid w:val="17E317AF"/>
    <w:rsid w:val="18111EB0"/>
    <w:rsid w:val="181524B6"/>
    <w:rsid w:val="189F624C"/>
    <w:rsid w:val="18B11B51"/>
    <w:rsid w:val="18B70B60"/>
    <w:rsid w:val="18B80160"/>
    <w:rsid w:val="18B824D7"/>
    <w:rsid w:val="19B36621"/>
    <w:rsid w:val="19B96A31"/>
    <w:rsid w:val="19D45257"/>
    <w:rsid w:val="1A07307D"/>
    <w:rsid w:val="1A1C66C0"/>
    <w:rsid w:val="1A42393B"/>
    <w:rsid w:val="1A5A582F"/>
    <w:rsid w:val="1AAD45DE"/>
    <w:rsid w:val="1AB104D7"/>
    <w:rsid w:val="1AC47244"/>
    <w:rsid w:val="1AD744FA"/>
    <w:rsid w:val="1B046F80"/>
    <w:rsid w:val="1B2B55D1"/>
    <w:rsid w:val="1B305274"/>
    <w:rsid w:val="1B3267B5"/>
    <w:rsid w:val="1B40161D"/>
    <w:rsid w:val="1B42447A"/>
    <w:rsid w:val="1B441859"/>
    <w:rsid w:val="1B554868"/>
    <w:rsid w:val="1B5E3E72"/>
    <w:rsid w:val="1B6606B1"/>
    <w:rsid w:val="1BB2137E"/>
    <w:rsid w:val="1BB61628"/>
    <w:rsid w:val="1BBB6955"/>
    <w:rsid w:val="1BBD590B"/>
    <w:rsid w:val="1BEA1D7A"/>
    <w:rsid w:val="1C0B4C55"/>
    <w:rsid w:val="1C340653"/>
    <w:rsid w:val="1C427A06"/>
    <w:rsid w:val="1C43089F"/>
    <w:rsid w:val="1C5332B3"/>
    <w:rsid w:val="1C5E7925"/>
    <w:rsid w:val="1CFD070F"/>
    <w:rsid w:val="1CFD391F"/>
    <w:rsid w:val="1D2D4126"/>
    <w:rsid w:val="1D4053A6"/>
    <w:rsid w:val="1D41530D"/>
    <w:rsid w:val="1D5F6196"/>
    <w:rsid w:val="1D6132A5"/>
    <w:rsid w:val="1D8E56D5"/>
    <w:rsid w:val="1D901397"/>
    <w:rsid w:val="1DA06387"/>
    <w:rsid w:val="1E205195"/>
    <w:rsid w:val="1E7A43DA"/>
    <w:rsid w:val="1EB564C5"/>
    <w:rsid w:val="1ECE6F5F"/>
    <w:rsid w:val="1EF009FF"/>
    <w:rsid w:val="1EF736D9"/>
    <w:rsid w:val="1F7F366C"/>
    <w:rsid w:val="1F9C5872"/>
    <w:rsid w:val="1FC57DA2"/>
    <w:rsid w:val="1FC84BB7"/>
    <w:rsid w:val="1FE7539E"/>
    <w:rsid w:val="203942EC"/>
    <w:rsid w:val="20601879"/>
    <w:rsid w:val="20671BE0"/>
    <w:rsid w:val="207167C9"/>
    <w:rsid w:val="20963CB8"/>
    <w:rsid w:val="20A81A1B"/>
    <w:rsid w:val="20B07FB6"/>
    <w:rsid w:val="20B646FB"/>
    <w:rsid w:val="20F76CF2"/>
    <w:rsid w:val="21021730"/>
    <w:rsid w:val="21166F57"/>
    <w:rsid w:val="213B74B1"/>
    <w:rsid w:val="215A2310"/>
    <w:rsid w:val="21760275"/>
    <w:rsid w:val="21BB2D5A"/>
    <w:rsid w:val="21CC3202"/>
    <w:rsid w:val="21CC797F"/>
    <w:rsid w:val="21D265DD"/>
    <w:rsid w:val="21DE169E"/>
    <w:rsid w:val="21DE318A"/>
    <w:rsid w:val="21EF5B80"/>
    <w:rsid w:val="22216264"/>
    <w:rsid w:val="22282297"/>
    <w:rsid w:val="224772C9"/>
    <w:rsid w:val="22576990"/>
    <w:rsid w:val="225819DE"/>
    <w:rsid w:val="22730512"/>
    <w:rsid w:val="22733ED9"/>
    <w:rsid w:val="22B34E1A"/>
    <w:rsid w:val="22D611C5"/>
    <w:rsid w:val="22DE4344"/>
    <w:rsid w:val="22F47480"/>
    <w:rsid w:val="22F6739E"/>
    <w:rsid w:val="23042EFF"/>
    <w:rsid w:val="23046782"/>
    <w:rsid w:val="230B610D"/>
    <w:rsid w:val="232477C4"/>
    <w:rsid w:val="233C2F6A"/>
    <w:rsid w:val="23857FD5"/>
    <w:rsid w:val="23A526BB"/>
    <w:rsid w:val="23CD5478"/>
    <w:rsid w:val="23DE1C48"/>
    <w:rsid w:val="240210CD"/>
    <w:rsid w:val="240A022E"/>
    <w:rsid w:val="241430A6"/>
    <w:rsid w:val="242D14B2"/>
    <w:rsid w:val="243D1432"/>
    <w:rsid w:val="2462573A"/>
    <w:rsid w:val="2492046F"/>
    <w:rsid w:val="24926303"/>
    <w:rsid w:val="24A509F7"/>
    <w:rsid w:val="24BF09F7"/>
    <w:rsid w:val="24CE594B"/>
    <w:rsid w:val="24EF0A7A"/>
    <w:rsid w:val="252D53FE"/>
    <w:rsid w:val="25B84081"/>
    <w:rsid w:val="25CD10ED"/>
    <w:rsid w:val="25CE3729"/>
    <w:rsid w:val="25E877BF"/>
    <w:rsid w:val="25E97828"/>
    <w:rsid w:val="25EC2D81"/>
    <w:rsid w:val="26206A53"/>
    <w:rsid w:val="26234121"/>
    <w:rsid w:val="26294BBD"/>
    <w:rsid w:val="268D5D4F"/>
    <w:rsid w:val="26B56E4C"/>
    <w:rsid w:val="27322017"/>
    <w:rsid w:val="277057A2"/>
    <w:rsid w:val="27A716AE"/>
    <w:rsid w:val="27C16CD4"/>
    <w:rsid w:val="27D27EDC"/>
    <w:rsid w:val="28107987"/>
    <w:rsid w:val="28294098"/>
    <w:rsid w:val="28486104"/>
    <w:rsid w:val="284B6FA9"/>
    <w:rsid w:val="28515532"/>
    <w:rsid w:val="2897781E"/>
    <w:rsid w:val="28C74374"/>
    <w:rsid w:val="28DF7FBB"/>
    <w:rsid w:val="2920604A"/>
    <w:rsid w:val="29206EB8"/>
    <w:rsid w:val="29486D78"/>
    <w:rsid w:val="29595666"/>
    <w:rsid w:val="295A1F43"/>
    <w:rsid w:val="296C7081"/>
    <w:rsid w:val="29874881"/>
    <w:rsid w:val="298F54D6"/>
    <w:rsid w:val="299C7645"/>
    <w:rsid w:val="29D76730"/>
    <w:rsid w:val="29E325E0"/>
    <w:rsid w:val="2A155EC2"/>
    <w:rsid w:val="2A2C7720"/>
    <w:rsid w:val="2A32072A"/>
    <w:rsid w:val="2A452503"/>
    <w:rsid w:val="2A8342BC"/>
    <w:rsid w:val="2A8973E5"/>
    <w:rsid w:val="2AB4113F"/>
    <w:rsid w:val="2ACF4E96"/>
    <w:rsid w:val="2AE97BF9"/>
    <w:rsid w:val="2B3012EB"/>
    <w:rsid w:val="2B3D1C2D"/>
    <w:rsid w:val="2B674404"/>
    <w:rsid w:val="2B9B2E5D"/>
    <w:rsid w:val="2BA936A8"/>
    <w:rsid w:val="2BAB141B"/>
    <w:rsid w:val="2BE026B7"/>
    <w:rsid w:val="2BF81417"/>
    <w:rsid w:val="2BFC0FF0"/>
    <w:rsid w:val="2C0768BD"/>
    <w:rsid w:val="2C315A5A"/>
    <w:rsid w:val="2C420DA8"/>
    <w:rsid w:val="2C4B1C25"/>
    <w:rsid w:val="2C761602"/>
    <w:rsid w:val="2CD90A75"/>
    <w:rsid w:val="2CE41F00"/>
    <w:rsid w:val="2CE4278A"/>
    <w:rsid w:val="2D0D054B"/>
    <w:rsid w:val="2D7846A8"/>
    <w:rsid w:val="2D9E56F5"/>
    <w:rsid w:val="2DAF3E40"/>
    <w:rsid w:val="2DB651CE"/>
    <w:rsid w:val="2DCB4E5B"/>
    <w:rsid w:val="2DD56606"/>
    <w:rsid w:val="2DD6025F"/>
    <w:rsid w:val="2DD61BFA"/>
    <w:rsid w:val="2DEE2BBA"/>
    <w:rsid w:val="2E001109"/>
    <w:rsid w:val="2E2E0121"/>
    <w:rsid w:val="2E4E3407"/>
    <w:rsid w:val="2E664ACE"/>
    <w:rsid w:val="2E667F96"/>
    <w:rsid w:val="2E81295C"/>
    <w:rsid w:val="2E8226AB"/>
    <w:rsid w:val="2E8D2EEB"/>
    <w:rsid w:val="2EEB0EA8"/>
    <w:rsid w:val="2F203271"/>
    <w:rsid w:val="2F2D52F9"/>
    <w:rsid w:val="2F437B2E"/>
    <w:rsid w:val="2F575E37"/>
    <w:rsid w:val="2FA8323D"/>
    <w:rsid w:val="2FD065E6"/>
    <w:rsid w:val="2FD96870"/>
    <w:rsid w:val="302E22C2"/>
    <w:rsid w:val="30580BC9"/>
    <w:rsid w:val="305F5175"/>
    <w:rsid w:val="30734518"/>
    <w:rsid w:val="308A6A70"/>
    <w:rsid w:val="309D614E"/>
    <w:rsid w:val="30AB629F"/>
    <w:rsid w:val="30DC44F3"/>
    <w:rsid w:val="30E42146"/>
    <w:rsid w:val="30F1626C"/>
    <w:rsid w:val="31191198"/>
    <w:rsid w:val="311E2ED7"/>
    <w:rsid w:val="315619EE"/>
    <w:rsid w:val="315C449C"/>
    <w:rsid w:val="316914B8"/>
    <w:rsid w:val="31A408C2"/>
    <w:rsid w:val="31B82709"/>
    <w:rsid w:val="31D05482"/>
    <w:rsid w:val="320C360F"/>
    <w:rsid w:val="3228123F"/>
    <w:rsid w:val="32400B34"/>
    <w:rsid w:val="32531113"/>
    <w:rsid w:val="32624D0D"/>
    <w:rsid w:val="32667E6D"/>
    <w:rsid w:val="32886F74"/>
    <w:rsid w:val="329E6876"/>
    <w:rsid w:val="32CE4D68"/>
    <w:rsid w:val="32D90D1D"/>
    <w:rsid w:val="333015F2"/>
    <w:rsid w:val="334B6320"/>
    <w:rsid w:val="335E62E6"/>
    <w:rsid w:val="3393066C"/>
    <w:rsid w:val="33D934D4"/>
    <w:rsid w:val="33FE2F6A"/>
    <w:rsid w:val="340D4F1E"/>
    <w:rsid w:val="340E07E5"/>
    <w:rsid w:val="340E6E68"/>
    <w:rsid w:val="34235BF7"/>
    <w:rsid w:val="34287731"/>
    <w:rsid w:val="345635A9"/>
    <w:rsid w:val="34A11D39"/>
    <w:rsid w:val="34B21097"/>
    <w:rsid w:val="34FE797D"/>
    <w:rsid w:val="358C5FA8"/>
    <w:rsid w:val="35A91775"/>
    <w:rsid w:val="35C15DF1"/>
    <w:rsid w:val="35CE773E"/>
    <w:rsid w:val="36074A7F"/>
    <w:rsid w:val="363D7BD5"/>
    <w:rsid w:val="364F7F6E"/>
    <w:rsid w:val="36511D5C"/>
    <w:rsid w:val="368C1056"/>
    <w:rsid w:val="368D718F"/>
    <w:rsid w:val="36923549"/>
    <w:rsid w:val="36B75FBF"/>
    <w:rsid w:val="36BD0C45"/>
    <w:rsid w:val="36C630DE"/>
    <w:rsid w:val="36E7559F"/>
    <w:rsid w:val="36FB1DD0"/>
    <w:rsid w:val="37124E28"/>
    <w:rsid w:val="37A44758"/>
    <w:rsid w:val="37CB09F5"/>
    <w:rsid w:val="37DA5EAF"/>
    <w:rsid w:val="37E00298"/>
    <w:rsid w:val="37F07BBF"/>
    <w:rsid w:val="380E117F"/>
    <w:rsid w:val="38B302F9"/>
    <w:rsid w:val="38D34E4A"/>
    <w:rsid w:val="38DF2E5B"/>
    <w:rsid w:val="38F12CD3"/>
    <w:rsid w:val="38F76303"/>
    <w:rsid w:val="38F94775"/>
    <w:rsid w:val="392971ED"/>
    <w:rsid w:val="39325651"/>
    <w:rsid w:val="39594D23"/>
    <w:rsid w:val="39A82428"/>
    <w:rsid w:val="39D377B8"/>
    <w:rsid w:val="3A8078D6"/>
    <w:rsid w:val="3A872856"/>
    <w:rsid w:val="3A8D3E1B"/>
    <w:rsid w:val="3ABE34A2"/>
    <w:rsid w:val="3AD34590"/>
    <w:rsid w:val="3B032B60"/>
    <w:rsid w:val="3B1D1724"/>
    <w:rsid w:val="3B2B68F9"/>
    <w:rsid w:val="3B3763D1"/>
    <w:rsid w:val="3B382BE5"/>
    <w:rsid w:val="3B4F45B3"/>
    <w:rsid w:val="3B6F3E41"/>
    <w:rsid w:val="3BA15EE2"/>
    <w:rsid w:val="3BA7084C"/>
    <w:rsid w:val="3BC7289E"/>
    <w:rsid w:val="3BF02748"/>
    <w:rsid w:val="3C2F6E1E"/>
    <w:rsid w:val="3C4F64BA"/>
    <w:rsid w:val="3C544530"/>
    <w:rsid w:val="3C8F14C5"/>
    <w:rsid w:val="3CBC5480"/>
    <w:rsid w:val="3CD74BBA"/>
    <w:rsid w:val="3CDA245A"/>
    <w:rsid w:val="3CE05C88"/>
    <w:rsid w:val="3D1E06B7"/>
    <w:rsid w:val="3D4C17A1"/>
    <w:rsid w:val="3D5724FE"/>
    <w:rsid w:val="3D891605"/>
    <w:rsid w:val="3DDF0F9A"/>
    <w:rsid w:val="3DEE3C5D"/>
    <w:rsid w:val="3DF40CB5"/>
    <w:rsid w:val="3E1707AF"/>
    <w:rsid w:val="3E1A79B5"/>
    <w:rsid w:val="3E2D6890"/>
    <w:rsid w:val="3E6F094E"/>
    <w:rsid w:val="3EBA2645"/>
    <w:rsid w:val="3EDA0523"/>
    <w:rsid w:val="3EF803DD"/>
    <w:rsid w:val="3F063868"/>
    <w:rsid w:val="3F2B1CF6"/>
    <w:rsid w:val="3F446C4E"/>
    <w:rsid w:val="3F5575F7"/>
    <w:rsid w:val="3F65658D"/>
    <w:rsid w:val="3F690816"/>
    <w:rsid w:val="3F827606"/>
    <w:rsid w:val="3FB02825"/>
    <w:rsid w:val="3FD34A1F"/>
    <w:rsid w:val="40047380"/>
    <w:rsid w:val="40136C2A"/>
    <w:rsid w:val="40711404"/>
    <w:rsid w:val="407A6407"/>
    <w:rsid w:val="40884FE5"/>
    <w:rsid w:val="408D4144"/>
    <w:rsid w:val="40C81AA1"/>
    <w:rsid w:val="40D31B35"/>
    <w:rsid w:val="40E24800"/>
    <w:rsid w:val="40F00603"/>
    <w:rsid w:val="41193A9E"/>
    <w:rsid w:val="415664FB"/>
    <w:rsid w:val="4200449D"/>
    <w:rsid w:val="422F7524"/>
    <w:rsid w:val="423A3BCC"/>
    <w:rsid w:val="424E57D2"/>
    <w:rsid w:val="42552DB0"/>
    <w:rsid w:val="427E466B"/>
    <w:rsid w:val="428B0580"/>
    <w:rsid w:val="42B26C49"/>
    <w:rsid w:val="42CD46D5"/>
    <w:rsid w:val="42CE0B28"/>
    <w:rsid w:val="431D7E5D"/>
    <w:rsid w:val="433A6FE6"/>
    <w:rsid w:val="43480868"/>
    <w:rsid w:val="4350713C"/>
    <w:rsid w:val="436653E0"/>
    <w:rsid w:val="436A6EA3"/>
    <w:rsid w:val="438C21E0"/>
    <w:rsid w:val="438D5A63"/>
    <w:rsid w:val="43AA2C88"/>
    <w:rsid w:val="43BD1D1D"/>
    <w:rsid w:val="43C4431A"/>
    <w:rsid w:val="43CA7AC6"/>
    <w:rsid w:val="43D41B8C"/>
    <w:rsid w:val="43FB5E48"/>
    <w:rsid w:val="440571EE"/>
    <w:rsid w:val="440F1E51"/>
    <w:rsid w:val="442F4A92"/>
    <w:rsid w:val="445B4EAF"/>
    <w:rsid w:val="44781106"/>
    <w:rsid w:val="447F5EC2"/>
    <w:rsid w:val="44915BF6"/>
    <w:rsid w:val="44B951CC"/>
    <w:rsid w:val="44C258C8"/>
    <w:rsid w:val="44CD14E0"/>
    <w:rsid w:val="44E170FE"/>
    <w:rsid w:val="44E87EF0"/>
    <w:rsid w:val="44F20B0B"/>
    <w:rsid w:val="44FC45CE"/>
    <w:rsid w:val="44FF0DB1"/>
    <w:rsid w:val="44FF34A7"/>
    <w:rsid w:val="45045593"/>
    <w:rsid w:val="452E5F4C"/>
    <w:rsid w:val="45300692"/>
    <w:rsid w:val="454C290C"/>
    <w:rsid w:val="4557299B"/>
    <w:rsid w:val="45612018"/>
    <w:rsid w:val="456B28EB"/>
    <w:rsid w:val="458539AC"/>
    <w:rsid w:val="458946E9"/>
    <w:rsid w:val="4597548E"/>
    <w:rsid w:val="45A47C0E"/>
    <w:rsid w:val="45B83A6E"/>
    <w:rsid w:val="45B93C95"/>
    <w:rsid w:val="45C17CFB"/>
    <w:rsid w:val="45DB3DB9"/>
    <w:rsid w:val="45FA1497"/>
    <w:rsid w:val="46107197"/>
    <w:rsid w:val="461F0E7A"/>
    <w:rsid w:val="46577FD6"/>
    <w:rsid w:val="46916FD5"/>
    <w:rsid w:val="4698695F"/>
    <w:rsid w:val="46A50D15"/>
    <w:rsid w:val="46B21756"/>
    <w:rsid w:val="46D955A7"/>
    <w:rsid w:val="470E0148"/>
    <w:rsid w:val="47133957"/>
    <w:rsid w:val="471909B6"/>
    <w:rsid w:val="47585719"/>
    <w:rsid w:val="47827BF1"/>
    <w:rsid w:val="47933F72"/>
    <w:rsid w:val="47A07E0C"/>
    <w:rsid w:val="48221986"/>
    <w:rsid w:val="48395EF8"/>
    <w:rsid w:val="48410F19"/>
    <w:rsid w:val="4870272E"/>
    <w:rsid w:val="489C1804"/>
    <w:rsid w:val="48C01FED"/>
    <w:rsid w:val="48DA2C66"/>
    <w:rsid w:val="48E87129"/>
    <w:rsid w:val="491455A5"/>
    <w:rsid w:val="496374DB"/>
    <w:rsid w:val="498C7C51"/>
    <w:rsid w:val="49D73677"/>
    <w:rsid w:val="49DC7715"/>
    <w:rsid w:val="4A023139"/>
    <w:rsid w:val="4A143F64"/>
    <w:rsid w:val="4A391054"/>
    <w:rsid w:val="4A7B576F"/>
    <w:rsid w:val="4A8C4EB5"/>
    <w:rsid w:val="4A950E2F"/>
    <w:rsid w:val="4A957A5F"/>
    <w:rsid w:val="4AAD14CE"/>
    <w:rsid w:val="4AF33D06"/>
    <w:rsid w:val="4AF561A9"/>
    <w:rsid w:val="4B0C3A86"/>
    <w:rsid w:val="4B4F3C40"/>
    <w:rsid w:val="4B5C5B9F"/>
    <w:rsid w:val="4B741CFC"/>
    <w:rsid w:val="4B757AF8"/>
    <w:rsid w:val="4B83790C"/>
    <w:rsid w:val="4B9D257E"/>
    <w:rsid w:val="4BBF74EC"/>
    <w:rsid w:val="4BF4363A"/>
    <w:rsid w:val="4BF929FE"/>
    <w:rsid w:val="4C1672E0"/>
    <w:rsid w:val="4C2C57BF"/>
    <w:rsid w:val="4C2E56F7"/>
    <w:rsid w:val="4C4A0649"/>
    <w:rsid w:val="4C617ACD"/>
    <w:rsid w:val="4C7E5ECA"/>
    <w:rsid w:val="4C82756C"/>
    <w:rsid w:val="4C876AA5"/>
    <w:rsid w:val="4C917B76"/>
    <w:rsid w:val="4CD32F4B"/>
    <w:rsid w:val="4CDC5F91"/>
    <w:rsid w:val="4CE41429"/>
    <w:rsid w:val="4D0E00FB"/>
    <w:rsid w:val="4D0F4C25"/>
    <w:rsid w:val="4D176606"/>
    <w:rsid w:val="4D275349"/>
    <w:rsid w:val="4D9C03E1"/>
    <w:rsid w:val="4DBB2F63"/>
    <w:rsid w:val="4DEC4FB0"/>
    <w:rsid w:val="4DF655F8"/>
    <w:rsid w:val="4DFA3FFE"/>
    <w:rsid w:val="4E075D8A"/>
    <w:rsid w:val="4E0D2791"/>
    <w:rsid w:val="4E130ED5"/>
    <w:rsid w:val="4E146967"/>
    <w:rsid w:val="4E167FD1"/>
    <w:rsid w:val="4E1F24C4"/>
    <w:rsid w:val="4E375A78"/>
    <w:rsid w:val="4E4F2867"/>
    <w:rsid w:val="4E500BE3"/>
    <w:rsid w:val="4E5533C6"/>
    <w:rsid w:val="4E5E0C9F"/>
    <w:rsid w:val="4E8D0982"/>
    <w:rsid w:val="4E9066F0"/>
    <w:rsid w:val="4EC00FAD"/>
    <w:rsid w:val="4EDB38E7"/>
    <w:rsid w:val="4EE51018"/>
    <w:rsid w:val="4EF65011"/>
    <w:rsid w:val="4F1F1A6C"/>
    <w:rsid w:val="4F4A77A6"/>
    <w:rsid w:val="4F677CC4"/>
    <w:rsid w:val="4F88447E"/>
    <w:rsid w:val="4F9843DC"/>
    <w:rsid w:val="4FC62A8C"/>
    <w:rsid w:val="4FE20F0D"/>
    <w:rsid w:val="4FE51552"/>
    <w:rsid w:val="4FFD7F4B"/>
    <w:rsid w:val="50466019"/>
    <w:rsid w:val="50504C4B"/>
    <w:rsid w:val="509205B0"/>
    <w:rsid w:val="509B3FCA"/>
    <w:rsid w:val="509C6E7C"/>
    <w:rsid w:val="50C636F7"/>
    <w:rsid w:val="51024103"/>
    <w:rsid w:val="51282419"/>
    <w:rsid w:val="51324DA9"/>
    <w:rsid w:val="51332EE6"/>
    <w:rsid w:val="5162104E"/>
    <w:rsid w:val="517C5E3E"/>
    <w:rsid w:val="518E3B5A"/>
    <w:rsid w:val="51B4580A"/>
    <w:rsid w:val="520F0C30"/>
    <w:rsid w:val="52157E66"/>
    <w:rsid w:val="522F1425"/>
    <w:rsid w:val="525A582C"/>
    <w:rsid w:val="52A01D72"/>
    <w:rsid w:val="52AD2EB2"/>
    <w:rsid w:val="52C262DB"/>
    <w:rsid w:val="52C54EDB"/>
    <w:rsid w:val="52C84ED8"/>
    <w:rsid w:val="52E240E0"/>
    <w:rsid w:val="53003422"/>
    <w:rsid w:val="534C7B85"/>
    <w:rsid w:val="535A32D8"/>
    <w:rsid w:val="53A039CC"/>
    <w:rsid w:val="53A1505A"/>
    <w:rsid w:val="53D40CF2"/>
    <w:rsid w:val="53DC3D06"/>
    <w:rsid w:val="53F916B4"/>
    <w:rsid w:val="53FE5808"/>
    <w:rsid w:val="54063E08"/>
    <w:rsid w:val="543437E8"/>
    <w:rsid w:val="544D14DF"/>
    <w:rsid w:val="546832F7"/>
    <w:rsid w:val="54806D87"/>
    <w:rsid w:val="54812971"/>
    <w:rsid w:val="54F73313"/>
    <w:rsid w:val="54F80955"/>
    <w:rsid w:val="551B09A6"/>
    <w:rsid w:val="5539030F"/>
    <w:rsid w:val="555170A7"/>
    <w:rsid w:val="55684DE5"/>
    <w:rsid w:val="5587536D"/>
    <w:rsid w:val="559B174B"/>
    <w:rsid w:val="55CE0CF4"/>
    <w:rsid w:val="55D24F9B"/>
    <w:rsid w:val="55D7159B"/>
    <w:rsid w:val="562B5C5C"/>
    <w:rsid w:val="569C5540"/>
    <w:rsid w:val="56B22A9C"/>
    <w:rsid w:val="56B56CB8"/>
    <w:rsid w:val="56BB5FCD"/>
    <w:rsid w:val="56EA1BC8"/>
    <w:rsid w:val="56EE4F2B"/>
    <w:rsid w:val="57511940"/>
    <w:rsid w:val="576B5B79"/>
    <w:rsid w:val="57723C03"/>
    <w:rsid w:val="57B72A76"/>
    <w:rsid w:val="57C3426C"/>
    <w:rsid w:val="57CE1F93"/>
    <w:rsid w:val="57F10A2D"/>
    <w:rsid w:val="57F71A4D"/>
    <w:rsid w:val="580D47B7"/>
    <w:rsid w:val="583E5A8D"/>
    <w:rsid w:val="588419AA"/>
    <w:rsid w:val="588743D1"/>
    <w:rsid w:val="5887701A"/>
    <w:rsid w:val="58A302B3"/>
    <w:rsid w:val="58B55530"/>
    <w:rsid w:val="58DC6415"/>
    <w:rsid w:val="590346A4"/>
    <w:rsid w:val="59433201"/>
    <w:rsid w:val="59443051"/>
    <w:rsid w:val="59892EB4"/>
    <w:rsid w:val="598A48C0"/>
    <w:rsid w:val="59C0439F"/>
    <w:rsid w:val="59E54F88"/>
    <w:rsid w:val="5A0F1650"/>
    <w:rsid w:val="5A391297"/>
    <w:rsid w:val="5A3B68D8"/>
    <w:rsid w:val="5A490530"/>
    <w:rsid w:val="5A9D6C4B"/>
    <w:rsid w:val="5ABE2233"/>
    <w:rsid w:val="5AC90AAA"/>
    <w:rsid w:val="5ACC20D7"/>
    <w:rsid w:val="5AD7795C"/>
    <w:rsid w:val="5AE7273F"/>
    <w:rsid w:val="5AE9090F"/>
    <w:rsid w:val="5B1B0888"/>
    <w:rsid w:val="5B2469FA"/>
    <w:rsid w:val="5B331BF9"/>
    <w:rsid w:val="5B557645"/>
    <w:rsid w:val="5B623D2B"/>
    <w:rsid w:val="5B857B35"/>
    <w:rsid w:val="5BC54DED"/>
    <w:rsid w:val="5BDF5D95"/>
    <w:rsid w:val="5BFE7528"/>
    <w:rsid w:val="5C602BCA"/>
    <w:rsid w:val="5C697E40"/>
    <w:rsid w:val="5C787366"/>
    <w:rsid w:val="5C7D3E22"/>
    <w:rsid w:val="5CAC254D"/>
    <w:rsid w:val="5CCC44A7"/>
    <w:rsid w:val="5CCE7D68"/>
    <w:rsid w:val="5CD10E53"/>
    <w:rsid w:val="5CD97AA1"/>
    <w:rsid w:val="5D047455"/>
    <w:rsid w:val="5D1E0F52"/>
    <w:rsid w:val="5D1F3486"/>
    <w:rsid w:val="5D2E7671"/>
    <w:rsid w:val="5D3543FB"/>
    <w:rsid w:val="5D435811"/>
    <w:rsid w:val="5D71055D"/>
    <w:rsid w:val="5DB858CE"/>
    <w:rsid w:val="5DE23199"/>
    <w:rsid w:val="5DE91920"/>
    <w:rsid w:val="5DED7EE9"/>
    <w:rsid w:val="5DF823D9"/>
    <w:rsid w:val="5DF94AE0"/>
    <w:rsid w:val="5DFB5198"/>
    <w:rsid w:val="5E181F57"/>
    <w:rsid w:val="5E2467F1"/>
    <w:rsid w:val="5E5C1C5F"/>
    <w:rsid w:val="5E6A58EE"/>
    <w:rsid w:val="5EC43027"/>
    <w:rsid w:val="5EE15E74"/>
    <w:rsid w:val="5F1A2B43"/>
    <w:rsid w:val="5F3D6D4F"/>
    <w:rsid w:val="5F550883"/>
    <w:rsid w:val="5F5F2786"/>
    <w:rsid w:val="5F715C3B"/>
    <w:rsid w:val="5F7F3E00"/>
    <w:rsid w:val="5F965D8F"/>
    <w:rsid w:val="5FB837BB"/>
    <w:rsid w:val="5FBC4017"/>
    <w:rsid w:val="5FFF04A2"/>
    <w:rsid w:val="60172FFB"/>
    <w:rsid w:val="602B1886"/>
    <w:rsid w:val="603C0E70"/>
    <w:rsid w:val="603C4F45"/>
    <w:rsid w:val="60677735"/>
    <w:rsid w:val="60CC405A"/>
    <w:rsid w:val="60DF3EFC"/>
    <w:rsid w:val="60FD0443"/>
    <w:rsid w:val="61061D24"/>
    <w:rsid w:val="61830E6B"/>
    <w:rsid w:val="619D7AA9"/>
    <w:rsid w:val="61AB4E80"/>
    <w:rsid w:val="61E215D8"/>
    <w:rsid w:val="621B3775"/>
    <w:rsid w:val="623616DF"/>
    <w:rsid w:val="62364782"/>
    <w:rsid w:val="624E25AF"/>
    <w:rsid w:val="62726998"/>
    <w:rsid w:val="63150C8C"/>
    <w:rsid w:val="63796F15"/>
    <w:rsid w:val="637D671B"/>
    <w:rsid w:val="638D02E2"/>
    <w:rsid w:val="639171A1"/>
    <w:rsid w:val="6394356A"/>
    <w:rsid w:val="63C43251"/>
    <w:rsid w:val="63C61B2C"/>
    <w:rsid w:val="63D40BE9"/>
    <w:rsid w:val="63EC30AA"/>
    <w:rsid w:val="63F1728F"/>
    <w:rsid w:val="64002354"/>
    <w:rsid w:val="64102431"/>
    <w:rsid w:val="641B519B"/>
    <w:rsid w:val="643841AA"/>
    <w:rsid w:val="64A5243A"/>
    <w:rsid w:val="64F531DE"/>
    <w:rsid w:val="650A431C"/>
    <w:rsid w:val="650E4F5B"/>
    <w:rsid w:val="65193BF4"/>
    <w:rsid w:val="65373578"/>
    <w:rsid w:val="6544632F"/>
    <w:rsid w:val="65515F6B"/>
    <w:rsid w:val="65540D09"/>
    <w:rsid w:val="65970B1B"/>
    <w:rsid w:val="659E230B"/>
    <w:rsid w:val="65E86281"/>
    <w:rsid w:val="6602326A"/>
    <w:rsid w:val="66145291"/>
    <w:rsid w:val="662A58A5"/>
    <w:rsid w:val="66324980"/>
    <w:rsid w:val="668D0C53"/>
    <w:rsid w:val="66C50A94"/>
    <w:rsid w:val="66F12B72"/>
    <w:rsid w:val="671F124A"/>
    <w:rsid w:val="67397281"/>
    <w:rsid w:val="677A33C6"/>
    <w:rsid w:val="67AA28D2"/>
    <w:rsid w:val="680753E2"/>
    <w:rsid w:val="681F6961"/>
    <w:rsid w:val="68610A2F"/>
    <w:rsid w:val="687D7464"/>
    <w:rsid w:val="68805514"/>
    <w:rsid w:val="68B57080"/>
    <w:rsid w:val="68C0149A"/>
    <w:rsid w:val="68ED34C2"/>
    <w:rsid w:val="68F078A3"/>
    <w:rsid w:val="68F276C7"/>
    <w:rsid w:val="68FA00B9"/>
    <w:rsid w:val="691702F9"/>
    <w:rsid w:val="692320DC"/>
    <w:rsid w:val="69316E2F"/>
    <w:rsid w:val="694E2071"/>
    <w:rsid w:val="69766163"/>
    <w:rsid w:val="697A3B33"/>
    <w:rsid w:val="69AF3947"/>
    <w:rsid w:val="69B33D95"/>
    <w:rsid w:val="69C566D9"/>
    <w:rsid w:val="69D34116"/>
    <w:rsid w:val="69D44760"/>
    <w:rsid w:val="69D81A4D"/>
    <w:rsid w:val="69E441CA"/>
    <w:rsid w:val="6A042490"/>
    <w:rsid w:val="6A520EC7"/>
    <w:rsid w:val="6A5B6E60"/>
    <w:rsid w:val="6AA23FC4"/>
    <w:rsid w:val="6AB701CA"/>
    <w:rsid w:val="6AE73505"/>
    <w:rsid w:val="6AF51A88"/>
    <w:rsid w:val="6AF87E20"/>
    <w:rsid w:val="6B154A35"/>
    <w:rsid w:val="6B322639"/>
    <w:rsid w:val="6B383E77"/>
    <w:rsid w:val="6B535628"/>
    <w:rsid w:val="6B683B76"/>
    <w:rsid w:val="6BAE24BF"/>
    <w:rsid w:val="6BDB64E4"/>
    <w:rsid w:val="6BFA4EC3"/>
    <w:rsid w:val="6C02448C"/>
    <w:rsid w:val="6C636C38"/>
    <w:rsid w:val="6C7456B6"/>
    <w:rsid w:val="6C966FB6"/>
    <w:rsid w:val="6CA77F9A"/>
    <w:rsid w:val="6CBA0FE1"/>
    <w:rsid w:val="6CEB6412"/>
    <w:rsid w:val="6D011D2A"/>
    <w:rsid w:val="6D167504"/>
    <w:rsid w:val="6D745F31"/>
    <w:rsid w:val="6DA438F0"/>
    <w:rsid w:val="6DB34098"/>
    <w:rsid w:val="6DB545B6"/>
    <w:rsid w:val="6DD121A5"/>
    <w:rsid w:val="6DE02FB4"/>
    <w:rsid w:val="6DE77FDB"/>
    <w:rsid w:val="6DEA4FA8"/>
    <w:rsid w:val="6E04138B"/>
    <w:rsid w:val="6E18445B"/>
    <w:rsid w:val="6E2A2286"/>
    <w:rsid w:val="6E514CED"/>
    <w:rsid w:val="6E55366C"/>
    <w:rsid w:val="6E6B28C0"/>
    <w:rsid w:val="6E752582"/>
    <w:rsid w:val="6E863865"/>
    <w:rsid w:val="6EB563D5"/>
    <w:rsid w:val="6EB707E5"/>
    <w:rsid w:val="6ED92677"/>
    <w:rsid w:val="6EF17392"/>
    <w:rsid w:val="6F075E4C"/>
    <w:rsid w:val="6F225983"/>
    <w:rsid w:val="6F254CE6"/>
    <w:rsid w:val="6FAB3E4D"/>
    <w:rsid w:val="6FB3745E"/>
    <w:rsid w:val="6FFC5590"/>
    <w:rsid w:val="701A5AC2"/>
    <w:rsid w:val="70293633"/>
    <w:rsid w:val="70330E6C"/>
    <w:rsid w:val="70595734"/>
    <w:rsid w:val="706D1DD0"/>
    <w:rsid w:val="70745BD8"/>
    <w:rsid w:val="70856B87"/>
    <w:rsid w:val="70BF5715"/>
    <w:rsid w:val="70CA6520"/>
    <w:rsid w:val="70D527EE"/>
    <w:rsid w:val="70E02DBE"/>
    <w:rsid w:val="70ED3DD5"/>
    <w:rsid w:val="710B4E43"/>
    <w:rsid w:val="715B5300"/>
    <w:rsid w:val="71660A98"/>
    <w:rsid w:val="71C210FA"/>
    <w:rsid w:val="71CA4930"/>
    <w:rsid w:val="71D27F8A"/>
    <w:rsid w:val="71E11F7A"/>
    <w:rsid w:val="71F7127B"/>
    <w:rsid w:val="722C2564"/>
    <w:rsid w:val="72391C52"/>
    <w:rsid w:val="72553024"/>
    <w:rsid w:val="727453D2"/>
    <w:rsid w:val="72CB65F3"/>
    <w:rsid w:val="72CE0DEE"/>
    <w:rsid w:val="72D92B78"/>
    <w:rsid w:val="73122968"/>
    <w:rsid w:val="731F5D5E"/>
    <w:rsid w:val="732828AC"/>
    <w:rsid w:val="73430029"/>
    <w:rsid w:val="73AE5617"/>
    <w:rsid w:val="73BE7BE1"/>
    <w:rsid w:val="73C51AD5"/>
    <w:rsid w:val="73DB1E18"/>
    <w:rsid w:val="73F26870"/>
    <w:rsid w:val="741E793C"/>
    <w:rsid w:val="74480466"/>
    <w:rsid w:val="74480D65"/>
    <w:rsid w:val="745E3944"/>
    <w:rsid w:val="748B489E"/>
    <w:rsid w:val="74B542D0"/>
    <w:rsid w:val="74C6415A"/>
    <w:rsid w:val="74F9029F"/>
    <w:rsid w:val="7507318D"/>
    <w:rsid w:val="75083A2E"/>
    <w:rsid w:val="75266E3B"/>
    <w:rsid w:val="755F0C93"/>
    <w:rsid w:val="75953F89"/>
    <w:rsid w:val="75A9248C"/>
    <w:rsid w:val="75CA2B92"/>
    <w:rsid w:val="760326AF"/>
    <w:rsid w:val="760D04BC"/>
    <w:rsid w:val="7635099D"/>
    <w:rsid w:val="76667B2E"/>
    <w:rsid w:val="768F0A27"/>
    <w:rsid w:val="769A1174"/>
    <w:rsid w:val="76C76611"/>
    <w:rsid w:val="76CC0B8C"/>
    <w:rsid w:val="76CD38DE"/>
    <w:rsid w:val="77050A54"/>
    <w:rsid w:val="770F0450"/>
    <w:rsid w:val="773C7ABF"/>
    <w:rsid w:val="77657938"/>
    <w:rsid w:val="77762421"/>
    <w:rsid w:val="77890360"/>
    <w:rsid w:val="77B56B1F"/>
    <w:rsid w:val="780C153D"/>
    <w:rsid w:val="780F09F4"/>
    <w:rsid w:val="781D0B0B"/>
    <w:rsid w:val="78540376"/>
    <w:rsid w:val="78570566"/>
    <w:rsid w:val="78A13CF9"/>
    <w:rsid w:val="78A90480"/>
    <w:rsid w:val="78CC326D"/>
    <w:rsid w:val="78ED2851"/>
    <w:rsid w:val="79030EFF"/>
    <w:rsid w:val="79160434"/>
    <w:rsid w:val="792978D0"/>
    <w:rsid w:val="79393B8B"/>
    <w:rsid w:val="79636726"/>
    <w:rsid w:val="79733667"/>
    <w:rsid w:val="79DD5076"/>
    <w:rsid w:val="79E44559"/>
    <w:rsid w:val="7A026DB8"/>
    <w:rsid w:val="7A1E124F"/>
    <w:rsid w:val="7A364017"/>
    <w:rsid w:val="7A7D25DA"/>
    <w:rsid w:val="7A8265E1"/>
    <w:rsid w:val="7B0856F1"/>
    <w:rsid w:val="7B506B30"/>
    <w:rsid w:val="7B5B7A39"/>
    <w:rsid w:val="7B686D42"/>
    <w:rsid w:val="7B6A4BAE"/>
    <w:rsid w:val="7B780263"/>
    <w:rsid w:val="7B841746"/>
    <w:rsid w:val="7BC84E7F"/>
    <w:rsid w:val="7C2700CB"/>
    <w:rsid w:val="7C3F6B6D"/>
    <w:rsid w:val="7C5807CC"/>
    <w:rsid w:val="7C6C5AC7"/>
    <w:rsid w:val="7C6D24C9"/>
    <w:rsid w:val="7C7153AD"/>
    <w:rsid w:val="7C9C2779"/>
    <w:rsid w:val="7CBA7331"/>
    <w:rsid w:val="7CC6544B"/>
    <w:rsid w:val="7CEE238D"/>
    <w:rsid w:val="7CFE6B21"/>
    <w:rsid w:val="7D0239FF"/>
    <w:rsid w:val="7D0A5969"/>
    <w:rsid w:val="7D0D15B6"/>
    <w:rsid w:val="7D11426A"/>
    <w:rsid w:val="7D380D29"/>
    <w:rsid w:val="7D4C14FC"/>
    <w:rsid w:val="7D5B4BC6"/>
    <w:rsid w:val="7D5E40CD"/>
    <w:rsid w:val="7D9B2B8F"/>
    <w:rsid w:val="7DCD56F2"/>
    <w:rsid w:val="7DFF6F54"/>
    <w:rsid w:val="7E197C8C"/>
    <w:rsid w:val="7E2A3E0B"/>
    <w:rsid w:val="7E4B2CF9"/>
    <w:rsid w:val="7E554FDC"/>
    <w:rsid w:val="7E70256F"/>
    <w:rsid w:val="7EC06781"/>
    <w:rsid w:val="7EC0795C"/>
    <w:rsid w:val="7EF533D8"/>
    <w:rsid w:val="7EFB1928"/>
    <w:rsid w:val="7F001CE7"/>
    <w:rsid w:val="7F05482D"/>
    <w:rsid w:val="7F533772"/>
    <w:rsid w:val="7F696FDB"/>
    <w:rsid w:val="7F7559B5"/>
    <w:rsid w:val="7F8016AB"/>
    <w:rsid w:val="7FA966FF"/>
    <w:rsid w:val="7FB66C38"/>
    <w:rsid w:val="7FE47E50"/>
    <w:rsid w:val="7FEC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59" w:semiHidden="0" w:name="Table Grid"/>
    <w:lsdException w:qFormat="1" w:unhideWhenUsed="0" w:uiPriority="0" w:semiHidden="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59"/>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3"/>
    <w:semiHidden/>
    <w:unhideWhenUsed/>
    <w:qFormat/>
    <w:locked/>
    <w:uiPriority w:val="0"/>
    <w:pPr>
      <w:keepNext/>
      <w:keepLines/>
      <w:spacing w:before="260" w:after="260" w:line="416" w:lineRule="auto"/>
      <w:outlineLvl w:val="2"/>
    </w:pPr>
    <w:rPr>
      <w:b/>
      <w:bCs/>
      <w:sz w:val="32"/>
      <w:szCs w:val="32"/>
    </w:rPr>
  </w:style>
  <w:style w:type="paragraph" w:styleId="5">
    <w:name w:val="heading 4"/>
    <w:basedOn w:val="1"/>
    <w:link w:val="56"/>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9"/>
    <w:qFormat/>
    <w:locked/>
    <w:uiPriority w:val="0"/>
    <w:pPr>
      <w:spacing w:line="264" w:lineRule="auto"/>
      <w:ind w:firstLine="476"/>
    </w:pPr>
    <w:rPr>
      <w:rFonts w:ascii="Arial" w:hAnsi="Arial" w:cs="Arial"/>
      <w:spacing w:val="10"/>
      <w:sz w:val="24"/>
      <w:szCs w:val="20"/>
    </w:rPr>
  </w:style>
  <w:style w:type="paragraph" w:styleId="7">
    <w:name w:val="annotation text"/>
    <w:basedOn w:val="1"/>
    <w:link w:val="36"/>
    <w:semiHidden/>
    <w:qFormat/>
    <w:uiPriority w:val="0"/>
    <w:pPr>
      <w:jc w:val="left"/>
    </w:pPr>
    <w:rPr>
      <w:kern w:val="0"/>
      <w:sz w:val="24"/>
      <w:szCs w:val="20"/>
    </w:rPr>
  </w:style>
  <w:style w:type="paragraph" w:styleId="8">
    <w:name w:val="Body Text"/>
    <w:basedOn w:val="1"/>
    <w:link w:val="35"/>
    <w:qFormat/>
    <w:uiPriority w:val="0"/>
    <w:pPr>
      <w:widowControl/>
      <w:snapToGrid w:val="0"/>
      <w:spacing w:before="60" w:after="160" w:line="259" w:lineRule="auto"/>
      <w:ind w:right="113"/>
    </w:pPr>
    <w:rPr>
      <w:kern w:val="0"/>
      <w:sz w:val="18"/>
      <w:szCs w:val="20"/>
    </w:rPr>
  </w:style>
  <w:style w:type="paragraph" w:styleId="9">
    <w:name w:val="Body Text Indent"/>
    <w:basedOn w:val="1"/>
    <w:next w:val="10"/>
    <w:link w:val="44"/>
    <w:qFormat/>
    <w:uiPriority w:val="0"/>
    <w:pPr>
      <w:spacing w:after="120"/>
      <w:ind w:left="420" w:leftChars="200"/>
    </w:pPr>
    <w:rPr>
      <w:kern w:val="0"/>
      <w:sz w:val="24"/>
      <w:szCs w:val="20"/>
    </w:rPr>
  </w:style>
  <w:style w:type="paragraph" w:styleId="10">
    <w:name w:val="header"/>
    <w:basedOn w:val="1"/>
    <w:next w:val="11"/>
    <w:link w:val="42"/>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1">
    <w:name w:val="样式5"/>
    <w:basedOn w:val="12"/>
    <w:next w:val="1"/>
    <w:qFormat/>
    <w:uiPriority w:val="0"/>
    <w:pPr>
      <w:tabs>
        <w:tab w:val="left" w:pos="567"/>
        <w:tab w:val="left" w:pos="576"/>
      </w:tabs>
      <w:ind w:left="567" w:hanging="567"/>
    </w:pPr>
    <w:rPr>
      <w:kern w:val="0"/>
      <w:sz w:val="28"/>
    </w:rPr>
  </w:style>
  <w:style w:type="paragraph" w:customStyle="1" w:styleId="12">
    <w:name w:val="正文1"/>
    <w:basedOn w:val="9"/>
    <w:next w:val="1"/>
    <w:autoRedefine/>
    <w:qFormat/>
    <w:uiPriority w:val="0"/>
    <w:pPr>
      <w:widowControl/>
      <w:spacing w:after="0" w:line="440" w:lineRule="exact"/>
      <w:ind w:left="0" w:leftChars="0" w:firstLine="480" w:firstLineChars="200"/>
      <w:jc w:val="left"/>
    </w:pPr>
    <w:rPr>
      <w:rFonts w:ascii="宋体" w:hAnsi="宋体" w:cs="宋体"/>
      <w:szCs w:val="24"/>
    </w:rPr>
  </w:style>
  <w:style w:type="paragraph" w:styleId="13">
    <w:name w:val="toc 3"/>
    <w:basedOn w:val="1"/>
    <w:next w:val="1"/>
    <w:unhideWhenUsed/>
    <w:qFormat/>
    <w:locked/>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Date"/>
    <w:basedOn w:val="1"/>
    <w:next w:val="1"/>
    <w:link w:val="31"/>
    <w:qFormat/>
    <w:uiPriority w:val="0"/>
    <w:pPr>
      <w:ind w:left="100" w:leftChars="2500"/>
    </w:pPr>
    <w:rPr>
      <w:kern w:val="0"/>
      <w:sz w:val="24"/>
      <w:szCs w:val="20"/>
    </w:rPr>
  </w:style>
  <w:style w:type="paragraph" w:styleId="15">
    <w:name w:val="Balloon Text"/>
    <w:basedOn w:val="1"/>
    <w:link w:val="40"/>
    <w:semiHidden/>
    <w:qFormat/>
    <w:uiPriority w:val="0"/>
    <w:rPr>
      <w:kern w:val="0"/>
      <w:sz w:val="18"/>
      <w:szCs w:val="20"/>
    </w:rPr>
  </w:style>
  <w:style w:type="paragraph" w:styleId="16">
    <w:name w:val="footer"/>
    <w:basedOn w:val="1"/>
    <w:link w:val="30"/>
    <w:qFormat/>
    <w:uiPriority w:val="99"/>
    <w:pPr>
      <w:tabs>
        <w:tab w:val="center" w:pos="4153"/>
        <w:tab w:val="right" w:pos="8306"/>
      </w:tabs>
      <w:snapToGrid w:val="0"/>
      <w:jc w:val="left"/>
    </w:pPr>
    <w:rPr>
      <w:kern w:val="0"/>
      <w:sz w:val="18"/>
      <w:szCs w:val="20"/>
    </w:rPr>
  </w:style>
  <w:style w:type="paragraph" w:styleId="17">
    <w:name w:val="toc 1"/>
    <w:basedOn w:val="1"/>
    <w:next w:val="1"/>
    <w:unhideWhenUsed/>
    <w:qFormat/>
    <w:locked/>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locked/>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link w:val="33"/>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7"/>
    <w:next w:val="7"/>
    <w:link w:val="41"/>
    <w:semiHidden/>
    <w:qFormat/>
    <w:uiPriority w:val="0"/>
    <w:rPr>
      <w:b/>
    </w:rPr>
  </w:style>
  <w:style w:type="paragraph" w:styleId="21">
    <w:name w:val="Body Text First Indent"/>
    <w:basedOn w:val="8"/>
    <w:link w:val="47"/>
    <w:qFormat/>
    <w:locked/>
    <w:uiPriority w:val="0"/>
    <w:pPr>
      <w:widowControl w:val="0"/>
      <w:snapToGrid/>
      <w:spacing w:before="0" w:after="120" w:line="240" w:lineRule="auto"/>
      <w:ind w:right="0" w:firstLine="420" w:firstLineChars="100"/>
    </w:pPr>
    <w:rPr>
      <w:kern w:val="2"/>
      <w:sz w:val="21"/>
      <w:szCs w:val="24"/>
    </w:rPr>
  </w:style>
  <w:style w:type="paragraph" w:styleId="22">
    <w:name w:val="Body Text First Indent 2"/>
    <w:basedOn w:val="9"/>
    <w:next w:val="1"/>
    <w:unhideWhenUsed/>
    <w:qFormat/>
    <w:locked/>
    <w:uiPriority w:val="0"/>
    <w:pPr>
      <w:widowControl/>
      <w:ind w:firstLine="420" w:firstLineChars="200"/>
      <w:jc w:val="left"/>
    </w:pPr>
    <w:rPr>
      <w:rFonts w:ascii="宋体" w:hAnsi="宋体" w:cs="宋体"/>
      <w:szCs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5">
    <w:name w:val="Table Theme"/>
    <w:basedOn w:val="2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locked/>
    <w:uiPriority w:val="0"/>
  </w:style>
  <w:style w:type="character" w:styleId="28">
    <w:name w:val="Hyperlink"/>
    <w:basedOn w:val="26"/>
    <w:unhideWhenUsed/>
    <w:qFormat/>
    <w:locked/>
    <w:uiPriority w:val="99"/>
    <w:rPr>
      <w:color w:val="0000FF" w:themeColor="hyperlink"/>
      <w:u w:val="single"/>
      <w14:textFill>
        <w14:solidFill>
          <w14:schemeClr w14:val="hlink"/>
        </w14:solidFill>
      </w14:textFill>
    </w:rPr>
  </w:style>
  <w:style w:type="character" w:styleId="29">
    <w:name w:val="annotation reference"/>
    <w:semiHidden/>
    <w:qFormat/>
    <w:uiPriority w:val="0"/>
    <w:rPr>
      <w:sz w:val="21"/>
    </w:rPr>
  </w:style>
  <w:style w:type="character" w:customStyle="1" w:styleId="30">
    <w:name w:val="页脚 Char"/>
    <w:link w:val="16"/>
    <w:qFormat/>
    <w:locked/>
    <w:uiPriority w:val="99"/>
    <w:rPr>
      <w:sz w:val="18"/>
    </w:rPr>
  </w:style>
  <w:style w:type="character" w:customStyle="1" w:styleId="31">
    <w:name w:val="日期 Char"/>
    <w:link w:val="14"/>
    <w:qFormat/>
    <w:locked/>
    <w:uiPriority w:val="0"/>
    <w:rPr>
      <w:rFonts w:ascii="Times New Roman" w:hAnsi="Times New Roman" w:eastAsia="宋体"/>
      <w:sz w:val="24"/>
    </w:rPr>
  </w:style>
  <w:style w:type="character" w:customStyle="1" w:styleId="32">
    <w:name w:val="页脚 字符"/>
    <w:basedOn w:val="26"/>
    <w:qFormat/>
    <w:uiPriority w:val="99"/>
  </w:style>
  <w:style w:type="character" w:customStyle="1" w:styleId="33">
    <w:name w:val="普通(网站) Char"/>
    <w:link w:val="19"/>
    <w:qFormat/>
    <w:locked/>
    <w:uiPriority w:val="0"/>
    <w:rPr>
      <w:rFonts w:ascii="宋体" w:hAnsi="宋体" w:eastAsia="宋体"/>
      <w:sz w:val="24"/>
    </w:rPr>
  </w:style>
  <w:style w:type="character" w:customStyle="1" w:styleId="34">
    <w:name w:val="正文文本 字符1"/>
    <w:semiHidden/>
    <w:qFormat/>
    <w:uiPriority w:val="0"/>
    <w:rPr>
      <w:rFonts w:ascii="Times New Roman" w:hAnsi="Times New Roman" w:eastAsia="宋体"/>
      <w:sz w:val="24"/>
    </w:rPr>
  </w:style>
  <w:style w:type="character" w:customStyle="1" w:styleId="35">
    <w:name w:val="正文文本 Char"/>
    <w:link w:val="8"/>
    <w:qFormat/>
    <w:locked/>
    <w:uiPriority w:val="0"/>
    <w:rPr>
      <w:sz w:val="18"/>
    </w:rPr>
  </w:style>
  <w:style w:type="character" w:customStyle="1" w:styleId="36">
    <w:name w:val="批注文字 Char"/>
    <w:link w:val="7"/>
    <w:qFormat/>
    <w:locked/>
    <w:uiPriority w:val="0"/>
    <w:rPr>
      <w:rFonts w:ascii="Times New Roman" w:hAnsi="Times New Roman" w:eastAsia="宋体"/>
      <w:sz w:val="24"/>
    </w:rPr>
  </w:style>
  <w:style w:type="character" w:customStyle="1" w:styleId="37">
    <w:name w:val="表格 Char"/>
    <w:link w:val="38"/>
    <w:qFormat/>
    <w:locked/>
    <w:uiPriority w:val="0"/>
    <w:rPr>
      <w:rFonts w:ascii="宋体"/>
      <w:sz w:val="21"/>
    </w:rPr>
  </w:style>
  <w:style w:type="paragraph" w:customStyle="1" w:styleId="38">
    <w:name w:val="表格"/>
    <w:basedOn w:val="1"/>
    <w:link w:val="37"/>
    <w:qFormat/>
    <w:uiPriority w:val="0"/>
    <w:pPr>
      <w:adjustRightInd w:val="0"/>
      <w:snapToGrid w:val="0"/>
      <w:spacing w:beforeLines="10" w:afterLines="10" w:line="259" w:lineRule="auto"/>
      <w:jc w:val="center"/>
    </w:pPr>
    <w:rPr>
      <w:rFonts w:ascii="宋体"/>
      <w:kern w:val="0"/>
      <w:szCs w:val="20"/>
    </w:rPr>
  </w:style>
  <w:style w:type="character" w:customStyle="1" w:styleId="39">
    <w:name w:val="日期 字符"/>
    <w:semiHidden/>
    <w:qFormat/>
    <w:uiPriority w:val="0"/>
    <w:rPr>
      <w:rFonts w:ascii="Times New Roman" w:hAnsi="Times New Roman" w:eastAsia="宋体"/>
      <w:sz w:val="24"/>
    </w:rPr>
  </w:style>
  <w:style w:type="character" w:customStyle="1" w:styleId="40">
    <w:name w:val="批注框文本 Char"/>
    <w:link w:val="15"/>
    <w:semiHidden/>
    <w:qFormat/>
    <w:locked/>
    <w:uiPriority w:val="0"/>
    <w:rPr>
      <w:rFonts w:ascii="Times New Roman" w:hAnsi="Times New Roman" w:eastAsia="宋体"/>
      <w:sz w:val="18"/>
    </w:rPr>
  </w:style>
  <w:style w:type="character" w:customStyle="1" w:styleId="41">
    <w:name w:val="批注主题 Char"/>
    <w:link w:val="20"/>
    <w:semiHidden/>
    <w:qFormat/>
    <w:locked/>
    <w:uiPriority w:val="0"/>
    <w:rPr>
      <w:rFonts w:ascii="Times New Roman" w:hAnsi="Times New Roman" w:eastAsia="宋体"/>
      <w:b/>
      <w:kern w:val="2"/>
      <w:sz w:val="24"/>
    </w:rPr>
  </w:style>
  <w:style w:type="character" w:customStyle="1" w:styleId="42">
    <w:name w:val="页眉 Char"/>
    <w:link w:val="10"/>
    <w:qFormat/>
    <w:locked/>
    <w:uiPriority w:val="0"/>
    <w:rPr>
      <w:sz w:val="18"/>
    </w:rPr>
  </w:style>
  <w:style w:type="character" w:customStyle="1" w:styleId="43">
    <w:name w:val="批注文字 字符1"/>
    <w:semiHidden/>
    <w:qFormat/>
    <w:uiPriority w:val="0"/>
    <w:rPr>
      <w:rFonts w:ascii="Times New Roman" w:hAnsi="Times New Roman" w:eastAsia="宋体"/>
      <w:sz w:val="24"/>
    </w:rPr>
  </w:style>
  <w:style w:type="character" w:customStyle="1" w:styleId="44">
    <w:name w:val="正文文本缩进 Char"/>
    <w:link w:val="9"/>
    <w:semiHidden/>
    <w:qFormat/>
    <w:locked/>
    <w:uiPriority w:val="0"/>
    <w:rPr>
      <w:rFonts w:ascii="Times New Roman" w:hAnsi="Times New Roman" w:eastAsia="宋体"/>
      <w:sz w:val="24"/>
    </w:rPr>
  </w:style>
  <w:style w:type="paragraph" w:customStyle="1" w:styleId="4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7">
    <w:name w:val="正文首行缩进 Char"/>
    <w:basedOn w:val="35"/>
    <w:link w:val="21"/>
    <w:qFormat/>
    <w:uiPriority w:val="0"/>
    <w:rPr>
      <w:kern w:val="2"/>
      <w:sz w:val="21"/>
      <w:szCs w:val="24"/>
    </w:rPr>
  </w:style>
  <w:style w:type="paragraph" w:styleId="48">
    <w:name w:val="List Paragraph"/>
    <w:basedOn w:val="1"/>
    <w:qFormat/>
    <w:uiPriority w:val="34"/>
    <w:pPr>
      <w:ind w:firstLine="420" w:firstLineChars="200"/>
    </w:pPr>
  </w:style>
  <w:style w:type="character" w:customStyle="1" w:styleId="49">
    <w:name w:val="正文缩进 Char"/>
    <w:link w:val="6"/>
    <w:qFormat/>
    <w:uiPriority w:val="0"/>
    <w:rPr>
      <w:rFonts w:ascii="Arial" w:hAnsi="Arial" w:cs="Arial"/>
      <w:spacing w:val="10"/>
      <w:kern w:val="2"/>
      <w:sz w:val="24"/>
    </w:rPr>
  </w:style>
  <w:style w:type="paragraph" w:customStyle="1" w:styleId="50">
    <w:name w:val="TOC 标题1"/>
    <w:basedOn w:val="2"/>
    <w:next w:val="1"/>
    <w:unhideWhenUsed/>
    <w:qFormat/>
    <w:uiPriority w:val="39"/>
    <w:pPr>
      <w:keepLines/>
      <w:widowControl/>
      <w:overflowPunct/>
      <w:snapToGrid/>
      <w:spacing w:before="480" w:after="0" w:line="276" w:lineRule="auto"/>
      <w:ind w:left="0" w:firstLine="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表-标题3 Char Char"/>
    <w:link w:val="52"/>
    <w:qFormat/>
    <w:uiPriority w:val="0"/>
    <w:rPr>
      <w:rFonts w:ascii="宋体" w:hAnsi="宋体" w:cs="宋体"/>
      <w:b/>
      <w:bCs/>
      <w:kern w:val="2"/>
      <w:sz w:val="24"/>
      <w:szCs w:val="32"/>
    </w:rPr>
  </w:style>
  <w:style w:type="paragraph" w:customStyle="1" w:styleId="52">
    <w:name w:val="表-标题3"/>
    <w:basedOn w:val="4"/>
    <w:next w:val="1"/>
    <w:link w:val="51"/>
    <w:qFormat/>
    <w:uiPriority w:val="0"/>
    <w:pPr>
      <w:adjustRightInd w:val="0"/>
      <w:snapToGrid w:val="0"/>
      <w:spacing w:before="0" w:after="0" w:line="360" w:lineRule="auto"/>
      <w:jc w:val="left"/>
    </w:pPr>
    <w:rPr>
      <w:rFonts w:ascii="宋体" w:hAnsi="宋体" w:cs="宋体"/>
      <w:sz w:val="24"/>
    </w:rPr>
  </w:style>
  <w:style w:type="character" w:customStyle="1" w:styleId="53">
    <w:name w:val="标题 3 Char"/>
    <w:basedOn w:val="26"/>
    <w:link w:val="4"/>
    <w:semiHidden/>
    <w:qFormat/>
    <w:uiPriority w:val="0"/>
    <w:rPr>
      <w:b/>
      <w:bCs/>
      <w:kern w:val="2"/>
      <w:sz w:val="32"/>
      <w:szCs w:val="32"/>
    </w:rPr>
  </w:style>
  <w:style w:type="paragraph" w:customStyle="1" w:styleId="54">
    <w:name w:val="h表格文字"/>
    <w:qFormat/>
    <w:uiPriority w:val="0"/>
    <w:pPr>
      <w:spacing w:beforeLines="5"/>
      <w:jc w:val="center"/>
    </w:pPr>
    <w:rPr>
      <w:rFonts w:ascii="Times New Roman" w:hAnsi="Times New Roman" w:eastAsia="Times New Roman" w:cs="Times New Roman"/>
      <w:sz w:val="21"/>
      <w:lang w:val="en-US" w:eastAsia="zh-CN" w:bidi="ar-SA"/>
    </w:rPr>
  </w:style>
  <w:style w:type="character" w:styleId="55">
    <w:name w:val="Placeholder Text"/>
    <w:basedOn w:val="26"/>
    <w:unhideWhenUsed/>
    <w:qFormat/>
    <w:uiPriority w:val="99"/>
    <w:rPr>
      <w:color w:val="808080"/>
    </w:rPr>
  </w:style>
  <w:style w:type="character" w:customStyle="1" w:styleId="56">
    <w:name w:val="标题 4 Char"/>
    <w:basedOn w:val="26"/>
    <w:link w:val="5"/>
    <w:semiHidden/>
    <w:qFormat/>
    <w:uiPriority w:val="0"/>
    <w:rPr>
      <w:rFonts w:asciiTheme="majorHAnsi" w:hAnsiTheme="majorHAnsi" w:eastAsiaTheme="majorEastAsia" w:cstheme="majorBidi"/>
      <w:b/>
      <w:bCs/>
      <w:kern w:val="2"/>
      <w:sz w:val="28"/>
      <w:szCs w:val="28"/>
    </w:rPr>
  </w:style>
  <w:style w:type="paragraph" w:customStyle="1" w:styleId="57">
    <w:name w:val="报告表标题"/>
    <w:basedOn w:val="1"/>
    <w:qFormat/>
    <w:uiPriority w:val="0"/>
    <w:pPr>
      <w:widowControl/>
      <w:numPr>
        <w:ilvl w:val="0"/>
        <w:numId w:val="1"/>
      </w:numPr>
      <w:tabs>
        <w:tab w:val="left" w:pos="632"/>
        <w:tab w:val="left" w:pos="1080"/>
      </w:tabs>
      <w:jc w:val="left"/>
    </w:pPr>
    <w:rPr>
      <w:rFonts w:ascii="宋体" w:hAnsi="宋体"/>
      <w:sz w:val="24"/>
      <w:lang w:val="zh-CN"/>
    </w:rPr>
  </w:style>
  <w:style w:type="paragraph" w:customStyle="1" w:styleId="58">
    <w:name w:val="样式 标题 2 +1"/>
    <w:basedOn w:val="3"/>
    <w:qFormat/>
    <w:uiPriority w:val="0"/>
    <w:pPr>
      <w:numPr>
        <w:ilvl w:val="1"/>
        <w:numId w:val="1"/>
      </w:numPr>
      <w:shd w:val="clear" w:color="auto" w:fill="FFFFFF"/>
      <w:tabs>
        <w:tab w:val="left" w:pos="567"/>
        <w:tab w:val="left" w:pos="1260"/>
        <w:tab w:val="clear" w:pos="3217"/>
      </w:tabs>
      <w:spacing w:before="0" w:after="0" w:line="360" w:lineRule="auto"/>
      <w:ind w:left="840" w:hanging="420"/>
      <w:jc w:val="left"/>
    </w:pPr>
    <w:rPr>
      <w:rFonts w:ascii="宋体" w:hAnsi="宋体" w:eastAsia="宋体" w:cs="Times New Roman"/>
      <w:color w:val="000000"/>
      <w:kern w:val="0"/>
      <w:sz w:val="30"/>
      <w:szCs w:val="28"/>
    </w:rPr>
  </w:style>
  <w:style w:type="character" w:customStyle="1" w:styleId="59">
    <w:name w:val="标题 2 Char"/>
    <w:basedOn w:val="26"/>
    <w:link w:val="3"/>
    <w:semiHidden/>
    <w:qFormat/>
    <w:uiPriority w:val="0"/>
    <w:rPr>
      <w:rFonts w:asciiTheme="majorHAnsi" w:hAnsiTheme="majorHAnsi" w:eastAsiaTheme="majorEastAsia" w:cstheme="majorBidi"/>
      <w:b/>
      <w:bCs/>
      <w:kern w:val="2"/>
      <w:sz w:val="32"/>
      <w:szCs w:val="32"/>
    </w:rPr>
  </w:style>
  <w:style w:type="paragraph" w:customStyle="1" w:styleId="60">
    <w:name w:val="S表格内容-单行"/>
    <w:next w:val="1"/>
    <w:qFormat/>
    <w:uiPriority w:val="0"/>
    <w:pPr>
      <w:widowControl w:val="0"/>
      <w:adjustRightInd w:val="0"/>
      <w:snapToGrid w:val="0"/>
      <w:spacing w:line="360" w:lineRule="exact"/>
      <w:jc w:val="center"/>
    </w:pPr>
    <w:rPr>
      <w:rFonts w:ascii="Times New Roman" w:hAnsi="Times New Roman" w:eastAsia="宋体" w:cs="Times New Roman"/>
      <w:kern w:val="2"/>
      <w:sz w:val="21"/>
      <w:szCs w:val="22"/>
      <w:lang w:val="en-US" w:eastAsia="zh-CN" w:bidi="ar-SA"/>
    </w:rPr>
  </w:style>
  <w:style w:type="character" w:customStyle="1" w:styleId="61">
    <w:name w:val="font11"/>
    <w:qFormat/>
    <w:uiPriority w:val="0"/>
    <w:rPr>
      <w:rFonts w:hint="eastAsia" w:ascii="宋体" w:hAnsi="宋体" w:eastAsia="宋体" w:cs="宋体"/>
      <w:color w:val="000000"/>
      <w:sz w:val="21"/>
      <w:szCs w:val="21"/>
      <w:u w:val="none"/>
    </w:rPr>
  </w:style>
  <w:style w:type="paragraph" w:customStyle="1" w:styleId="6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3">
    <w:name w:val="xl26 Char"/>
    <w:link w:val="64"/>
    <w:autoRedefine/>
    <w:qFormat/>
    <w:uiPriority w:val="0"/>
    <w:rPr>
      <w:rFonts w:ascii="宋体" w:hAnsi="宋体"/>
      <w:sz w:val="21"/>
      <w:szCs w:val="21"/>
    </w:rPr>
  </w:style>
  <w:style w:type="paragraph" w:customStyle="1" w:styleId="64">
    <w:name w:val="xl26"/>
    <w:basedOn w:val="1"/>
    <w:link w:val="63"/>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5">
    <w:name w:val="表格 Char Char"/>
    <w:qFormat/>
    <w:uiPriority w:val="0"/>
    <w:rPr>
      <w:rFonts w:eastAsia="宋体"/>
      <w:spacing w:val="24"/>
      <w:sz w:val="24"/>
    </w:rPr>
  </w:style>
  <w:style w:type="paragraph" w:customStyle="1" w:styleId="66">
    <w:name w:val="xl27"/>
    <w:basedOn w:val="1"/>
    <w:qFormat/>
    <w:uiPriority w:val="0"/>
    <w:pPr>
      <w:widowControl/>
      <w:pBdr>
        <w:top w:val="single" w:color="auto" w:sz="4" w:space="0"/>
        <w:bottom w:val="single" w:color="auto" w:sz="4" w:space="0"/>
      </w:pBdr>
      <w:spacing w:before="100" w:beforeAutospacing="1" w:after="100" w:afterAutospacing="1"/>
      <w:jc w:val="left"/>
    </w:pPr>
    <w:rPr>
      <w:rFonts w:ascii="Wonder Arial" w:hAnsi="Wonder Arial" w:eastAsia="Wonder Arial"/>
      <w:kern w:val="0"/>
      <w:sz w:val="24"/>
    </w:rPr>
  </w:style>
  <w:style w:type="paragraph" w:customStyle="1" w:styleId="67">
    <w:name w:val="Table Paragraph"/>
    <w:basedOn w:val="1"/>
    <w:qFormat/>
    <w:uiPriority w:val="1"/>
  </w:style>
  <w:style w:type="character" w:customStyle="1" w:styleId="68">
    <w:name w:val="font21"/>
    <w:basedOn w:val="26"/>
    <w:qFormat/>
    <w:uiPriority w:val="0"/>
    <w:rPr>
      <w:rFonts w:hint="default" w:ascii="Times New Roman" w:hAnsi="Times New Roman" w:cs="Times New Roman"/>
      <w:color w:val="000000"/>
      <w:sz w:val="18"/>
      <w:szCs w:val="18"/>
      <w:u w:val="none"/>
    </w:rPr>
  </w:style>
  <w:style w:type="character" w:customStyle="1" w:styleId="69">
    <w:name w:val="font41"/>
    <w:basedOn w:val="26"/>
    <w:qFormat/>
    <w:uiPriority w:val="0"/>
    <w:rPr>
      <w:rFonts w:hint="default" w:ascii="Times New Roman" w:hAnsi="Times New Roman" w:cs="Times New Roman"/>
      <w:color w:val="000000"/>
      <w:sz w:val="11"/>
      <w:szCs w:val="11"/>
      <w:u w:val="none"/>
    </w:rPr>
  </w:style>
  <w:style w:type="character" w:customStyle="1" w:styleId="70">
    <w:name w:val="font31"/>
    <w:basedOn w:val="26"/>
    <w:qFormat/>
    <w:uiPriority w:val="0"/>
    <w:rPr>
      <w:rFonts w:hint="default" w:ascii="Times New Roman" w:hAnsi="Times New Roman" w:cs="Times New Roman"/>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6de49485-fa1e-48f5-b341-0cc8798e8869</errorID>
      <errorWord>-</errorWord>
      <group>L1_Format</group>
      <groupName>格式问题</groupName>
      <ability>L2_HalfPunc</ability>
      <abilityName>全半角检查</abilityName>
      <candidateList>
        <item>－</item>
      </candidateList>
      <explain>文本全半角错误。</explain>
      <paraID>4C5CB992</paraID>
      <start>27</start>
      <end>28</end>
      <status>unmodified</status>
      <modifiedWord/>
      <trackRevisions>false</trackRevisions>
    </reviewItem>
    <reviewItem>
      <errorID>11fed42e-8cd6-4ffe-8470-9648242ce10e</errorID>
      <errorWord>)</errorWord>
      <group>L1_Format</group>
      <groupName>格式问题</groupName>
      <ability>L2_HalfPunc</ability>
      <abilityName>全半角检查</abilityName>
      <candidateList>
        <item>）</item>
      </candidateList>
      <explain>文本全半角错误。</explain>
      <paraID>78EC515A</paraID>
      <start>44</start>
      <end>45</end>
      <status>unmodified</status>
      <modifiedWord/>
      <trackRevisions>false</trackRevisions>
    </reviewItem>
    <reviewItem>
      <errorID>ee145c62-1b3c-41ec-9dbe-8771a8bb2aa5</errorID>
      <errorWord>新成</errorWord>
      <group>L1_Word</group>
      <groupName>字词问题</groupName>
      <ability>L2_Typo</ability>
      <abilityName>字词错误</abilityName>
      <candidateList>
        <item>新城</item>
      </candidateList>
      <explain/>
      <paraID>66953BDF</paraID>
      <start>54</start>
      <end>56</end>
      <status>modified</status>
      <modifiedWord>新城</modifiedWord>
      <trackRevisions>false</trackRevisions>
    </reviewItem>
    <reviewItem>
      <errorID>4a7c6b55-5cd8-42af-9c4b-353a11302675</errorID>
      <errorWord>补链延链强链</errorWord>
      <group>L1_Political</group>
      <groupName>政治性问题</groupName>
      <ability>L2_Unpolitical</ability>
      <abilityName>政治敏感错误</abilityName>
      <candidateList>
        <item>延链补链强链</item>
      </candidateList>
      <explain/>
      <paraID>3442D397</paraID>
      <start>78</start>
      <end>84</end>
      <status>ignored</status>
      <modifiedWord/>
      <trackRevisions>false</trackRevisions>
    </reviewItem>
    <reviewItem>
      <errorID>0fe7df0f-d6da-438f-a34f-1a401eb3f621</errorID>
      <errorWord>-</errorWord>
      <group>L1_Format</group>
      <groupName>格式问题</groupName>
      <ability>L2_HalfPunc</ability>
      <abilityName>全半角检查</abilityName>
      <candidateList>
        <item>－</item>
      </candidateList>
      <explain>文本全半角错误。</explain>
      <paraID>197486F6</paraID>
      <start>68</start>
      <end>69</end>
      <status>unmodified</status>
      <modifiedWord/>
      <trackRevisions>false</trackRevisions>
    </reviewItem>
    <reviewItem>
      <errorID>1647f524-aaf2-43c7-98a6-440f486d358b</errorID>
      <errorWord>“</errorWord>
      <group>L1_Punc</group>
      <groupName>标点问题</groupName>
      <ability>L2_Punc</ability>
      <abilityName>标点符号检查</abilityName>
      <candidateList/>
      <explain/>
      <paraID>46A1D35D</paraID>
      <start>31</start>
      <end>32</end>
      <status>ignored</status>
      <modifiedWord/>
      <trackRevisions>false</trackRevisions>
    </reviewItem>
    <reviewItem>
      <errorID>01bcfc37-2e16-48ac-b331-822de94a20c3</errorID>
      <errorWord>城乡结合部</errorWord>
      <group>L1_Knowledge</group>
      <groupName>知识性问题</groupName>
      <ability>L2_Knowledge</ability>
      <abilityName>其他知识</abilityName>
      <candidateList>
        <item>城乡接合部</item>
      </candidateList>
      <explain/>
      <paraID>2C475AB6</paraID>
      <start>71</start>
      <end>76</end>
      <status>ignored</status>
      <modifiedWord/>
      <trackRevisions>false</trackRevisions>
    </reviewItem>
    <reviewItem>
      <errorID>69cbf9fe-48ea-43ae-8f3c-81284b063c09</errorID>
      <errorWord>符设</errorWord>
      <group>L1_Word</group>
      <groupName>字词问题</groupName>
      <ability>L2_Typo</ability>
      <abilityName>字词错误</abilityName>
      <candidateList>
        <item>符</item>
      </candidateList>
      <explain/>
      <paraID>49A2CFB1</paraID>
      <start>21</start>
      <end>22</end>
      <status>modified</status>
      <modifiedWord>符</modifiedWord>
      <trackRevisions>false</trackRevisions>
    </reviewItem>
    <reviewItem>
      <errorID>cb1e11c9-caf6-4d82-aa94-0561c8c1642d</errorID>
      <errorWord>(</errorWord>
      <group>L1_Format</group>
      <groupName>格式问题</groupName>
      <ability>L2_HalfPunc</ability>
      <abilityName>全半角检查</abilityName>
      <candidateList>
        <item>（</item>
      </candidateList>
      <explain>文本全半角错误。</explain>
      <paraID> 7C5BDF0</paraID>
      <start>20</start>
      <end>21</end>
      <status>unmodified</status>
      <modifiedWord/>
      <trackRevisions>false</trackRevisions>
    </reviewItem>
    <reviewItem>
      <errorID>709a91f2-08e7-4e13-b609-a2b0595df564</errorID>
      <errorWord>)</errorWord>
      <group>L1_Format</group>
      <groupName>格式问题</groupName>
      <ability>L2_HalfPunc</ability>
      <abilityName>全半角检查</abilityName>
      <candidateList>
        <item>）</item>
      </candidateList>
      <explain>文本全半角错误。</explain>
      <paraID> 7C5BDF0</paraID>
      <start>36</start>
      <end>37</end>
      <status>unmodified</status>
      <modifiedWord/>
      <trackRevisions>false</trackRevisions>
    </reviewItem>
    <reviewItem>
      <errorID>f6a51104-d30b-4e16-b78e-d8fb47c74643</errorID>
      <errorWord>(</errorWord>
      <group>L1_Format</group>
      <groupName>格式问题</groupName>
      <ability>L2_HalfPunc</ability>
      <abilityName>全半角检查</abilityName>
      <candidateList>
        <item>（</item>
      </candidateList>
      <explain>文本全半角错误。</explain>
      <paraID>3629DB03</paraID>
      <start>39</start>
      <end>40</end>
      <status>unmodified</status>
      <modifiedWord/>
      <trackRevisions>false</trackRevisions>
    </reviewItem>
    <reviewItem>
      <errorID>9b9b5548-60b3-4706-a4da-94e2b1d98e10</errorID>
      <errorWord>)</errorWord>
      <group>L1_Format</group>
      <groupName>格式问题</groupName>
      <ability>L2_HalfPunc</ability>
      <abilityName>全半角检查</abilityName>
      <candidateList>
        <item>）</item>
      </candidateList>
      <explain>文本全半角错误。</explain>
      <paraID>3629DB03</paraID>
      <start>55</start>
      <end>56</end>
      <status>unmodified</status>
      <modifiedWord/>
      <trackRevisions>false</trackRevisions>
    </reviewItem>
    <reviewItem>
      <errorID>c8ed0d4b-e5dc-4369-9c97-f40022f43d1c</errorID>
      <errorWord>明确有</errorWord>
      <group>L1_Word</group>
      <groupName>字词问题</groupName>
      <ability>L2_Typo</ability>
      <abilityName>字词错误</abilityName>
      <candidateList>
        <item>明确</item>
      </candidateList>
      <explain/>
      <paraID> 49A60B5</paraID>
      <start>75</start>
      <end>77</end>
      <status>modified</status>
      <modifiedWord>明确</modifiedWord>
      <trackRevisions>false</trackRevisions>
    </reviewItem>
    <reviewItem>
      <errorID>cea6f171-ee0d-4c6f-a61b-ae3bb0328f07</errorID>
      <errorWord>(</errorWord>
      <group>L1_Format</group>
      <groupName>格式问题</groupName>
      <ability>L2_HalfPunc</ability>
      <abilityName>全半角检查</abilityName>
      <candidateList>
        <item>（</item>
      </candidateList>
      <explain>文本全半角错误。</explain>
      <paraID>7853251D</paraID>
      <start>53</start>
      <end>54</end>
      <status>unmodified</status>
      <modifiedWord/>
      <trackRevisions>false</trackRevisions>
    </reviewItem>
    <reviewItem>
      <errorID>04f175f9-e15a-4c13-8a01-799035d66b93</errorID>
      <errorWord>)</errorWord>
      <group>L1_Format</group>
      <groupName>格式问题</groupName>
      <ability>L2_HalfPunc</ability>
      <abilityName>全半角检查</abilityName>
      <candidateList>
        <item>）</item>
      </candidateList>
      <explain>文本全半角错误。</explain>
      <paraID>7853251D</paraID>
      <start>57</start>
      <end>58</end>
      <status>unmodified</status>
      <modifiedWord/>
      <trackRevisions>false</trackRevisions>
    </reviewItem>
    <reviewItem>
      <errorID>67e68b3b-f40a-4c91-9ce0-6ed75b1175dd</errorID>
      <errorWord>(</errorWord>
      <group>L1_Format</group>
      <groupName>格式问题</groupName>
      <ability>L2_HalfPunc</ability>
      <abilityName>全半角检查</abilityName>
      <candidateList>
        <item>（</item>
      </candidateList>
      <explain>文本全半角错误。</explain>
      <paraID>4BAD18C1</paraID>
      <start>35</start>
      <end>36</end>
      <status>unmodified</status>
      <modifiedWord/>
      <trackRevisions>false</trackRevisions>
    </reviewItem>
    <reviewItem>
      <errorID>425c1bbc-4e68-45b7-b718-7d7976517fbe</errorID>
      <errorWord>)</errorWord>
      <group>L1_Format</group>
      <groupName>格式问题</groupName>
      <ability>L2_HalfPunc</ability>
      <abilityName>全半角检查</abilityName>
      <candidateList>
        <item>）</item>
      </candidateList>
      <explain>文本全半角错误。</explain>
      <paraID>4BAD18C1</paraID>
      <start>40</start>
      <end>41</end>
      <status>unmodified</status>
      <modifiedWord/>
      <trackRevisions>false</trackRevisions>
    </reviewItem>
    <reviewItem>
      <errorID>6deb6857-f5f9-4109-b518-919da6a743d1</errorID>
      <errorWord>件</errorWord>
      <group>L1_Word</group>
      <groupName>字词问题</groupName>
      <ability>L2_Typo</ability>
      <abilityName>字词错误</abilityName>
      <candidateList>
        <item>件的</item>
      </candidateList>
      <explain/>
      <paraID>4BAD18C1</paraID>
      <start>104</start>
      <end>106</end>
      <status>modified</status>
      <modifiedWord>件的</modifiedWord>
      <trackRevisions>false</trackRevisions>
    </reviewItem>
    <reviewItem>
      <errorID>7e153968-dfc3-4fc0-af17-ca124e504149</errorID>
      <errorWord>(</errorWord>
      <group>L1_Format</group>
      <groupName>格式问题</groupName>
      <ability>L2_HalfPunc</ability>
      <abilityName>全半角检查</abilityName>
      <candidateList>
        <item>（</item>
      </candidateList>
      <explain>文本全半角错误。</explain>
      <paraID>78ACEF0E</paraID>
      <start>26</start>
      <end>27</end>
      <status>unmodified</status>
      <modifiedWord/>
      <trackRevisions>false</trackRevisions>
    </reviewItem>
    <reviewItem>
      <errorID>cf6735e5-d55b-4bcf-ab46-1ac9f9362b2f</errorID>
      <errorWord>)</errorWord>
      <group>L1_Format</group>
      <groupName>格式问题</groupName>
      <ability>L2_HalfPunc</ability>
      <abilityName>全半角检查</abilityName>
      <candidateList>
        <item>）</item>
      </candidateList>
      <explain>文本全半角错误。</explain>
      <paraID>78ACEF0E</paraID>
      <start>30</start>
      <end>31</end>
      <status>unmodified</status>
      <modifiedWord/>
      <trackRevisions>false</trackRevisions>
    </reviewItem>
    <reviewItem>
      <errorID>f77eab2c-b8f8-4f71-b636-8f35e6075b4a</errorID>
      <errorWord>街接</errorWord>
      <group>L1_Word</group>
      <groupName>字词问题</groupName>
      <ability>L2_Typo</ability>
      <abilityName>字词错误</abilityName>
      <candidateList>
        <item>衔接</item>
      </candidateList>
      <explain>〈动〉事物相连接：两个阶段必须～起来。</explain>
      <paraID>415FF80D</paraID>
      <start>74</start>
      <end>76</end>
      <status>modified</status>
      <modifiedWord>衔接</modifiedWord>
      <trackRevisions>false</trackRevisions>
    </reviewItem>
    <reviewItem>
      <errorID>a322fd88-7828-490d-9420-094e4ee1d645</errorID>
      <errorWord>II类</errorWord>
      <group>L1_Knowledge</group>
      <groupName>知识性问题</groupName>
      <ability>L2_Knowledge</ability>
      <abilityName>其他知识</abilityName>
      <candidateList>
        <item>Ⅱ类</item>
      </candidateList>
      <explain/>
      <paraID>27796861</paraID>
      <start>156</start>
      <end>159</end>
      <status>ignored</status>
      <modifiedWord/>
      <trackRevisions>false</trackRevisions>
    </reviewItem>
    <reviewItem>
      <errorID>01abce89-840b-4a99-9fbd-0f6ff54df8f3</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6DD4101</paraID>
      <start>4</start>
      <end>5</end>
      <status>modified</status>
      <modifiedWord>等</modifiedWord>
      <trackRevisions>false</trackRevisions>
    </reviewItem>
    <reviewItem>
      <errorID>8a876371-2f88-4da5-8664-6f47b8b11ebe</errorID>
      <errorWord>运到</errorWord>
      <group>L1_Word</group>
      <groupName>字词问题</groupName>
      <ability>L2_Typo</ability>
      <abilityName>字词错误</abilityName>
      <candidateList>
        <item>运至</item>
      </candidateList>
      <explain/>
      <paraID>144F7C93</paraID>
      <start>13</start>
      <end>15</end>
      <status>modified</status>
      <modifiedWord>运至</modifiedWord>
      <trackRevisions>false</trackRevisions>
    </reviewItem>
    <reviewItem>
      <errorID>50cbe715-d092-47bf-9b39-59f97f9525b3</errorID>
      <errorWord>期</errorWord>
      <group>L1_Word</group>
      <groupName>字词问题</groupName>
      <ability>L2_Typo</ability>
      <abilityName>字词错误</abilityName>
      <candidateList>
        <item>期间</item>
      </candidateList>
      <explain>〈名〉某个时期里面：农忙～｜春节～｜抗战～。</explain>
      <paraID>144F7C93</paraID>
      <start>44</start>
      <end>46</end>
      <status>modified</status>
      <modifiedWord>期间</modifiedWord>
      <trackRevisions>false</trackRevisions>
    </reviewItem>
    <reviewItem>
      <errorID>510c6925-2995-465b-9f41-52edcaec2ab3</errorID>
      <errorWord>"</errorWord>
      <group>L1_Format</group>
      <groupName>格式问题</groupName>
      <ability>L2_HalfPunc</ability>
      <abilityName>全半角检查</abilityName>
      <candidateList>
        <item>“</item>
      </candidateList>
      <explain>文本全半角错误。</explain>
      <paraID>2BEA094D</paraID>
      <start>53</start>
      <end>54</end>
      <status>unmodified</status>
      <modifiedWord/>
      <trackRevisions>false</trackRevisions>
    </reviewItem>
    <reviewItem>
      <errorID>e7cb748e-e881-4606-aa3b-6b5b8fd40a7d</errorID>
      <errorWord>"</errorWord>
      <group>L1_Format</group>
      <groupName>格式问题</groupName>
      <ability>L2_HalfPunc</ability>
      <abilityName>全半角检查</abilityName>
      <candidateList>
        <item>”</item>
      </candidateList>
      <explain>文本全半角错误。</explain>
      <paraID>2BEA094D</paraID>
      <start>58</start>
      <end>59</end>
      <status>unmodified</status>
      <modifiedWord/>
      <trackRevisions>false</trackRevisions>
    </reviewItem>
    <reviewItem>
      <errorID>9a8485ac-888c-4ee3-b579-d3f23fffbed2</errorID>
      <errorWord>"</errorWord>
      <group>L1_Format</group>
      <groupName>格式问题</groupName>
      <ability>L2_HalfPunc</ability>
      <abilityName>全半角检查</abilityName>
      <candidateList>
        <item>“</item>
      </candidateList>
      <explain>文本全半角错误。</explain>
      <paraID>2BEA094D</paraID>
      <start>62</start>
      <end>63</end>
      <status>unmodified</status>
      <modifiedWord/>
      <trackRevisions>false</trackRevisions>
    </reviewItem>
    <reviewItem>
      <errorID>bc250453-c2e0-49df-9a4a-a921f7dd0ee5</errorID>
      <errorWord>互联网十</errorWord>
      <group>L1_Knowledge</group>
      <groupName>知识性问题</groupName>
      <ability>L2_Term</ability>
      <abilityName>专业术语</abilityName>
      <candidateList>
        <item>互联网+</item>
      </candidateList>
      <explain/>
      <paraID>2BEA094D</paraID>
      <start>63</start>
      <end>67</end>
      <status>modified</status>
      <modifiedWord>互联网+</modifiedWord>
      <trackRevisions>false</trackRevisions>
    </reviewItem>
    <reviewItem>
      <errorID>d8d6498a-671d-4426-bf90-09267fc33fa6</errorID>
      <errorWord>"</errorWord>
      <group>L1_Format</group>
      <groupName>格式问题</groupName>
      <ability>L2_HalfPunc</ability>
      <abilityName>全半角检查</abilityName>
      <candidateList>
        <item>”</item>
      </candidateList>
      <explain>文本全半角错误。</explain>
      <paraID>2BEA094D</paraID>
      <start>69</start>
      <end>70</end>
      <status>unmodified</status>
      <modifiedWord/>
      <trackRevisions>false</trackRevisions>
    </reviewItem>
    <reviewItem>
      <errorID>53f525a6-9f72-4b06-9fae-aec6da1e43e7</errorID>
      <errorWord>运到</errorWord>
      <group>L1_Word</group>
      <groupName>字词问题</groupName>
      <ability>L2_Typo</ability>
      <abilityName>字词错误</abilityName>
      <candidateList>
        <item>运至</item>
      </candidateList>
      <explain/>
      <paraID>6E6A1137</paraID>
      <start>13</start>
      <end>15</end>
      <status>modified</status>
      <modifiedWord>运至</modifiedWord>
      <trackRevisions>false</trackRevisions>
    </reviewItem>
    <reviewItem>
      <errorID>1a3c71f6-ad38-46cd-972d-c035f1158443</errorID>
      <errorWord>期</errorWord>
      <group>L1_Word</group>
      <groupName>字词问题</groupName>
      <ability>L2_Typo</ability>
      <abilityName>字词错误</abilityName>
      <candidateList>
        <item>期间</item>
      </candidateList>
      <explain>〈名〉某个时期里面：农忙～｜春节～｜抗战～。</explain>
      <paraID>6E6A1137</paraID>
      <start>44</start>
      <end>46</end>
      <status>modified</status>
      <modifiedWord>期间</modifiedWord>
      <trackRevisions>false</trackRevisions>
    </reviewItem>
    <reviewItem>
      <errorID>d41b82ed-2c38-4446-b243-05f7ebcd723d</errorID>
      <errorWord>"</errorWord>
      <group>L1_Format</group>
      <groupName>格式问题</groupName>
      <ability>L2_HalfPunc</ability>
      <abilityName>全半角检查</abilityName>
      <candidateList>
        <item>“</item>
      </candidateList>
      <explain>文本全半角错误。</explain>
      <paraID>52FCCA9E</paraID>
      <start>34</start>
      <end>35</end>
      <status>unmodified</status>
      <modifiedWord/>
      <trackRevisions>false</trackRevisions>
    </reviewItem>
    <reviewItem>
      <errorID>dbebd2b9-2d05-45f1-9d77-94a4b7d4a3de</errorID>
      <errorWord>"</errorWord>
      <group>L1_Format</group>
      <groupName>格式问题</groupName>
      <ability>L2_HalfPunc</ability>
      <abilityName>全半角检查</abilityName>
      <candidateList>
        <item>”</item>
      </candidateList>
      <explain>文本全半角错误。</explain>
      <paraID>52FCCA9E</paraID>
      <start>39</start>
      <end>40</end>
      <status>unmodified</status>
      <modifiedWord/>
      <trackRevisions>false</trackRevisions>
    </reviewItem>
    <reviewItem>
      <errorID>fe56e1cd-0e5a-4249-bbfb-d00da2f6e0e8</errorID>
      <errorWord>"</errorWord>
      <group>L1_Format</group>
      <groupName>格式问题</groupName>
      <ability>L2_HalfPunc</ability>
      <abilityName>全半角检查</abilityName>
      <candidateList>
        <item>“</item>
      </candidateList>
      <explain>文本全半角错误。</explain>
      <paraID>52FCCA9E</paraID>
      <start>104</start>
      <end>105</end>
      <status>unmodified</status>
      <modifiedWord/>
      <trackRevisions>false</trackRevisions>
    </reviewItem>
    <reviewItem>
      <errorID>6dbc9cdc-7967-46a3-8f69-e53e6f6d0620</errorID>
      <errorWord>"</errorWord>
      <group>L1_Format</group>
      <groupName>格式问题</groupName>
      <ability>L2_HalfPunc</ability>
      <abilityName>全半角检查</abilityName>
      <candidateList>
        <item>”</item>
      </candidateList>
      <explain>文本全半角错误。</explain>
      <paraID>52FCCA9E</paraID>
      <start>111</start>
      <end>112</end>
      <status>unmodified</status>
      <modifiedWord/>
      <trackRevisions>false</trackRevisions>
    </reviewItem>
    <reviewItem>
      <errorID>bd2328e9-d9e7-4145-ab5d-36bcd2a1677b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1E0E6159</paraID>
      <start>0</start>
      <end>2</end>
      <status>unmodified</status>
      <modifiedWord/>
      <trackRevisions>false</trackRevisions>
    </reviewItem>
    <reviewItem>
      <errorID>415547cb-fa15-47ee-997b-4c78d34fbfc0</errorID>
      <errorWord>接受</errorWord>
      <group>L1_Word</group>
      <groupName>字词问题</groupName>
      <ability>L2_Typo</ability>
      <abilityName>字词错误</abilityName>
      <candidateList>
        <item>接收</item>
      </candidateList>
      <explain>存在发音相同字词的误用。</explain>
      <paraID>34EEA5A2</paraID>
      <start>74</start>
      <end>76</end>
      <status>modified</status>
      <modifiedWord>接收</modifiedWord>
      <trackRevisions>false</trackRevisions>
    </reviewItem>
    <reviewItem>
      <errorID>93bab50d-3148-4e38-950a-88b8edbc5c25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1BE605D6</paraID>
      <start>0</start>
      <end>2</end>
      <status>unmodified</status>
      <modifiedWord/>
      <trackRevisions>false</trackRevisions>
    </reviewItem>
    <reviewItem>
      <errorID>f6a6508c-9191-4d5e-b36f-526966168f86</errorID>
      <errorWord>程</errorWord>
      <group>L1_Word</group>
      <groupName>字词问题</groupName>
      <ability>L2_Typo</ability>
      <abilityName>字词错误</abilityName>
      <candidateList>
        <item>程中</item>
      </candidateList>
      <explain/>
      <paraID>14D22615</paraID>
      <start>3</start>
      <end>5</end>
      <status>modified</status>
      <modifiedWord>程中</modifiedWord>
      <trackRevisions>false</trackRevisions>
    </reviewItem>
    <reviewItem>
      <errorID>45d62bdd-81a0-442b-8764-0de6617ee938</errorID>
      <errorWord>后后</errorWord>
      <group>L1_Word</group>
      <groupName>字词问题</groupName>
      <ability>L2_Typo</ability>
      <abilityName>字词错误</abilityName>
      <candidateList>
        <item>后</item>
      </candidateList>
      <explain>❶君主的妻子：皇～｜～妃。❷古代称君主：商之先～。❸（Hòu）〈名〉姓。</explain>
      <paraID>33FF45AF</paraID>
      <start>7</start>
      <end>8</end>
      <status>modified</status>
      <modifiedWord>后</modifiedWord>
      <trackRevisions>false</trackRevisions>
    </reviewItem>
    <reviewItem>
      <errorID>e61a681f-bbff-49c4-8b55-15d62f53f878</errorID>
      <errorWord>交有</errorWord>
      <group>L1_Word</group>
      <groupName>字词问题</groupName>
      <ability>L2_Typo</ability>
      <abilityName>字词错误</abilityName>
      <candidateList>
        <item>交由</item>
      </candidateList>
      <explain>存在发音相同字词的误用。</explain>
      <paraID>24162FAD</paraID>
      <start>22</start>
      <end>24</end>
      <status>ignored</status>
      <modifiedWord/>
      <trackRevisions>false</trackRevisions>
    </reviewItem>
    <reviewItem>
      <errorID>40aab65b-4faf-4de6-81de-f420e93ec02b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7FD7B9BF</paraID>
      <start>0</start>
      <end>2</end>
      <status>unmodified</status>
      <modifiedWord/>
      <trackRevisions>false</trackRevisions>
    </reviewItem>
    <reviewItem>
      <errorID>5962ca0b-acb0-41f6-b70e-06d125181b80</errorID>
      <errorWord>程</errorWord>
      <group>L1_Word</group>
      <groupName>字词问题</groupName>
      <ability>L2_Typo</ability>
      <abilityName>字词错误</abilityName>
      <candidateList>
        <item>程中</item>
      </candidateList>
      <explain/>
      <paraID>3F4C541E</paraID>
      <start>6</start>
      <end>8</end>
      <status>modified</status>
      <modifiedWord>程中</modifiedWord>
      <trackRevisions>false</trackRevisions>
    </reviewItem>
    <reviewItem>
      <errorID>c5221fb6-91bc-4a47-924a-4584d10464f7</errorID>
      <errorWord>交有</errorWord>
      <group>L1_Word</group>
      <groupName>字词问题</groupName>
      <ability>L2_Typo</ability>
      <abilityName>字词错误</abilityName>
      <candidateList>
        <item>交由</item>
      </candidateList>
      <explain>存在发音相同字词的误用。</explain>
      <paraID>722A8D77</paraID>
      <start>22</start>
      <end>24</end>
      <status>ignored</status>
      <modifiedWord/>
      <trackRevisions>false</trackRevisions>
    </reviewItem>
    <reviewItem>
      <errorID>7cc3e69d-f1f5-42e0-90a5-2c31c3151a29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585326D9</paraID>
      <start>0</start>
      <end>2</end>
      <status>unmodified</status>
      <modifiedWord/>
      <trackRevisions>false</trackRevisions>
    </reviewItem>
    <reviewItem>
      <errorID>c7a3f4f9-2cbb-4cbf-bdb5-b4fd445f66a5</errorID>
      <errorWord>万</errorWord>
      <group>L1_Word</group>
      <groupName>字词问题</groupName>
      <ability>L2_Typo</ability>
      <abilityName>字词错误</abilityName>
      <candidateList>
        <item>万元</item>
      </candidateList>
      <explain/>
      <paraID>5499CB97</paraID>
      <start>4</start>
      <end>5</end>
      <status>ignored</status>
      <modifiedWord/>
      <trackRevisions>false</trackRevisions>
    </reviewItem>
    <reviewItem>
      <errorID>297f6d4f-e338-49ec-9b39-70597427f28d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7D220FDB</paraID>
      <start>0</start>
      <end>2</end>
      <status>unmodified</status>
      <modifiedWord/>
      <trackRevisions>false</trackRevisions>
    </reviewItem>
    <reviewItem>
      <errorID>52663779-6ecc-45c8-aa32-59600671c520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32B1A9F5</paraID>
      <start>5</start>
      <end>6</end>
      <status>modified</status>
      <modifiedWord>—</modifiedWord>
      <trackRevisions>false</trackRevisions>
    </reviewItem>
    <reviewItem>
      <errorID>c54bcba2-abe9-42bd-98b8-0de4c149590d</errorID>
      <errorWord>(</errorWord>
      <group>L1_Format</group>
      <groupName>格式问题</groupName>
      <ability>L2_HalfPunc</ability>
      <abilityName>全半角检查</abilityName>
      <candidateList>
        <item>（</item>
      </candidateList>
      <explain>文本全半角错误。</explain>
      <paraID>10375EDF</paraID>
      <start>0</start>
      <end>1</end>
      <status>unmodified</status>
      <modifiedWord/>
      <trackRevisions>false</trackRevisions>
    </reviewItem>
    <reviewItem>
      <errorID>24721b2a-2fa9-462a-91c4-9d54b6b99ec1</errorID>
      <errorWord>)</errorWord>
      <group>L1_Format</group>
      <groupName>格式问题</groupName>
      <ability>L2_HalfPunc</ability>
      <abilityName>全半角检查</abilityName>
      <candidateList>
        <item>）</item>
      </candidateList>
      <explain>文本全半角错误。</explain>
      <paraID>10375EDF</paraID>
      <start>8</start>
      <end>9</end>
      <status>unmodified</status>
      <modifiedWord/>
      <trackRevisions>false</trackRevisions>
    </reviewItem>
    <reviewItem>
      <errorID>6ee3b610-13b2-46f9-b5cc-691c7596bdf5</errorID>
      <errorWord>，</errorWord>
      <group>L1_Format</group>
      <groupName>格式问题</groupName>
      <ability>L2_HalfPunc</ability>
      <abilityName>全半角检查</abilityName>
      <candidateList>
        <item>, </item>
      </candidateList>
      <explain>文本全半角错误。</explain>
      <paraID>19C9A35D</paraID>
      <start>4</start>
      <end>5</end>
      <status>unmodified</status>
      <modifiedWord/>
      <trackRevisions>false</trackRevisions>
    </reviewItem>
    <reviewItem>
      <errorID>e4698c8f-3a1d-47d9-9427-fc3d12ae3240</errorID>
      <errorWord>装置装置</errorWord>
      <group>L1_Word</group>
      <groupName>字词问题</groupName>
      <ability>L2_Typo</ability>
      <abilityName>字词错误</abilityName>
      <candidateList>
        <item>装置</item>
      </candidateList>
      <explain>❶〈动〉安装：降温设备已经～好了。❷〈名〉机器、仪器或其他设备中，构造较复杂并具有某种独立功用的部件：自动化～。</explain>
      <paraID>71126B97</paraID>
      <start>5</start>
      <end>7</end>
      <status>modified</status>
      <modifiedWord>装置</modifiedWord>
      <trackRevisions>false</trackRevisions>
    </reviewItem>
    <reviewItem>
      <errorID>111e862c-9b31-455d-841b-ee27453de7eb</errorID>
      <errorWord>来自于</errorWord>
      <group>L1_Grammar</group>
      <groupName>语法问题</groupName>
      <ability>L2_Grammar</ability>
      <abilityName>语法错误</abilityName>
      <candidateList>
        <item>来自</item>
      </candidateList>
      <explain/>
      <paraID>2D6ABA1A</paraID>
      <start>23</start>
      <end>25</end>
      <status>modified</status>
      <modifiedWord>来自</modifiedWord>
      <trackRevisions>false</trackRevisions>
    </reviewItem>
    <reviewItem>
      <errorID>0058275c-1a70-445e-ade5-811af4171974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30248D5E</paraID>
      <start>0</start>
      <end>2</end>
      <status>unmodified</status>
      <modifiedWord/>
      <trackRevisions>false</trackRevisions>
    </reviewItem>
    <reviewItem>
      <errorID>2c4f47fc-d363-4cf7-a050-befd79375c40</errorID>
      <errorWord>排气简</errorWord>
      <group>L1_Word</group>
      <groupName>字词问题</groupName>
      <ability>L2_Typo</ability>
      <abilityName>字词错误</abilityName>
      <candidateList>
        <item>排气筒</item>
      </candidateList>
      <explain/>
      <paraID>6AA8F24B</paraID>
      <start>124</start>
      <end>127</end>
      <status>modified</status>
      <modifiedWord>排气筒</modifiedWord>
      <trackRevisions>false</trackRevisions>
    </reviewItem>
    <reviewItem>
      <errorID>a3e8e72b-acb6-4d26-a743-7c6e0f6c3e01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4C1DDCC1</paraID>
      <start>0</start>
      <end>2</end>
      <status>unmodified</status>
      <modifiedWord/>
      <trackRevisions>false</trackRevisions>
    </reviewItem>
    <reviewItem>
      <errorID>16a8af7b-90d0-4050-a871-a2c58c70ae71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722389FA</paraID>
      <start>0</start>
      <end>2</end>
      <status>unmodified</status>
      <modifiedWord/>
      <trackRevisions>false</trackRevisions>
    </reviewItem>
    <reviewItem>
      <errorID>6699bf6d-8b2e-468e-a767-b81ee82188e3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16BB49AC</paraID>
      <start>0</start>
      <end>3</end>
      <status>unmodified</status>
      <modifiedWord/>
      <trackRevisions>false</trackRevisions>
    </reviewItem>
    <reviewItem>
      <errorID>b26eb29c-fd37-497d-b56f-02a1874b5ccf</errorID>
      <errorWord>程</errorWord>
      <group>L1_Word</group>
      <groupName>字词问题</groupName>
      <ability>L2_Typo</ability>
      <abilityName>字词错误</abilityName>
      <candidateList>
        <item>程中</item>
      </candidateList>
      <explain/>
      <paraID>6A427F8B</paraID>
      <start>6</start>
      <end>8</end>
      <status>modified</status>
      <modifiedWord>程中</modifiedWord>
      <trackRevisions>false</trackRevisions>
    </reviewItem>
    <reviewItem>
      <errorID>a0c94393-a311-4666-a3e3-e5cd8d19d6d7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25869CD5</paraID>
      <start>0</start>
      <end>3</end>
      <status>unmodified</status>
      <modifiedWord/>
      <trackRevisions>false</trackRevisions>
    </reviewItem>
    <reviewItem>
      <errorID>a62174b4-433d-4c1e-8c92-492e3c02ca95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49E87A25</paraID>
      <start>0</start>
      <end>2</end>
      <status>unmodified</status>
      <modifiedWord/>
      <trackRevisions>false</trackRevisions>
    </reviewItem>
    <reviewItem>
      <errorID>78abd3fc-6ba2-4080-828a-adbb21b3e249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234FE18E</paraID>
      <start>0</start>
      <end>2</end>
      <status>unmodified</status>
      <modifiedWord/>
      <trackRevisions>false</trackRevisions>
    </reviewItem>
    <reviewItem>
      <errorID>afb3b609-6727-4750-93c5-3282d029be2b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71F07CD0</paraID>
      <start>0</start>
      <end>2</end>
      <status>unmodified</status>
      <modifiedWord/>
      <trackRevisions>false</trackRevisions>
    </reviewItem>
    <reviewItem>
      <errorID>f38b52ff-1a33-4d51-b502-15579f604eed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2497F846</paraID>
      <start>0</start>
      <end>2</end>
      <status>unmodified</status>
      <modifiedWord/>
      <trackRevisions>false</trackRevisions>
    </reviewItem>
    <reviewItem>
      <errorID>110834f0-805d-4eeb-92ad-70c2151de342</errorID>
      <errorWord>(</errorWord>
      <group>L1_Format</group>
      <groupName>格式问题</groupName>
      <ability>L2_HalfPunc</ability>
      <abilityName>全半角检查</abilityName>
      <candidateList>
        <item>（</item>
      </candidateList>
      <explain>文本全半角错误。</explain>
      <paraID>5CDE29B4</paraID>
      <start>59</start>
      <end>60</end>
      <status>unmodified</status>
      <modifiedWord/>
      <trackRevisions>false</trackRevisions>
    </reviewItem>
    <reviewItem>
      <errorID>9d44bddd-e1cf-4511-b06f-a7b2bd606c96</errorID>
      <errorWord>)</errorWord>
      <group>L1_Format</group>
      <groupName>格式问题</groupName>
      <ability>L2_HalfPunc</ability>
      <abilityName>全半角检查</abilityName>
      <candidateList>
        <item>）</item>
      </candidateList>
      <explain>文本全半角错误。</explain>
      <paraID>5CDE29B4</paraID>
      <start>65</start>
      <end>66</end>
      <status>unmodified</status>
      <modifiedWord/>
      <trackRevisions>false</trackRevisions>
    </reviewItem>
    <reviewItem>
      <errorID>1d811868-c802-4505-be8d-cc81cff9d619</errorID>
      <errorWord>水份</errorWord>
      <group>L1_Word</group>
      <groupName>字词问题</groupName>
      <ability>L2_Variant</ability>
      <abilityName>异形词</abilityName>
      <candidateList>
        <item>水分</item>
      </candidateList>
      <explain>词汇[水份]的规范词形写作[水分]。</explain>
      <paraID>5CDE29B4</paraID>
      <start>103</start>
      <end>105</end>
      <status>modified</status>
      <modifiedWord>水分</modifiedWord>
      <trackRevisions>false</trackRevisions>
    </reviewItem>
    <reviewItem>
      <errorID>66f3fa33-14ab-47c6-91a0-fa5644c8ee3e</errorID>
      <errorWord>10-12%</errorWord>
      <group>L1_Knowledge</group>
      <groupName>知识性问题</groupName>
      <ability>L2_Knowledge</ability>
      <abilityName>其他知识</abilityName>
      <candidateList>
        <item>10%—12%</item>
      </candidateList>
      <explain>1. “10-12%”中的单位“%”仅出现在后一个数字上，容易引起歧义；根据《现代汉语标点符号数字用法规范手册》，数字表示范围两边需要使用统一的格式。2. 根据标点国标 4.13 中的规则，数字、时间或地域连接符应使用（视觉上更长的）“—”或“～”。</explain>
      <paraID>2C1300FA</paraID>
      <start>161</start>
      <end>168</end>
      <status>modified</status>
      <modifiedWord>10%—12%</modifiedWord>
      <trackRevisions>false</trackRevisions>
    </reviewItem>
    <reviewItem>
      <errorID>c125b021-438e-41a7-84f8-e03e8578dbd9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479E5187</paraID>
      <start>0</start>
      <end>2</end>
      <status>unmodified</status>
      <modifiedWord/>
      <trackRevisions>false</trackRevisions>
    </reviewItem>
    <reviewItem>
      <errorID>c883c11e-a53e-49a2-940a-6622ec0dca9b</errorID>
      <errorWord>25-50%</errorWord>
      <group>L1_Knowledge</group>
      <groupName>知识性问题</groupName>
      <ability>L2_Knowledge</ability>
      <abilityName>其他知识</abilityName>
      <candidateList>
        <item>25%—50%</item>
      </candidateList>
      <explain>1. “25-50%”中的单位“%”仅出现在后一个数字上，容易引起歧义；根据《现代汉语标点符号数字用法规范手册》，数字表示范围两边需要使用统一的格式。2. 根据标点国标 4.13 中的规则，数字、时间或地域连接符应使用（视觉上更长的）“—”或“～”。</explain>
      <paraID>2F197405</paraID>
      <start>0</start>
      <end>7</end>
      <status>modified</status>
      <modifiedWord>25%—50%</modifiedWord>
      <trackRevisions>false</trackRevisions>
    </reviewItem>
    <reviewItem>
      <errorID>eb5b6288-d837-4829-8b08-7c73a3a91f74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5167C4B7</paraID>
      <start>0</start>
      <end>2</end>
      <status>unmodified</status>
      <modifiedWord/>
      <trackRevisions>false</trackRevisions>
    </reviewItem>
    <reviewItem>
      <errorID>49412dae-3024-45e5-8792-6ae12cedc48c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57C1722C</paraID>
      <start>0</start>
      <end>2</end>
      <status>unmodified</status>
      <modifiedWord/>
      <trackRevisions>false</trackRevisions>
    </reviewItem>
    <reviewItem>
      <errorID>fd97aff4-850f-4ffe-8ff5-4a3c02f3ce65</errorID>
      <errorWord>程</errorWord>
      <group>L1_Word</group>
      <groupName>字词问题</groupName>
      <ability>L2_Typo</ability>
      <abilityName>字词错误</abilityName>
      <candidateList>
        <item>程中</item>
      </candidateList>
      <explain/>
      <paraID>6D34EFB5</paraID>
      <start>34</start>
      <end>36</end>
      <status>modified</status>
      <modifiedWord>程中</modifiedWord>
      <trackRevisions>false</trackRevisions>
    </reviewItem>
    <reviewItem>
      <errorID>1e0f90ac-b640-4f44-9160-8e21a139dc10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52BA7F44</paraID>
      <start>0</start>
      <end>2</end>
      <status>unmodified</status>
      <modifiedWord/>
      <trackRevisions>false</trackRevisions>
    </reviewItem>
    <reviewItem>
      <errorID>2e05ebeb-05df-42e2-81ba-8b1091c6ad6f</errorID>
      <errorWord>迁车</errorWord>
      <group>L1_Word</group>
      <groupName>字词问题</groupName>
      <ability>L2_Typo</ability>
      <abilityName>字词错误</abilityName>
      <candidateList>
        <item>前车</item>
      </candidateList>
      <explain/>
      <paraID>468273FC</paraID>
      <start>103</start>
      <end>105</end>
      <status>ignored</status>
      <modifiedWord/>
      <trackRevisions>false</trackRevisions>
    </reviewItem>
    <reviewItem>
      <errorID>fde73404-83c1-45da-bb7d-8778a988c530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72A195EC</paraID>
      <start>0</start>
      <end>2</end>
      <status>unmodified</status>
      <modifiedWord/>
      <trackRevisions>false</trackRevisions>
    </reviewItem>
    <reviewItem>
      <errorID>44a0fb44-7739-421d-b798-64acf1ff2d34</errorID>
      <errorWord>浊环水系统</errorWord>
      <group>L1_Knowledge</group>
      <groupName>知识性问题</groupName>
      <ability>L2_Term</ability>
      <abilityName>专业术语</abilityName>
      <candidateList>
        <item>循环水系统</item>
      </candidateList>
      <explain/>
      <paraID>4849035C</paraID>
      <start>18</start>
      <end>23</end>
      <status>ignored</status>
      <modifiedWord/>
      <trackRevisions>false</trackRevisions>
    </reviewItem>
    <reviewItem>
      <errorID>57b937af-52df-40c7-9ea0-56a8f073b218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7DDB80FA</paraID>
      <start>0</start>
      <end>2</end>
      <status>unmodified</status>
      <modifiedWord/>
      <trackRevisions>false</trackRevisions>
    </reviewItem>
    <reviewItem>
      <errorID>e5570fe3-5060-4662-a732-910247bdc3b8</errorID>
      <errorWord>（</errorWord>
      <group>L1_Format</group>
      <groupName>格式问题</groupName>
      <ability>L2_HalfPunc</ability>
      <abilityName>全半角检查</abilityName>
      <candidateList>
        <item>(</item>
      </candidateList>
      <explain>文本全半角错误。</explain>
      <paraID>3D73288F</paraID>
      <start>3</start>
      <end>4</end>
      <status>unmodified</status>
      <modifiedWord/>
      <trackRevisions>false</trackRevisions>
    </reviewItem>
    <reviewItem>
      <errorID>04fabbd9-b858-4b29-94f2-a71660caa393</errorID>
      <errorWord>）</errorWord>
      <group>L1_Format</group>
      <groupName>格式问题</groupName>
      <ability>L2_HalfPunc</ability>
      <abilityName>全半角检查</abilityName>
      <candidateList>
        <item>)</item>
      </candidateList>
      <explain>文本全半角错误。</explain>
      <paraID>3D73288F</paraID>
      <start>8</start>
      <end>9</end>
      <status>unmodified</status>
      <modifiedWord/>
      <trackRevisions>false</trackRevisions>
    </reviewItem>
    <reviewItem>
      <errorID>7de185ad-1717-41ef-8fd6-74bbff793a7d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6AF4DF2B</paraID>
      <start>0</start>
      <end>2</end>
      <status>unmodified</status>
      <modifiedWord/>
      <trackRevisions>false</trackRevisions>
    </reviewItem>
    <reviewItem>
      <errorID>217b432a-d69a-4ac9-a40a-45988f17c4e0</errorID>
      <errorWord>（</errorWord>
      <group>L1_Format</group>
      <groupName>格式问题</groupName>
      <ability>L2_HalfPunc</ability>
      <abilityName>全半角检查</abilityName>
      <candidateList>
        <item>(</item>
      </candidateList>
      <explain>文本全半角错误。</explain>
      <paraID>28C2B964</paraID>
      <start>3</start>
      <end>4</end>
      <status>unmodified</status>
      <modifiedWord/>
      <trackRevisions>false</trackRevisions>
    </reviewItem>
    <reviewItem>
      <errorID>86db1a80-702a-458b-b2ae-51bf23c27dae</errorID>
      <errorWord>）</errorWord>
      <group>L1_Format</group>
      <groupName>格式问题</groupName>
      <ability>L2_HalfPunc</ability>
      <abilityName>全半角检查</abilityName>
      <candidateList>
        <item>)</item>
      </candidateList>
      <explain>文本全半角错误。</explain>
      <paraID>28C2B964</paraID>
      <start>8</start>
      <end>9</end>
      <status>unmodified</status>
      <modifiedWord/>
      <trackRevisions>false</trackRevisions>
    </reviewItem>
    <reviewItem>
      <errorID>903c55a4-7f75-410e-8f9e-a3ac4c70ea26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4F388E1D</paraID>
      <start>0</start>
      <end>2</end>
      <status>unmodified</status>
      <modifiedWord/>
      <trackRevisions>false</trackRevisions>
    </reviewItem>
    <reviewItem>
      <errorID>67aa6573-2b03-44a3-afef-9f3380870b43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5B12FA77</paraID>
      <start>0</start>
      <end>2</end>
      <status>unmodified</status>
      <modifiedWord/>
      <trackRevisions>false</trackRevisions>
    </reviewItem>
    <reviewItem>
      <errorID>ae95bfba-36ad-4760-b02d-03f88083bd50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4E296434</paraID>
      <start>0</start>
      <end>2</end>
      <status>unmodified</status>
      <modifiedWord/>
      <trackRevisions>false</trackRevisions>
    </reviewItem>
    <reviewItem>
      <errorID>2abe291e-8101-4f7b-97be-d9de0c2ba2a9</errorID>
      <errorWord>间隙性</errorWord>
      <group>L1_Word</group>
      <groupName>字词问题</groupName>
      <ability>L2_Typo</ability>
      <abilityName>字词错误</abilityName>
      <candidateList>
        <item>间歇性</item>
      </candidateList>
      <explain/>
      <paraID>4E296434</paraID>
      <start>138</start>
      <end>141</end>
      <status>modified</status>
      <modifiedWord>间歇性</modifiedWord>
      <trackRevisions>false</trackRevisions>
    </reviewItem>
    <reviewItem>
      <errorID>521b56d6-cc46-4968-a1c4-7f90ae5c7738</errorID>
      <errorWord>~</errorWord>
      <group>L1_Format</group>
      <groupName>格式问题</groupName>
      <ability>L2_HalfPunc</ability>
      <abilityName>全半角检查</abilityName>
      <candidateList>
        <item>～</item>
      </candidateList>
      <explain>文本全半角错误。</explain>
      <paraID>4E296434</paraID>
      <start>192</start>
      <end>193</end>
      <status>unmodified</status>
      <modifiedWord/>
      <trackRevisions>false</trackRevisions>
    </reviewItem>
    <reviewItem>
      <errorID>f6157af7-876f-445d-87a9-9ab102e20e92</errorID>
      <errorWord>~</errorWord>
      <group>L1_Format</group>
      <groupName>格式问题</groupName>
      <ability>L2_HalfPunc</ability>
      <abilityName>全半角检查</abilityName>
      <candidateList>
        <item>～</item>
      </candidateList>
      <explain>文本全半角错误。</explain>
      <paraID>4E296434</paraID>
      <start>200</start>
      <end>201</end>
      <status>unmodified</status>
      <modifiedWord/>
      <trackRevisions>false</trackRevisions>
    </reviewItem>
    <reviewItem>
      <errorID>cab814fd-5178-431b-89fc-5c6533ffc86f</errorID>
      <errorWord>下午14时</errorWord>
      <group>L1_Knowledge</group>
      <groupName>知识性问题</groupName>
      <ability>L2_Time</ability>
      <abilityName>日期时间</abilityName>
      <candidateList>
        <item>14时</item>
      </candidateList>
      <explain>24小时制的时间，不需要强调“下午”。</explain>
      <paraID>4E296434</paraID>
      <start>262</start>
      <end>267</end>
      <status>ignored</status>
      <modifiedWord/>
      <trackRevisions>false</trackRevisions>
    </reviewItem>
    <reviewItem>
      <errorID>2b79330a-59cd-4f8c-93b1-a2aafb19e3fc</errorID>
      <errorWord>晚上22时</errorWord>
      <group>L1_Knowledge</group>
      <groupName>知识性问题</groupName>
      <ability>L2_Time</ability>
      <abilityName>日期时间</abilityName>
      <candidateList>
        <item>22时</item>
      </candidateList>
      <explain>24小时制的时间，不需要强调“晚上”。</explain>
      <paraID>4E296434</paraID>
      <start>268</start>
      <end>273</end>
      <status>ignored</status>
      <modifiedWord/>
      <trackRevisions>false</trackRevisions>
    </reviewItem>
    <reviewItem>
      <errorID>c922b826-fbaf-466f-9f0a-f39873889efa</errorID>
      <errorWord>严格遵守后</errorWord>
      <group>L1_Word</group>
      <groupName>字词问题</groupName>
      <ability>L2_Typo</ability>
      <abilityName>字词错误</abilityName>
      <candidateList>
        <item>严格遵守</item>
      </candidateList>
      <explain/>
      <paraID>4E296434</paraID>
      <start>285</start>
      <end>290</end>
      <status>ignored</status>
      <modifiedWord/>
      <trackRevisions>false</trackRevisions>
    </reviewItem>
    <reviewItem>
      <errorID>de31438b-c290-44c1-9fc2-9f0caede44df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7742FA5F</paraID>
      <start>0</start>
      <end>2</end>
      <status>unmodified</status>
      <modifiedWord/>
      <trackRevisions>false</trackRevisions>
    </reviewItem>
    <reviewItem>
      <errorID>bb0d57b6-569f-4aca-a537-8e181fa49a03</errorID>
      <errorWord>建少</errorWord>
      <group>L1_Word</group>
      <groupName>字词问题</groupName>
      <ability>L2_Typo</ability>
      <abilityName>字词错误</abilityName>
      <candidateList>
        <item>减少</item>
      </candidateList>
      <explain>〈动〉减去一部分：～人员｜～麻烦｜工作中的缺点～了。</explain>
      <paraID>7742FA5F</paraID>
      <start>230</start>
      <end>232</end>
      <status>modified</status>
      <modifiedWord>减少</modifiedWord>
      <trackRevisions>false</trackRevisions>
    </reviewItem>
    <reviewItem>
      <errorID>8f4440e6-1f24-4731-b2f9-6daf9ad89d0e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1444496E</paraID>
      <start>0</start>
      <end>2</end>
      <status>unmodified</status>
      <modifiedWord/>
      <trackRevisions>false</trackRevisions>
    </reviewItem>
    <reviewItem>
      <errorID>b91dc48f-752d-4748-8178-5047e04ff307</errorID>
      <errorWord>晚上22时</errorWord>
      <group>L1_Knowledge</group>
      <groupName>知识性问题</groupName>
      <ability>L2_Time</ability>
      <abilityName>日期时间</abilityName>
      <candidateList>
        <item>22时</item>
      </candidateList>
      <explain>24小时制的时间，不需要强调“晚上”。</explain>
      <paraID>1444496E</paraID>
      <start>181</start>
      <end>186</end>
      <status>ignored</status>
      <modifiedWord/>
      <trackRevisions>false</trackRevisions>
    </reviewItem>
    <reviewItem>
      <errorID>457b7a59-2223-4725-9a55-0e5eec59de07</errorID>
      <errorWord>凌晨6时</errorWord>
      <group>L1_Knowledge</group>
      <groupName>知识性问题</groupName>
      <ability>L2_Time</ability>
      <abilityName>日期时间</abilityName>
      <candidateList/>
      <explain>时间与前缀不匹配，可能的时间前缀有“早晨、早上、上午、下午、傍晚、晚上”。</explain>
      <paraID>1444496E</paraID>
      <start>189</start>
      <end>193</end>
      <status>ignored</status>
      <modifiedWord/>
      <trackRevisions>false</trackRevisions>
    </reviewItem>
    <reviewItem>
      <errorID>7320bb27-eb89-4373-9e83-419a6269ad08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7C659816</paraID>
      <start>0</start>
      <end>2</end>
      <status>unmodified</status>
      <modifiedWord/>
      <trackRevisions>false</trackRevisions>
    </reviewItem>
    <reviewItem>
      <errorID>539e74f7-bd5b-422b-b725-609a01882279</errorID>
      <errorWord>已</errorWord>
      <group>L1_Word</group>
      <groupName>字词问题</groupName>
      <ability>L2_Typo</ability>
      <abilityName>字词错误</abilityName>
      <candidateList>
        <item>以</item>
      </candidateList>
      <explain>存在发音相同字词的误用。</explain>
      <paraID>7C659816</paraID>
      <start>102</start>
      <end>103</end>
      <status>modified</status>
      <modifiedWord>以</modifiedWord>
      <trackRevisions>false</trackRevisions>
    </reviewItem>
    <reviewItem>
      <errorID>108382a2-6539-47b5-ac01-143b41b99663</errorID>
      <errorWord>拆建施工</errorWord>
      <group>L1_Knowledge</group>
      <groupName>知识性问题</groupName>
      <ability>L2_Term</ability>
      <abilityName>专业术语</abilityName>
      <candidateList>
        <item>土建施工</item>
      </candidateList>
      <explain/>
      <paraID>7C659816</paraID>
      <start>105</start>
      <end>109</end>
      <status>ignored</status>
      <modifiedWord/>
      <trackRevisions>false</trackRevisions>
    </reviewItem>
    <reviewItem>
      <errorID>2185cc99-9769-4ef3-8856-deffd4faf3a9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7E9EA322</paraID>
      <start>0</start>
      <end>2</end>
      <status>unmodified</status>
      <modifiedWord/>
      <trackRevisions>false</trackRevisions>
    </reviewItem>
    <reviewItem>
      <errorID>0305284f-3e7c-4c47-b069-cf6dab44955a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491431A2</paraID>
      <start>0</start>
      <end>2</end>
      <status>unmodified</status>
      <modifiedWord/>
      <trackRevisions>false</trackRevisions>
    </reviewItem>
    <reviewItem>
      <errorID>0652a0e1-20dd-45a7-b51f-fb37bb2fbd4e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7E0AD1FF</paraID>
      <start>156</start>
      <end>157</end>
      <status>ignored</status>
      <modifiedWord/>
      <trackRevisions>false</trackRevisions>
    </reviewItem>
    <reviewItem>
      <errorID>f4d0dd4d-c954-440e-80f4-ad79e5b4159b</errorID>
      <errorWord>导致氨水持续逸散所致</errorWord>
      <group>L1_Grammar</group>
      <groupName>语法问题</groupName>
      <ability>L2_Grammar</ability>
      <abilityName>语法错误</abilityName>
      <candidateList>
        <item>导致氨水持续逸散</item>
      </candidateList>
      <explain/>
      <paraID>217301B9</paraID>
      <start>47</start>
      <end>55</end>
      <status>modified</status>
      <modifiedWord>导致氨水持续逸散</modifiedWord>
      <trackRevisions>false</trackRevisions>
    </reviewItem>
    <reviewItem>
      <errorID>830ba35d-af0a-4979-aaa1-9a94fdd8fc59</errorID>
      <errorWord>过程已将</errorWord>
      <group>L1_Word</group>
      <groupName>字词问题</groupName>
      <ability>L2_Typo</ability>
      <abilityName>字词错误</abilityName>
      <candidateList>
        <item>过程中将</item>
      </candidateList>
      <explain>存在字形相近字词的误用。</explain>
      <paraID> AB93ECF</paraID>
      <start>76</start>
      <end>80</end>
      <status>modified</status>
      <modifiedWord>过程中将</modifiedWord>
      <trackRevisions>false</trackRevisions>
    </reviewItem>
    <reviewItem>
      <errorID>ffb431bb-ca0b-490d-966d-d8a050558d15</errorID>
      <errorWord>采</errorWord>
      <group>L1_Word</group>
      <groupName>字词问题</groupName>
      <ability>L2_Typo</ability>
      <abilityName>字词错误</abilityName>
      <candidateList>
        <item>采样</item>
      </candidateList>
      <explain>〈动〉采集样品；取样：食品～检查。</explain>
      <paraID>7206E312</paraID>
      <start>11</start>
      <end>13</end>
      <status>modified</status>
      <modifiedWord>采样</modifiedWord>
      <trackRevisions>false</trackRevisions>
    </reviewItem>
    <reviewItem>
      <errorID>2122be28-1231-45e3-98a0-0d3fd7316bd7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4422D53A</paraID>
      <start>0</start>
      <end>2</end>
      <status>unmodified</status>
      <modifiedWord/>
      <trackRevisions>false</trackRevisions>
    </reviewItem>
    <reviewItem>
      <errorID>b98eba11-ed90-4c2b-ba2a-ece897a24b36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112F2AD7</paraID>
      <start>0</start>
      <end>2</end>
      <status>unmodified</status>
      <modifiedWord/>
      <trackRevisions>false</trackRevisions>
    </reviewItem>
    <reviewItem>
      <errorID>def0752d-f149-4506-8c46-34b1df1fb643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1D18E6B</paraID>
      <start>0</start>
      <end>2</end>
      <status>unmodified</status>
      <modifiedWord/>
      <trackRevisions>false</trackRevisions>
    </reviewItem>
    <reviewItem>
      <errorID>664e5f80-f94d-4d25-a8fe-56d0652aeb94</errorID>
      <errorWord>年</errorWord>
      <group>L1_Word</group>
      <groupName>字词问题</groupName>
      <ability>L2_Typo</ability>
      <abilityName>字词错误</abilityName>
      <candidateList>
        <item>年度</item>
      </candidateList>
      <explain/>
      <paraID>5E2424D6</paraID>
      <start>0</start>
      <end>1</end>
      <status>ignored</status>
      <modifiedWord/>
      <trackRevisions>false</trackRevisions>
    </reviewItem>
    <reviewItem>
      <errorID>478deb10-82ae-430b-bcd6-7e4326a3a805</errorID>
      <errorWord>（</errorWord>
      <group>L1_Format</group>
      <groupName>格式问题</groupName>
      <ability>L2_HalfPunc</ability>
      <abilityName>全半角检查</abilityName>
      <candidateList>
        <item>(</item>
      </candidateList>
      <explain>文本全半角错误。</explain>
      <paraID>53804A8F</paraID>
      <start>0</start>
      <end>1</end>
      <status>unmodified</status>
      <modifiedWord/>
      <trackRevisions>false</trackRevisions>
    </reviewItem>
    <reviewItem>
      <errorID>09f07978-c21a-4617-a3fe-fbc1b7584bef</errorID>
      <errorWord>）</errorWord>
      <group>L1_Format</group>
      <groupName>格式问题</groupName>
      <ability>L2_HalfPunc</ability>
      <abilityName>全半角检查</abilityName>
      <candidateList>
        <item>)</item>
      </candidateList>
      <explain>文本全半角错误。</explain>
      <paraID>53804A8F</paraID>
      <start>6</start>
      <end>7</end>
      <status>unmodified</status>
      <modifiedWord/>
      <trackRevisions>false</trackRevisions>
    </reviewItem>
    <reviewItem>
      <errorID>a905a7b3-3e59-4d86-9d84-1719e11cbcd1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51CB02CC</paraID>
      <start>0</start>
      <end>2</end>
      <status>unmodified</status>
      <modifiedWord/>
      <trackRevisions>false</trackRevisions>
    </reviewItem>
    <reviewItem>
      <errorID>ea110698-3173-4a5a-98f5-56be62fca045</errorID>
      <errorWord>2023年08月30日</errorWord>
      <group>L1_Knowledge</group>
      <groupName>知识性问题</groupName>
      <ability>L2_Time</ability>
      <abilityName>日期时间</abilityName>
      <candidateList>
        <item>2023年8月30日</item>
      </candidateList>
      <explain>根据日常书写习惯，月份一般会省略前导零。</explain>
      <paraID>582A1110</paraID>
      <start>190</start>
      <end>200</end>
      <status>modified</status>
      <modifiedWord>2023年8月30日</modifiedWord>
      <trackRevisions>false</trackRevisions>
    </reviewItem>
    <reviewItem>
      <errorID>58419171-350a-42b9-b794-fadda9196b33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582A1110</paraID>
      <start>200</start>
      <end>201</end>
      <status>ignored</status>
      <modifiedWord/>
      <trackRevisions>false</trackRevisions>
    </reviewItem>
    <reviewItem>
      <errorID>3c023d14-fa01-4579-8277-3a8a69f38aad</errorID>
      <errorWord>2024年01月26日</errorWord>
      <group>L1_Knowledge</group>
      <groupName>知识性问题</groupName>
      <ability>L2_Time</ability>
      <abilityName>日期时间</abilityName>
      <candidateList>
        <item>2024年1月26日</item>
      </candidateList>
      <explain>根据日常书写习惯，月份一般会省略前导零。</explain>
      <paraID>582A1110</paraID>
      <start>206</start>
      <end>216</end>
      <status>modified</status>
      <modifiedWord>2024年1月26日</modifiedWord>
      <trackRevisions>false</trackRevisions>
    </reviewItem>
    <reviewItem>
      <errorID>af6424d2-f75c-49ef-9044-1ba186c1db70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582A1110</paraID>
      <start>216</start>
      <end>217</end>
      <status>ignored</status>
      <modifiedWord/>
      <trackRevisions>false</trackRevisions>
    </reviewItem>
    <reviewItem>
      <errorID>b787ce00-e45f-4af5-868c-1caeef3f99ab</errorID>
      <errorWord>2024年02月01日</errorWord>
      <group>L1_Knowledge</group>
      <groupName>知识性问题</groupName>
      <ability>L2_Time</ability>
      <abilityName>日期时间</abilityName>
      <candidateList>
        <item>2024年2月1日</item>
      </candidateList>
      <explain>根据日常书写习惯，月份和日期一般会省略前导零。</explain>
      <paraID>582A1110</paraID>
      <start>217</start>
      <end>226</end>
      <status>modified</status>
      <modifiedWord>2024年2月1日</modifiedWord>
      <trackRevisions>false</trackRevisions>
    </reviewItem>
    <reviewItem>
      <errorID>208116f1-50cf-4319-a556-5372c36bc468</errorID>
      <errorWord>~</errorWord>
      <group>L1_Format</group>
      <groupName>格式问题</groupName>
      <ability>L2_HalfPunc</ability>
      <abilityName>全半角检查</abilityName>
      <candidateList>
        <item>～</item>
      </candidateList>
      <explain>文本全半角错误。</explain>
      <paraID>1227F4A1</paraID>
      <start>5</start>
      <end>6</end>
      <status>unmodified</status>
      <modifiedWord/>
      <trackRevisions>false</trackRevisions>
    </reviewItem>
    <reviewItem>
      <errorID>400e4b6c-a1cf-425c-b44c-3b726ff3993a</errorID>
      <errorWord>~</errorWord>
      <group>L1_Format</group>
      <groupName>格式问题</groupName>
      <ability>L2_HalfPunc</ability>
      <abilityName>全半角检查</abilityName>
      <candidateList>
        <item>～</item>
      </candidateList>
      <explain>文本全半角错误。</explain>
      <paraID>284696F7</paraID>
      <start>6</start>
      <end>7</end>
      <status>unmodified</status>
      <modifiedWord/>
      <trackRevisions>false</trackRevisions>
    </reviewItem>
    <reviewItem>
      <errorID>f946b243-5494-4c10-b791-9d04ef32522a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36A953FE</paraID>
      <start>0</start>
      <end>2</end>
      <status>unmodified</status>
      <modifiedWord/>
      <trackRevisions>false</trackRevisions>
    </reviewItem>
    <reviewItem>
      <errorID>33fb750b-1815-477b-8ead-5fd2dfa403af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1BF3609C</paraID>
      <start>0</start>
      <end>2</end>
      <status>unmodified</status>
      <modifiedWord/>
      <trackRevisions>false</trackRevisions>
    </reviewItem>
    <reviewItem>
      <errorID>5fd46ae0-216c-4c5c-b533-0c1949c0fa5b</errorID>
      <errorWord>本项目本项目</errorWord>
      <group>L1_Word</group>
      <groupName>字词问题</groupName>
      <ability>L2_Typo</ability>
      <abilityName>字词错误</abilityName>
      <candidateList>
        <item>本项目</item>
      </candidateList>
      <explain/>
      <paraID>4E944237</paraID>
      <start>2</start>
      <end>5</end>
      <status>modified</status>
      <modifiedWord>本项目</modifiedWord>
      <trackRevisions>false</trackRevisions>
    </reviewItem>
    <reviewItem>
      <errorID>a2d723b0-a188-4765-83d0-973c5b1bcbb1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1F9322E2</paraID>
      <start>0</start>
      <end>2</end>
      <status>unmodified</status>
      <modifiedWord/>
      <trackRevisions>false</trackRevisions>
    </reviewItem>
    <reviewItem>
      <errorID>ab9708d4-97f7-4af0-9dbd-c15d31eb10e8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2C250339</paraID>
      <start>0</start>
      <end>2</end>
      <status>unmodified</status>
      <modifiedWord/>
      <trackRevisions>false</trackRevisions>
    </reviewItem>
    <reviewItem>
      <errorID>ce6bfbb5-4774-42f0-82a5-46eb40338e0f</errorID>
      <errorWord>护措</errorWord>
      <group>L1_Word</group>
      <groupName>字词问题</groupName>
      <ability>L2_Typo</ability>
      <abilityName>字词错误</abilityName>
      <candidateList>
        <item>举措</item>
      </candidateList>
      <explain>存在发音相近字词的误用。</explain>
      <paraID>5824F6EE</paraID>
      <start>0</start>
      <end>2</end>
      <status>ignored</status>
      <modifiedWord/>
      <trackRevisions>false</trackRevisions>
    </reviewItem>
    <reviewItem>
      <errorID>81750eb8-cfb5-4e0f-b954-d23de51c8251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2803C64D</paraID>
      <start>0</start>
      <end>2</end>
      <status>unmodified</status>
      <modifiedWord/>
      <trackRevisions>false</trackRevisions>
    </reviewItem>
    <reviewItem>
      <errorID>2ee8fa87-d104-4ea0-9de2-5602980f314b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72DE12D2</paraID>
      <start>0</start>
      <end>2</end>
      <status>unmodified</status>
      <modifiedWord/>
      <trackRevisions>false</trackRevisions>
    </reviewItem>
    <reviewItem>
      <errorID>c46d9fc8-27d4-4123-beae-889b531a0501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190FBDB6</paraID>
      <start>0</start>
      <end>2</end>
      <status>unmodified</status>
      <modifiedWord/>
      <trackRevisions>false</trackRevisions>
    </reviewItem>
    <reviewItem>
      <errorID>7f9e29c0-13cb-46b0-8b2f-418ac5b99b4d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5B5F666C</paraID>
      <start>0</start>
      <end>2</end>
      <status>unmodified</status>
      <modifiedWord/>
      <trackRevisions>false</trackRevisions>
    </reviewItem>
    <reviewItem>
      <errorID>427e27a0-a294-487c-9821-f39cdd32e1e4</errorID>
      <errorWord>程</errorWord>
      <group>L1_Word</group>
      <groupName>字词问题</groupName>
      <ability>L2_Typo</ability>
      <abilityName>字词错误</abilityName>
      <candidateList>
        <item>程中</item>
      </candidateList>
      <explain/>
      <paraID>519C95CD</paraID>
      <start>26</start>
      <end>28</end>
      <status>modified</status>
      <modifiedWord>程中</modifiedWord>
      <trackRevisions>false</trackRevisions>
    </reviewItem>
    <reviewItem>
      <errorID>2e5ac8b0-746d-4d25-8fd3-b5e2a73e7d56</errorID>
      <errorWord>组组</errorWord>
      <group>L1_Word</group>
      <groupName>字词问题</groupName>
      <ability>L2_Typo</ability>
      <abilityName>字词错误</abilityName>
      <candidateList>
        <item>组织</item>
      </candidateList>
      <explain>存在字形相近字词的误用。</explain>
      <paraID> 1481FAF</paraID>
      <start>1</start>
      <end>3</end>
      <status>modified</status>
      <modifiedWord>组织</modifiedWord>
      <trackRevisions>false</trackRevisions>
    </reviewItem>
    <reviewItem>
      <errorID>e0eb904a-2497-4ff9-998e-22de637c5285</errorID>
      <errorWord>-</errorWord>
      <group>L1_Format</group>
      <groupName>格式问题</groupName>
      <ability>L2_HalfPunc</ability>
      <abilityName>全半角检查</abilityName>
      <candidateList>
        <item>－</item>
      </candidateList>
      <explain>文本全半角错误。</explain>
      <paraID>433318CE</paraID>
      <start>56</start>
      <end>57</end>
      <status>unmodified</status>
      <modifiedWord/>
      <trackRevisions>false</trackRevisions>
    </reviewItem>
    <reviewItem>
      <errorID>e29b2eeb-f08c-4991-ae8e-22746a3bfb85</errorID>
      <errorWord>68%~72%</errorWord>
      <group>L1_Knowledge</group>
      <groupName>知识性问题</groupName>
      <ability>L2_Knowledge</ability>
      <abilityName>其他知识</abilityName>
      <candidateList>
        <item>68%～72%</item>
      </candidateList>
      <explain>1. “68%~72%”中的单位“%”仅出现在后一个数字上，容易引起歧义；根据《现代汉语标点符号数字用法规范手册》，数字表示范围两边需要使用统一的格式。2. 根据标点国标 4.13 中的规则，数字、时间或地域连接符应使用（视觉上更长的）“—”或“～”。</explain>
      <paraID>433318CE</paraID>
      <start>202</start>
      <end>209</end>
      <status>modified</status>
      <modifiedWord>68%～72%</modifiedWord>
      <trackRevisions>false</trackRevisions>
    </reviewItem>
    <reviewItem>
      <errorID>c8b9077a-3528-4112-811a-daf2d69f1fff</errorID>
      <errorWord>28%~32%</errorWord>
      <group>L1_Knowledge</group>
      <groupName>知识性问题</groupName>
      <ability>L2_Knowledge</ability>
      <abilityName>其他知识</abilityName>
      <candidateList>
        <item>28%～32%</item>
      </candidateList>
      <explain>1. “28%~32%”中的单位“%”仅出现在后一个数字上，容易引起歧义；根据《现代汉语标点符号数字用法规范手册》，数字表示范围两边需要使用统一的格式。2. 根据标点国标 4.13 中的规则，数字、时间或地域连接符应使用（视觉上更长的）“—”或“～”。</explain>
      <paraID>433318CE</paraID>
      <start>216</start>
      <end>223</end>
      <status>modified</status>
      <modifiedWord>28%～32%</modifiedWord>
      <trackRevisions>false</trackRevisions>
    </reviewItem>
    <reviewItem>
      <errorID>bec3f224-cbcc-488f-873b-c31a049a309d</errorID>
      <errorWord>其它</errorWord>
      <group>L1_Word</group>
      <groupName>字词问题</groupName>
      <ability>L2_Alias</ability>
      <abilityName>也作/曾用词</abilityName>
      <candidateList>
        <item>其他</item>
      </candidateList>
      <explain>词汇[其它]为不规范表述或旧称，其规范书面表述为[其他]。</explain>
      <paraID>57B5CFD7</paraID>
      <start>6</start>
      <end>8</end>
      <status>modified</status>
      <modifiedWord>其他</modifiedWord>
      <trackRevisions>false</trackRevisions>
    </reviewItem>
    <reviewItem>
      <errorID>c7becb7e-6639-40b6-824d-90625a937be5</errorID>
      <errorWord>（</errorWord>
      <group>L1_Format</group>
      <groupName>格式问题</groupName>
      <ability>L2_HalfPunc</ability>
      <abilityName>全半角检查</abilityName>
      <candidateList>
        <item>(</item>
      </candidateList>
      <explain>文本全半角错误。</explain>
      <paraID>578358DA</paraID>
      <start>4</start>
      <end>5</end>
      <status>unmodified</status>
      <modifiedWord/>
      <trackRevisions>false</trackRevisions>
    </reviewItem>
    <reviewItem>
      <errorID>a46fd28b-0310-4cad-b41a-1dffcfe2be66</errorID>
      <errorWord>）</errorWord>
      <group>L1_Format</group>
      <groupName>格式问题</groupName>
      <ability>L2_HalfPunc</ability>
      <abilityName>全半角检查</abilityName>
      <candidateList>
        <item>)</item>
      </candidateList>
      <explain>文本全半角错误。</explain>
      <paraID>578358DA</paraID>
      <start>12</start>
      <end>13</end>
      <status>unmodified</status>
      <modifiedWord/>
      <trackRevisions>false</trackRevisions>
    </reviewItem>
    <reviewItem>
      <errorID>560783e9-a600-4961-96b3-14f13a7ac9ab</errorID>
      <errorWord>（</errorWord>
      <group>L1_Format</group>
      <groupName>格式问题</groupName>
      <ability>L2_HalfPunc</ability>
      <abilityName>全半角检查</abilityName>
      <candidateList>
        <item>(</item>
      </candidateList>
      <explain>文本全半角错误。</explain>
      <paraID>505D7D25</paraID>
      <start>3</start>
      <end>4</end>
      <status>unmodified</status>
      <modifiedWord/>
      <trackRevisions>false</trackRevisions>
    </reviewItem>
    <reviewItem>
      <errorID>67683ad1-e598-460f-a5b3-6af4a6b66458</errorID>
      <errorWord>）</errorWord>
      <group>L1_Format</group>
      <groupName>格式问题</groupName>
      <ability>L2_HalfPunc</ability>
      <abilityName>全半角检查</abilityName>
      <candidateList>
        <item>)</item>
      </candidateList>
      <explain>文本全半角错误。</explain>
      <paraID>505D7D25</paraID>
      <start>9</start>
      <end>10</end>
      <status>unmodified</status>
      <modifiedWord/>
      <trackRevisions>false</trackRevisions>
    </reviewItem>
    <reviewItem>
      <errorID>6c7a9b6c-b45c-4212-b37f-0ea2e53dbbb3</errorID>
      <errorWord>蒸汽</errorWord>
      <group>L1_Word</group>
      <groupName>字词问题</groupName>
      <ability>L2_Typo</ability>
      <abilityName>字词错误</abilityName>
      <candidateList>
        <item>蒸气</item>
      </candidateList>
      <explain/>
      <paraID>6906A058</paraID>
      <start>154</start>
      <end>156</end>
      <status>modified</status>
      <modifiedWord>蒸气</modifiedWord>
      <trackRevisions>false</trackRevisions>
    </reviewItem>
    <reviewItem>
      <errorID>174c0fba-a87f-4f6d-a644-f6f77513442e</errorID>
      <errorWord>无颗粒物</errorWord>
      <group>L1_Knowledge</group>
      <groupName>知识性问题</groupName>
      <ability>L2_Term</ability>
      <abilityName>专业术语</abilityName>
      <candidateList>
        <item>细颗粒物</item>
      </candidateList>
      <explain/>
      <paraID>66A55A70</paraID>
      <start>147</start>
      <end>151</end>
      <status>ignored</status>
      <modifiedWord/>
      <trackRevisions>false</trackRevisions>
    </reviewItem>
    <reviewItem>
      <errorID>3355ec6e-3eb8-4a2e-8578-7fb535b547ca</errorID>
      <errorWord>其它</errorWord>
      <group>L1_Word</group>
      <groupName>字词问题</groupName>
      <ability>L2_Alias</ability>
      <abilityName>也作/曾用词</abilityName>
      <candidateList>
        <item>其他</item>
      </candidateList>
      <explain>词汇[其它]为不规范表述或旧称，其规范书面表述为[其他]。</explain>
      <paraID>66A55A70</paraID>
      <start>252</start>
      <end>254</end>
      <status>modified</status>
      <modifiedWord>其他</modifiedWord>
      <trackRevisions>false</trackRevisions>
    </reviewItem>
    <reviewItem>
      <errorID>9f8d0d2e-4e65-4704-bdce-fb4dcdf3d445</errorID>
      <errorWord>的颗粒物</errorWord>
      <group>L1_Knowledge</group>
      <groupName>知识性问题</groupName>
      <ability>L2_Term</ability>
      <abilityName>专业术语</abilityName>
      <candidateList>
        <item>细颗粒物</item>
      </candidateList>
      <explain/>
      <paraID>66A55A70</paraID>
      <start>272</start>
      <end>276</end>
      <status>ignored</status>
      <modifiedWord/>
      <trackRevisions>false</trackRevisions>
    </reviewItem>
    <reviewItem>
      <errorID>56141abc-1d56-40d1-90fc-a5ce5fdbd4e4</errorID>
      <errorWord>-</errorWord>
      <group>L1_Format</group>
      <groupName>格式问题</groupName>
      <ability>L2_HalfPunc</ability>
      <abilityName>全半角检查</abilityName>
      <candidateList>
        <item>－</item>
      </candidateList>
      <explain>文本全半角错误。</explain>
      <paraID>66A55A70</paraID>
      <start>339</start>
      <end>340</end>
      <status>unmodified</status>
      <modifiedWord/>
      <trackRevisions>false</trackRevisions>
    </reviewItem>
    <reviewItem>
      <errorID>be654f98-49e6-4f63-9818-3860884e6e69</errorID>
      <errorWord>其它</errorWord>
      <group>L1_Word</group>
      <groupName>字词问题</groupName>
      <ability>L2_Alias</ability>
      <abilityName>也作/曾用词</abilityName>
      <candidateList>
        <item>其他</item>
      </candidateList>
      <explain>词汇[其它]为不规范表述或旧称，其规范书面表述为[其他]。</explain>
      <paraID>18CBBCC5</paraID>
      <start>6</start>
      <end>8</end>
      <status>modified</status>
      <modifiedWord>其他</modifiedWord>
      <trackRevisions>false</trackRevisions>
    </reviewItem>
    <reviewItem>
      <errorID>3ab1fbf3-c6fa-4c91-99d2-e68e6784faec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4C10E939</paraID>
      <start>0</start>
      <end>2</end>
      <status>unmodified</status>
      <modifiedWord/>
      <trackRevisions>false</trackRevisions>
    </reviewItem>
    <reviewItem>
      <errorID>409e2f5b-5c70-4ef8-af0d-21773cc043e4</errorID>
      <errorWord>主要为</errorWord>
      <group>L1_Word</group>
      <groupName>字词问题</groupName>
      <ability>L2_Typo</ability>
      <abilityName>字词错误</abilityName>
      <candidateList>
        <item>主要</item>
      </candidateList>
      <explain>〈形〉属性词。有关事物中最重要的；起决定作用的：～原因｜～目的｜～人物。</explain>
      <paraID> FFC1234</paraID>
      <start>9</start>
      <end>11</end>
      <status>modified</status>
      <modifiedWord>主要</modifiedWord>
      <trackRevisions>false</trackRevisions>
    </reviewItem>
    <reviewItem>
      <errorID>243404d6-675d-4c94-a00d-3dc18906c3f4</errorID>
      <errorWord>的颗粒物</errorWord>
      <group>L1_Knowledge</group>
      <groupName>知识性问题</groupName>
      <ability>L2_Term</ability>
      <abilityName>专业术语</abilityName>
      <candidateList>
        <item>细颗粒物</item>
      </candidateList>
      <explain/>
      <paraID> FFC1234</paraID>
      <start>23</start>
      <end>27</end>
      <status>ignored</status>
      <modifiedWord/>
      <trackRevisions>false</trackRevisions>
    </reviewItem>
    <reviewItem>
      <errorID>6bb63fed-b6ab-4b03-844b-b686523957c4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1A778F4E</paraID>
      <start>0</start>
      <end>2</end>
      <status>unmodified</status>
      <modifiedWord/>
      <trackRevisions>false</trackRevisions>
    </reviewItem>
    <reviewItem>
      <errorID>f8c75100-2cb1-4842-aaa0-d0bbebc50309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26B89D4D</paraID>
      <start>0</start>
      <end>2</end>
      <status>unmodified</status>
      <modifiedWord/>
      <trackRevisions>false</trackRevisions>
    </reviewItem>
    <reviewItem>
      <errorID>4f1f36e2-f49b-4ecc-8272-d36ee1395893</errorID>
      <errorWord>源源</errorWord>
      <group>L1_Word</group>
      <groupName>字词问题</groupName>
      <ability>L2_Typo</ability>
      <abilityName>字词错误</abilityName>
      <candidateList>
        <item>源</item>
      </candidateList>
      <explain/>
      <paraID>2B82C950</paraID>
      <start>1</start>
      <end>3</end>
      <status>ignored</status>
      <modifiedWord/>
      <trackRevisions>false</trackRevisions>
    </reviewItem>
    <reviewItem>
      <errorID>872f61f7-6496-4af2-b04d-00f58965aca2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2763E80A</paraID>
      <start>0</start>
      <end>2</end>
      <status>unmodified</status>
      <modifiedWord/>
      <trackRevisions>false</trackRevisions>
    </reviewItem>
    <reviewItem>
      <errorID>79852f85-e4d3-42ec-923c-d4b47ae7bec4</errorID>
      <errorWord>会会</errorWord>
      <group>L1_Word</group>
      <groupName>字词问题</groupName>
      <ability>L2_Typo</ability>
      <abilityName>字词错误</abilityName>
      <candidateList>
        <item>会</item>
      </candidateList>
      <explain>（會）kuài总计：～计。</explain>
      <paraID>6802C4CB</paraID>
      <start>19</start>
      <end>20</end>
      <status>modified</status>
      <modifiedWord>会</modifiedWord>
      <trackRevisions>false</trackRevisions>
    </reviewItem>
    <reviewItem>
      <errorID>a83c8556-784d-4a48-be6e-7fea4dcd2726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32A1E590</paraID>
      <start>0</start>
      <end>2</end>
      <status>unmodified</status>
      <modifiedWord/>
      <trackRevisions>false</trackRevisions>
    </reviewItem>
    <reviewItem>
      <errorID>db18ac2f-e188-418c-86ae-15487176cf8e</errorID>
      <errorWord>万</errorWord>
      <group>L1_Word</group>
      <groupName>字词问题</groupName>
      <ability>L2_Typo</ability>
      <abilityName>字词错误</abilityName>
      <candidateList>
        <item>万元</item>
      </candidateList>
      <explain/>
      <paraID>3DB71C94</paraID>
      <start>4</start>
      <end>5</end>
      <status>ignored</status>
      <modifiedWord/>
      <trackRevisions>false</trackRevisions>
    </reviewItem>
    <reviewItem>
      <errorID>224aa760-8b4c-44e2-8602-a14be33e0006</errorID>
      <errorWord>（</errorWord>
      <group>L1_Format</group>
      <groupName>格式问题</groupName>
      <ability>L2_HalfPunc</ability>
      <abilityName>全半角检查</abilityName>
      <candidateList>
        <item>(</item>
      </candidateList>
      <explain>文本全半角错误。</explain>
      <paraID>1B17EBD8</paraID>
      <start>4</start>
      <end>5</end>
      <status>unmodified</status>
      <modifiedWord/>
      <trackRevisions>false</trackRevisions>
    </reviewItem>
    <reviewItem>
      <errorID>8322945b-9f33-450c-8eff-8cf59dd9cf8c</errorID>
      <errorWord>）</errorWord>
      <group>L1_Format</group>
      <groupName>格式问题</groupName>
      <ability>L2_HalfPunc</ability>
      <abilityName>全半角检查</abilityName>
      <candidateList>
        <item>)</item>
      </candidateList>
      <explain>文本全半角错误。</explain>
      <paraID>1B17EBD8</paraID>
      <start>15</start>
      <end>16</end>
      <status>unmodified</status>
      <modifiedWord/>
      <trackRevisions>false</trackRevisions>
    </reviewItem>
    <reviewItem>
      <errorID>1b373a92-1cf3-44c7-9172-11c1c2f61bf8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21DFE184</paraID>
      <start>0</start>
      <end>2</end>
      <status>unmodified</status>
      <modifiedWord/>
      <trackRevisions>false</trackRevisions>
    </reviewItem>
    <reviewItem>
      <errorID>63a8bd62-c259-4e09-a61a-2151f75ed8ab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1256236C</paraID>
      <start>50</start>
      <end>52</end>
      <status>modified</status>
      <modifiedWord>》《</modifiedWord>
      <trackRevisions>false</trackRevisions>
    </reviewItem>
    <reviewItem>
      <errorID>ca10946b-c98c-4220-b55e-59465e02fdc3</errorID>
      <errorWord>(</errorWord>
      <group>L1_Format</group>
      <groupName>格式问题</groupName>
      <ability>L2_HalfPunc</ability>
      <abilityName>全半角检查</abilityName>
      <candidateList>
        <item>（</item>
      </candidateList>
      <explain>文本全半角错误。</explain>
      <paraID>747F1E5C</paraID>
      <start>70</start>
      <end>71</end>
      <status>unmodified</status>
      <modifiedWord/>
      <trackRevisions>false</trackRevisions>
    </reviewItem>
    <reviewItem>
      <errorID>07a5f7d6-efee-49cb-8108-1c9c0420c2c0</errorID>
      <errorWord>)</errorWord>
      <group>L1_Format</group>
      <groupName>格式问题</groupName>
      <ability>L2_HalfPunc</ability>
      <abilityName>全半角检查</abilityName>
      <candidateList>
        <item>）</item>
      </candidateList>
      <explain>文本全半角错误。</explain>
      <paraID>747F1E5C</paraID>
      <start>83</start>
      <end>84</end>
      <status>unmodified</status>
      <modifiedWord/>
      <trackRevisions>false</trackRevisions>
    </reviewItem>
    <reviewItem>
      <errorID>c31d15e7-1e62-433a-ad77-e44678cfba9a</errorID>
      <errorWord>(</errorWord>
      <group>L1_Format</group>
      <groupName>格式问题</groupName>
      <ability>L2_HalfPunc</ability>
      <abilityName>全半角检查</abilityName>
      <candidateList>
        <item>（</item>
      </candidateList>
      <explain>文本全半角错误。</explain>
      <paraID>1118F118</paraID>
      <start>76</start>
      <end>77</end>
      <status>unmodified</status>
      <modifiedWord/>
      <trackRevisions>false</trackRevisions>
    </reviewItem>
    <reviewItem>
      <errorID>84546532-78bc-4996-9bca-4748e200bf61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2CCA8FFC</paraID>
      <start>28</start>
      <end>29</end>
      <status>modified</status>
      <modifiedWord>地</modifiedWord>
      <trackRevisions>false</trackRevisions>
    </reviewItem>
    <reviewItem>
      <errorID>7f183fe9-d054-4701-b186-9a22b813d339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777E5D6</paraID>
      <start>0</start>
      <end>2</end>
      <status>unmodified</status>
      <modifiedWord/>
      <trackRevisions>false</trackRevisions>
    </reviewItem>
    <reviewItem>
      <errorID>57766c14-cea6-4c7f-84e4-601918230cd9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3D9AD4F</paraID>
      <start>0</start>
      <end>2</end>
      <status>unmodified</status>
      <modifiedWord/>
      <trackRevisions>false</trackRevisions>
    </reviewItem>
    <reviewItem>
      <errorID>a4956994-e487-44f6-926c-ab76b7948b03</errorID>
      <errorWord>泄露</errorWord>
      <group>L1_Word</group>
      <groupName>字词问题</groupName>
      <ability>L2_Typo</ability>
      <abilityName>字词错误</abilityName>
      <candidateList>
        <item>泄漏</item>
      </candidateList>
      <explain>存在发音相同字词的误用。</explain>
      <paraID>2B2CA71D</paraID>
      <start>54</start>
      <end>56</end>
      <status>modified</status>
      <modifiedWord>泄漏</modifiedWord>
      <trackRevisions>false</trackRevisions>
    </reviewItem>
    <reviewItem>
      <errorID>623bd736-1b9f-4387-9a8c-f07e0652268f</errorID>
      <errorWord>期</errorWord>
      <group>L1_Word</group>
      <groupName>字词问题</groupName>
      <ability>L2_Typo</ability>
      <abilityName>字词错误</abilityName>
      <candidateList>
        <item>期间</item>
      </candidateList>
      <explain>〈名〉某个时期里面：农忙～｜春节～｜抗战～。</explain>
      <paraID>1F39A346</paraID>
      <start>4</start>
      <end>6</end>
      <status>modified</status>
      <modifiedWord>期间</modifiedWord>
      <trackRevisions>false</trackRevisions>
    </reviewItem>
    <reviewItem>
      <errorID>f368f7a4-2f73-48e3-8b8b-94a8cfffbfd6</errorID>
      <errorWord>做</errorWord>
      <group>L1_Word</group>
      <groupName>字词问题</groupName>
      <ability>L2_Typo</ability>
      <abilityName>字词错误</abilityName>
      <candidateList>
        <item>做好</item>
      </candidateList>
      <explain/>
      <paraID>1F39A346</paraID>
      <start>41</start>
      <end>43</end>
      <status>modified</status>
      <modifiedWord>做好</modifiedWord>
      <trackRevisions>false</trackRevisions>
    </reviewItem>
    <reviewItem>
      <errorID>fb98fcd6-ef91-4d23-9eaa-9f30c8e0a1b0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246DF30C</paraID>
      <start>29</start>
      <end>30</end>
      <status>modified</status>
      <modifiedWord>地</modifiedWord>
      <trackRevisions>false</trackRevisions>
    </reviewItem>
    <reviewItem>
      <errorID>b698b58a-6e91-4c54-809a-2f8def24036d</errorID>
      <errorWord>在建设</errorWord>
      <group>L1_Word</group>
      <groupName>字词问题</groupName>
      <ability>L2_Typo</ability>
      <abilityName>字词错误</abilityName>
      <candidateList>
        <item>建设</item>
      </candidateList>
      <explain>〈动〉创立新事业；增加新设施：经济～｜～家园｜～现代化强国◇组织～｜思想～。</explain>
      <paraID>7C8F9DB8</paraID>
      <start>67</start>
      <end>69</end>
      <status>modified</status>
      <modifiedWord>建设</modifiedWord>
      <trackRevisions>false</trackRevisions>
    </reviewItem>
    <reviewItem>
      <errorID>87743d34-122c-4a58-b85f-3294d4c50a90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1651257A</paraID>
      <start>0</start>
      <end>2</end>
      <status>unmodified</status>
      <modifiedWord/>
      <trackRevisions>false</trackRevisions>
    </reviewItem>
    <reviewItem>
      <errorID>82d8cdf1-67e4-4f44-8a9a-3d63fd7a02c8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2C52DFF0</paraID>
      <start>0</start>
      <end>2</end>
      <status>unmodified</status>
      <modifiedWord/>
      <trackRevisions>false</trackRevisions>
    </reviewItem>
    <reviewItem>
      <errorID>771ffda6-d56b-489f-aceb-51327812b5bc</errorID>
      <errorWord>（</errorWord>
      <group>L1_Punc</group>
      <groupName>标点问题</groupName>
      <ability>L2_Punc</ability>
      <abilityName>标点符号检查</abilityName>
      <candidateList/>
      <explain/>
      <paraID> F3B669E</paraID>
      <start>37</start>
      <end>38</end>
      <status>ignored</status>
      <modifiedWord/>
      <trackRevisions>false</trackRevisions>
    </reviewItem>
    <reviewItem>
      <errorID>9e3b932b-e0e1-44af-985a-4cef910b6d66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603A2441</paraID>
      <start>0</start>
      <end>2</end>
      <status>unmodified</status>
      <modifiedWord/>
      <trackRevisions>false</trackRevisions>
    </reviewItem>
    <reviewItem>
      <errorID>384a409f-ed20-4078-a6f1-5316753ada10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471CA01B</paraID>
      <start>0</start>
      <end>2</end>
      <status>unmodified</status>
      <modifiedWord/>
      <trackRevisions>false</trackRevisions>
    </reviewItem>
    <reviewItem>
      <errorID>391fd8a3-e9fa-41c2-baf6-e4db892fd606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6EC326BB</paraID>
      <start>0</start>
      <end>2</end>
      <status>unmodified</status>
      <modifiedWord/>
      <trackRevisions>false</trackRevisions>
    </reviewItem>
    <reviewItem>
      <errorID>e9f52082-c784-45b0-b77a-34a6857bc097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4FE5F9AB</paraID>
      <start>0</start>
      <end>2</end>
      <status>unmodified</status>
      <modifiedWord/>
      <trackRevisions>false</trackRevisions>
    </reviewItem>
    <reviewItem>
      <errorID>56d0b140-b743-4bee-aa78-bc374a0b7a7f</errorID>
      <errorWord>（</errorWord>
      <group>L1_Format</group>
      <groupName>格式问题</groupName>
      <ability>L2_HalfPunc</ability>
      <abilityName>全半角检查</abilityName>
      <candidateList>
        <item>(</item>
      </candidateList>
      <explain>文本全半角错误。</explain>
      <paraID>2286B38F</paraID>
      <start>3</start>
      <end>4</end>
      <status>unmodified</status>
      <modifiedWord/>
      <trackRevisions>false</trackRevisions>
    </reviewItem>
    <reviewItem>
      <errorID>a6455519-4c77-40cc-a4e5-042b178f191f</errorID>
      <errorWord>）</errorWord>
      <group>L1_Format</group>
      <groupName>格式问题</groupName>
      <ability>L2_HalfPunc</ability>
      <abilityName>全半角检查</abilityName>
      <candidateList>
        <item>)</item>
      </candidateList>
      <explain>文本全半角错误。</explain>
      <paraID>2286B38F</paraID>
      <start>8</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d01a-399b-4f2d-9727-5adde9e0d8b0}">
  <ds:schemaRefs/>
</ds:datastoreItem>
</file>

<file path=customXml/itemProps2.xml><?xml version="1.0" encoding="utf-8"?>
<ds:datastoreItem xmlns:ds="http://schemas.openxmlformats.org/officeDocument/2006/customXml" ds:itemID="{40BC913A-FCA4-4900-B49A-97F785EB9AED}">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72</Pages>
  <Words>13405</Words>
  <Characters>13875</Characters>
  <Lines>456</Lines>
  <Paragraphs>128</Paragraphs>
  <TotalTime>12</TotalTime>
  <ScaleCrop>false</ScaleCrop>
  <LinksUpToDate>false</LinksUpToDate>
  <CharactersWithSpaces>13935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2022-08-15T02:28:00Z</dcterms:created>
  <dc:creator>lhj</dc:creator>
  <cp:lastModifiedBy>MO</cp:lastModifiedBy>
  <cp:lastPrinted>2024-08-15T08:23:00Z</cp:lastPrinted>
  <dcterms:modified xsi:type="dcterms:W3CDTF">2026-01-28T03:24:31Z</dcterms:modified>
  <dc:title>附件2</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7D7ECA394C0B41BB850B3F3C17F5F7D0_12</vt:lpwstr>
  </property>
  <property fmtid="{D5CDD505-2E9C-101B-9397-08002B2CF9AE}" pid="4" name="KSOTemplateDocerSaveRecord">
    <vt:lpwstr>eyJoZGlkIjoiZmZkNzg3OWFkMWFiNzAxMzVjNThmZjlhZGIwZjE1YWYiLCJ1c2VySWQiOiIxNzU1NjQ4NTMwIn0=</vt:lpwstr>
  </property>
</Properties>
</file>