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50133">
      <w:pPr>
        <w:rPr>
          <w:rFonts w:ascii="仿宋_GB2312" w:hAnsi="仿宋_GB2312" w:eastAsia="仿宋_GB2312" w:cs="仿宋_GB2312"/>
          <w:color w:val="auto"/>
          <w:sz w:val="36"/>
          <w:szCs w:val="36"/>
        </w:rPr>
      </w:pPr>
    </w:p>
    <w:p w14:paraId="46B3BD79">
      <w:pPr>
        <w:rPr>
          <w:rFonts w:ascii="仿宋_GB2312" w:hAnsi="仿宋_GB2312" w:eastAsia="仿宋_GB2312" w:cs="仿宋_GB2312"/>
          <w:color w:val="auto"/>
          <w:sz w:val="36"/>
          <w:szCs w:val="36"/>
        </w:rPr>
      </w:pPr>
    </w:p>
    <w:p w14:paraId="23966DD8">
      <w:pPr>
        <w:rPr>
          <w:rFonts w:ascii="仿宋_GB2312" w:hAnsi="仿宋_GB2312" w:eastAsia="仿宋_GB2312" w:cs="仿宋_GB2312"/>
          <w:color w:val="auto"/>
          <w:sz w:val="36"/>
          <w:szCs w:val="36"/>
        </w:rPr>
      </w:pPr>
    </w:p>
    <w:p w14:paraId="4A8C9BA7">
      <w:pPr>
        <w:rPr>
          <w:rFonts w:ascii="仿宋_GB2312" w:hAnsi="仿宋_GB2312" w:eastAsia="仿宋_GB2312" w:cs="仿宋_GB2312"/>
          <w:color w:val="auto"/>
          <w:sz w:val="36"/>
          <w:szCs w:val="36"/>
        </w:rPr>
      </w:pPr>
    </w:p>
    <w:p w14:paraId="68C161DC">
      <w:pPr>
        <w:rPr>
          <w:rFonts w:hint="eastAsia" w:ascii="仿宋_GB2312" w:hAnsi="仿宋_GB2312" w:eastAsia="仿宋_GB2312" w:cs="仿宋_GB2312"/>
          <w:color w:val="auto"/>
          <w:sz w:val="36"/>
          <w:szCs w:val="36"/>
        </w:rPr>
      </w:pPr>
    </w:p>
    <w:p w14:paraId="68F65830">
      <w:pPr>
        <w:adjustRightInd w:val="0"/>
        <w:snapToGrid w:val="0"/>
        <w:jc w:val="center"/>
        <w:rPr>
          <w:rFonts w:hint="eastAsia" w:ascii="方正小标宋_GBK" w:eastAsia="方正小标宋_GBK"/>
          <w:bCs/>
          <w:color w:val="auto"/>
          <w:sz w:val="72"/>
          <w:szCs w:val="72"/>
        </w:rPr>
      </w:pPr>
      <w:bookmarkStart w:id="0" w:name="_Toc7227"/>
      <w:r>
        <w:rPr>
          <w:rFonts w:hint="eastAsia" w:ascii="方正小标宋_GBK" w:eastAsia="方正小标宋_GBK"/>
          <w:bCs/>
          <w:color w:val="auto"/>
          <w:sz w:val="72"/>
          <w:szCs w:val="72"/>
        </w:rPr>
        <w:t>建设项目环境影响报告表</w:t>
      </w:r>
      <w:bookmarkEnd w:id="0"/>
    </w:p>
    <w:p w14:paraId="113E5A1B">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47AB116C">
      <w:pPr>
        <w:adjustRightInd w:val="0"/>
        <w:snapToGrid w:val="0"/>
        <w:spacing w:line="288" w:lineRule="auto"/>
        <w:jc w:val="center"/>
        <w:rPr>
          <w:rFonts w:hint="eastAsia" w:ascii="华文仿宋" w:hAnsi="华文仿宋" w:eastAsia="华文仿宋" w:cs="华文仿宋"/>
          <w:color w:val="auto"/>
          <w:kern w:val="44"/>
          <w:sz w:val="44"/>
          <w:szCs w:val="44"/>
          <w:lang w:eastAsia="zh-CN"/>
        </w:rPr>
      </w:pPr>
      <w:r>
        <w:rPr>
          <w:rFonts w:hint="eastAsia" w:ascii="华文仿宋" w:hAnsi="华文仿宋" w:eastAsia="华文仿宋" w:cs="华文仿宋"/>
          <w:color w:val="auto"/>
          <w:kern w:val="44"/>
          <w:sz w:val="44"/>
          <w:szCs w:val="44"/>
          <w:lang w:eastAsia="zh-CN"/>
        </w:rPr>
        <w:t>（</w:t>
      </w:r>
      <w:r>
        <w:rPr>
          <w:rFonts w:hint="eastAsia" w:ascii="华文仿宋" w:hAnsi="华文仿宋" w:eastAsia="华文仿宋" w:cs="华文仿宋"/>
          <w:color w:val="auto"/>
          <w:kern w:val="44"/>
          <w:sz w:val="44"/>
          <w:szCs w:val="44"/>
          <w:lang w:val="en-US" w:eastAsia="zh-CN"/>
        </w:rPr>
        <w:t>报批稿公示版</w:t>
      </w:r>
      <w:bookmarkStart w:id="32" w:name="_GoBack"/>
      <w:bookmarkEnd w:id="32"/>
      <w:r>
        <w:rPr>
          <w:rFonts w:hint="eastAsia" w:ascii="华文仿宋" w:hAnsi="华文仿宋" w:eastAsia="华文仿宋" w:cs="华文仿宋"/>
          <w:color w:val="auto"/>
          <w:kern w:val="44"/>
          <w:sz w:val="44"/>
          <w:szCs w:val="44"/>
          <w:lang w:eastAsia="zh-CN"/>
        </w:rPr>
        <w:t>）</w:t>
      </w:r>
    </w:p>
    <w:p w14:paraId="041D2BCA">
      <w:pPr>
        <w:jc w:val="center"/>
        <w:rPr>
          <w:rFonts w:eastAsia="仿宋"/>
          <w:color w:val="auto"/>
          <w:sz w:val="52"/>
          <w:szCs w:val="52"/>
        </w:rPr>
      </w:pPr>
    </w:p>
    <w:p w14:paraId="0B864C14">
      <w:pPr>
        <w:ind w:firstLine="1040"/>
        <w:rPr>
          <w:rFonts w:eastAsia="仿宋"/>
          <w:color w:val="auto"/>
          <w:sz w:val="44"/>
          <w:szCs w:val="44"/>
        </w:rPr>
      </w:pPr>
    </w:p>
    <w:p w14:paraId="0F0D9B17">
      <w:pPr>
        <w:ind w:firstLine="1040"/>
        <w:rPr>
          <w:rFonts w:eastAsia="仿宋"/>
          <w:color w:val="auto"/>
          <w:sz w:val="44"/>
          <w:szCs w:val="44"/>
        </w:rPr>
      </w:pPr>
    </w:p>
    <w:p w14:paraId="7B05AA9C">
      <w:pPr>
        <w:ind w:firstLine="1040"/>
        <w:rPr>
          <w:rFonts w:eastAsia="仿宋"/>
          <w:color w:val="auto"/>
          <w:sz w:val="44"/>
          <w:szCs w:val="44"/>
        </w:rPr>
      </w:pPr>
    </w:p>
    <w:p w14:paraId="01445660">
      <w:pPr>
        <w:widowControl/>
        <w:jc w:val="left"/>
        <w:rPr>
          <w:rFonts w:hint="eastAsia" w:ascii="仿宋_GB2312" w:eastAsia="仿宋_GB2312"/>
          <w:color w:val="auto"/>
          <w:sz w:val="36"/>
          <w:szCs w:val="36"/>
        </w:rPr>
      </w:pPr>
    </w:p>
    <w:p w14:paraId="0FBBBFBE">
      <w:pPr>
        <w:widowControl/>
        <w:adjustRightInd w:val="0"/>
        <w:snapToGrid w:val="0"/>
        <w:spacing w:line="360" w:lineRule="auto"/>
        <w:rPr>
          <w:color w:val="auto"/>
          <w:sz w:val="36"/>
          <w:szCs w:val="36"/>
          <w:u w:val="single"/>
        </w:rPr>
      </w:pPr>
      <w:r>
        <w:rPr>
          <w:color w:val="auto"/>
          <w:sz w:val="36"/>
          <w:szCs w:val="36"/>
        </w:rPr>
        <w:t>项目名称：</w:t>
      </w:r>
      <w:r>
        <w:rPr>
          <w:color w:val="auto"/>
          <w:sz w:val="36"/>
          <w:szCs w:val="36"/>
          <w:u w:val="single"/>
        </w:rPr>
        <w:t xml:space="preserve">  </w:t>
      </w:r>
      <w:r>
        <w:rPr>
          <w:rFonts w:hint="eastAsia"/>
          <w:color w:val="auto"/>
          <w:sz w:val="36"/>
          <w:szCs w:val="36"/>
          <w:u w:val="single"/>
          <w:lang w:eastAsia="zh-CN"/>
        </w:rPr>
        <w:t>年加工3万吨废弃资源综合利用项目</w:t>
      </w:r>
      <w:r>
        <w:rPr>
          <w:rFonts w:hint="eastAsia"/>
          <w:color w:val="auto"/>
          <w:sz w:val="36"/>
          <w:szCs w:val="36"/>
          <w:u w:val="single"/>
        </w:rPr>
        <w:t xml:space="preserve">   </w:t>
      </w:r>
      <w:r>
        <w:rPr>
          <w:color w:val="auto"/>
          <w:sz w:val="36"/>
          <w:szCs w:val="36"/>
          <w:u w:val="single"/>
        </w:rPr>
        <w:t xml:space="preserve">      </w:t>
      </w:r>
    </w:p>
    <w:p w14:paraId="32E77ACF">
      <w:pPr>
        <w:adjustRightInd w:val="0"/>
        <w:snapToGrid w:val="0"/>
        <w:spacing w:line="360" w:lineRule="auto"/>
        <w:rPr>
          <w:color w:val="auto"/>
          <w:sz w:val="36"/>
          <w:szCs w:val="36"/>
          <w:u w:val="single"/>
        </w:rPr>
      </w:pPr>
      <w:r>
        <w:rPr>
          <w:color w:val="auto"/>
          <w:sz w:val="36"/>
          <w:szCs w:val="36"/>
        </w:rPr>
        <w:t>建设单位（盖章）：</w:t>
      </w:r>
      <w:r>
        <w:rPr>
          <w:color w:val="auto"/>
          <w:sz w:val="36"/>
          <w:szCs w:val="36"/>
          <w:u w:val="single"/>
        </w:rPr>
        <w:t xml:space="preserve">广西鑫十五船舶科技发展有限公司              </w:t>
      </w:r>
    </w:p>
    <w:p w14:paraId="314DB3F4">
      <w:pPr>
        <w:adjustRightInd w:val="0"/>
        <w:snapToGrid w:val="0"/>
        <w:spacing w:line="360" w:lineRule="auto"/>
        <w:rPr>
          <w:color w:val="auto"/>
          <w:sz w:val="36"/>
          <w:szCs w:val="36"/>
          <w:u w:val="single"/>
        </w:rPr>
      </w:pPr>
      <w:r>
        <w:rPr>
          <w:color w:val="auto"/>
          <w:sz w:val="36"/>
          <w:szCs w:val="36"/>
        </w:rPr>
        <w:t>编制日期：</w:t>
      </w:r>
      <w:r>
        <w:rPr>
          <w:color w:val="auto"/>
          <w:sz w:val="36"/>
          <w:szCs w:val="36"/>
          <w:u w:val="single"/>
        </w:rPr>
        <w:t xml:space="preserve">              202</w:t>
      </w:r>
      <w:r>
        <w:rPr>
          <w:rFonts w:hint="eastAsia"/>
          <w:color w:val="auto"/>
          <w:sz w:val="36"/>
          <w:szCs w:val="36"/>
          <w:u w:val="single"/>
        </w:rPr>
        <w:t>6</w:t>
      </w:r>
      <w:r>
        <w:rPr>
          <w:color w:val="auto"/>
          <w:sz w:val="36"/>
          <w:szCs w:val="36"/>
          <w:u w:val="single"/>
        </w:rPr>
        <w:t>年</w:t>
      </w:r>
      <w:r>
        <w:rPr>
          <w:rFonts w:hint="eastAsia"/>
          <w:color w:val="auto"/>
          <w:sz w:val="36"/>
          <w:szCs w:val="36"/>
          <w:u w:val="single"/>
          <w:lang w:val="en-US" w:eastAsia="zh-CN"/>
        </w:rPr>
        <w:t>3</w:t>
      </w:r>
      <w:r>
        <w:rPr>
          <w:color w:val="auto"/>
          <w:sz w:val="36"/>
          <w:szCs w:val="36"/>
          <w:u w:val="single"/>
        </w:rPr>
        <w:t xml:space="preserve">月               </w:t>
      </w:r>
    </w:p>
    <w:p w14:paraId="58C11768">
      <w:pPr>
        <w:adjustRightInd w:val="0"/>
        <w:snapToGrid w:val="0"/>
        <w:spacing w:line="288" w:lineRule="auto"/>
        <w:ind w:firstLine="1040"/>
        <w:rPr>
          <w:color w:val="auto"/>
          <w:sz w:val="36"/>
          <w:szCs w:val="36"/>
          <w:u w:val="single"/>
        </w:rPr>
      </w:pPr>
      <w:bookmarkStart w:id="1" w:name="_Hlk57884087"/>
    </w:p>
    <w:p w14:paraId="0FA23D2C">
      <w:pPr>
        <w:adjustRightInd w:val="0"/>
        <w:snapToGrid w:val="0"/>
        <w:spacing w:line="288" w:lineRule="auto"/>
        <w:ind w:firstLine="1040"/>
        <w:rPr>
          <w:color w:val="auto"/>
          <w:sz w:val="36"/>
          <w:szCs w:val="36"/>
        </w:rPr>
      </w:pPr>
    </w:p>
    <w:p w14:paraId="4A7380AB">
      <w:pPr>
        <w:adjustRightInd w:val="0"/>
        <w:snapToGrid w:val="0"/>
        <w:spacing w:line="288" w:lineRule="auto"/>
        <w:ind w:firstLine="1040"/>
        <w:rPr>
          <w:color w:val="auto"/>
          <w:sz w:val="36"/>
          <w:szCs w:val="36"/>
        </w:rPr>
      </w:pPr>
    </w:p>
    <w:p w14:paraId="22EC4534">
      <w:pPr>
        <w:adjustRightInd w:val="0"/>
        <w:snapToGrid w:val="0"/>
        <w:spacing w:line="288" w:lineRule="auto"/>
        <w:ind w:firstLine="1040"/>
        <w:rPr>
          <w:color w:val="auto"/>
          <w:sz w:val="36"/>
          <w:szCs w:val="36"/>
        </w:rPr>
      </w:pPr>
    </w:p>
    <w:bookmarkEnd w:id="1"/>
    <w:p w14:paraId="40DF1C8B">
      <w:pPr>
        <w:adjustRightInd w:val="0"/>
        <w:snapToGrid w:val="0"/>
        <w:spacing w:line="288" w:lineRule="auto"/>
        <w:jc w:val="center"/>
        <w:rPr>
          <w:color w:val="auto"/>
          <w:sz w:val="36"/>
          <w:szCs w:val="36"/>
        </w:rPr>
      </w:pPr>
      <w:r>
        <w:rPr>
          <w:color w:val="auto"/>
          <w:sz w:val="36"/>
          <w:szCs w:val="36"/>
        </w:rPr>
        <w:t>中华人民共和国生态环境部制</w:t>
      </w:r>
    </w:p>
    <w:p w14:paraId="41EB314D">
      <w:pPr>
        <w:adjustRightInd w:val="0"/>
        <w:snapToGrid w:val="0"/>
        <w:spacing w:line="288" w:lineRule="auto"/>
        <w:ind w:firstLine="1040"/>
        <w:rPr>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4494"/>
      </w:tblGrid>
      <w:tr w14:paraId="34AA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4530" w:type="dxa"/>
            <w:noWrap w:val="0"/>
            <w:vAlign w:val="top"/>
          </w:tcPr>
          <w:p w14:paraId="4A108D88">
            <w:pPr>
              <w:pStyle w:val="14"/>
              <w:keepNext w:val="0"/>
              <w:keepLines w:val="0"/>
              <w:suppressLineNumbers w:val="0"/>
              <w:spacing w:before="0" w:beforeAutospacing="0" w:after="0" w:afterAutospacing="0" w:line="240" w:lineRule="auto"/>
              <w:ind w:left="0" w:right="0" w:firstLine="0"/>
              <w:jc w:val="center"/>
              <w:rPr>
                <w:rFonts w:hint="eastAsia" w:hAnsi="Calibri" w:eastAsia="宋体" w:cs="Times New Roman"/>
                <w:color w:val="auto"/>
              </w:rPr>
            </w:pPr>
            <w:r>
              <w:rPr>
                <w:rFonts w:hint="eastAsia" w:hAnsi="Calibri" w:eastAsia="宋体" w:cs="Times New Roman"/>
                <w:color w:val="auto"/>
              </w:rPr>
              <w:drawing>
                <wp:inline distT="0" distB="0" distL="114300" distR="114300">
                  <wp:extent cx="2752090" cy="2065655"/>
                  <wp:effectExtent l="0" t="0" r="10160" b="10795"/>
                  <wp:docPr id="2" name="图片 32"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descr="南"/>
                          <pic:cNvPicPr>
                            <a:picLocks noChangeAspect="1"/>
                          </pic:cNvPicPr>
                        </pic:nvPicPr>
                        <pic:blipFill>
                          <a:blip r:embed="rId10"/>
                          <a:stretch>
                            <a:fillRect/>
                          </a:stretch>
                        </pic:blipFill>
                        <pic:spPr>
                          <a:xfrm>
                            <a:off x="0" y="0"/>
                            <a:ext cx="2752090" cy="2065655"/>
                          </a:xfrm>
                          <a:prstGeom prst="rect">
                            <a:avLst/>
                          </a:prstGeom>
                          <a:noFill/>
                          <a:ln>
                            <a:noFill/>
                          </a:ln>
                        </pic:spPr>
                      </pic:pic>
                    </a:graphicData>
                  </a:graphic>
                </wp:inline>
              </w:drawing>
            </w:r>
          </w:p>
          <w:p w14:paraId="22884149">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sz w:val="24"/>
              </w:rPr>
              <w:t>南面坑塘和山林地</w:t>
            </w:r>
          </w:p>
        </w:tc>
        <w:tc>
          <w:tcPr>
            <w:tcW w:w="4530" w:type="dxa"/>
            <w:noWrap w:val="0"/>
            <w:vAlign w:val="top"/>
          </w:tcPr>
          <w:p w14:paraId="7801CF3A">
            <w:pPr>
              <w:pStyle w:val="14"/>
              <w:keepNext w:val="0"/>
              <w:keepLines w:val="0"/>
              <w:suppressLineNumbers w:val="0"/>
              <w:spacing w:before="0" w:beforeAutospacing="0" w:after="0" w:afterAutospacing="0" w:line="240" w:lineRule="auto"/>
              <w:ind w:left="0" w:right="0" w:firstLine="0"/>
              <w:jc w:val="center"/>
              <w:rPr>
                <w:rFonts w:hint="eastAsia" w:hAnsi="Calibri" w:eastAsia="宋体" w:cs="Times New Roman"/>
                <w:color w:val="auto"/>
              </w:rPr>
            </w:pPr>
            <w:r>
              <w:rPr>
                <w:rFonts w:hAnsi="Calibri" w:eastAsia="宋体" w:cs="Times New Roman"/>
                <w:color w:val="auto"/>
              </w:rPr>
              <mc:AlternateContent>
                <mc:Choice Requires="wps">
                  <w:drawing>
                    <wp:anchor distT="0" distB="0" distL="114300" distR="114300" simplePos="0" relativeHeight="251661312" behindDoc="0" locked="0" layoutInCell="1" allowOverlap="1">
                      <wp:simplePos x="0" y="0"/>
                      <wp:positionH relativeFrom="column">
                        <wp:posOffset>671830</wp:posOffset>
                      </wp:positionH>
                      <wp:positionV relativeFrom="paragraph">
                        <wp:posOffset>696595</wp:posOffset>
                      </wp:positionV>
                      <wp:extent cx="2215515" cy="336550"/>
                      <wp:effectExtent l="0" t="0" r="0" b="0"/>
                      <wp:wrapNone/>
                      <wp:docPr id="1" name="文本框 295"/>
                      <wp:cNvGraphicFramePr/>
                      <a:graphic xmlns:a="http://schemas.openxmlformats.org/drawingml/2006/main">
                        <a:graphicData uri="http://schemas.microsoft.com/office/word/2010/wordprocessingShape">
                          <wps:wsp>
                            <wps:cNvSpPr txBox="1"/>
                            <wps:spPr>
                              <a:xfrm>
                                <a:off x="0" y="0"/>
                                <a:ext cx="2215515" cy="336550"/>
                              </a:xfrm>
                              <a:prstGeom prst="rect">
                                <a:avLst/>
                              </a:prstGeom>
                              <a:noFill/>
                              <a:ln>
                                <a:noFill/>
                              </a:ln>
                            </wps:spPr>
                            <wps:txbx>
                              <w:txbxContent>
                                <w:p w14:paraId="595FD959">
                                  <w:pPr>
                                    <w:rPr>
                                      <w:color w:val="FF0000"/>
                                    </w:rPr>
                                  </w:pPr>
                                  <w:r>
                                    <w:rPr>
                                      <w:rFonts w:hint="eastAsia"/>
                                      <w:color w:val="FF0000"/>
                                    </w:rPr>
                                    <w:t>防城港市垒石建材科技有限公司</w:t>
                                  </w:r>
                                </w:p>
                              </w:txbxContent>
                            </wps:txbx>
                            <wps:bodyPr wrap="square" upright="1"/>
                          </wps:wsp>
                        </a:graphicData>
                      </a:graphic>
                    </wp:anchor>
                  </w:drawing>
                </mc:Choice>
                <mc:Fallback>
                  <w:pict>
                    <v:shape id="文本框 295" o:spid="_x0000_s1026" o:spt="202" type="#_x0000_t202" style="position:absolute;left:0pt;margin-left:52.9pt;margin-top:54.85pt;height:26.5pt;width:174.45pt;z-index:251661312;mso-width-relative:page;mso-height-relative:page;" filled="f" stroked="f" coordsize="21600,21600" o:gfxdata="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PtyC1wAAAAsBAAAPAAAAAAAAAAEAIAAAACIAAABkcnMvZG93bnJldi54bWxQSwECFAAU&#10;AAAACACHTuJAZJLAwrkBAABeAwAADgAAAAAAAAABACAAAAAmAQAAZHJzL2Uyb0RvYy54bWxQSwUG&#10;AAAAAAYABgBZAQAAUQUAAAAA&#10;">
                      <v:fill on="f" focussize="0,0"/>
                      <v:stroke on="f"/>
                      <v:imagedata o:title=""/>
                      <o:lock v:ext="edit" aspectratio="f"/>
                      <v:textbox>
                        <w:txbxContent>
                          <w:p w14:paraId="595FD959">
                            <w:pPr>
                              <w:rPr>
                                <w:color w:val="FF0000"/>
                              </w:rPr>
                            </w:pPr>
                            <w:r>
                              <w:rPr>
                                <w:rFonts w:hint="eastAsia"/>
                                <w:color w:val="FF0000"/>
                              </w:rPr>
                              <w:t>防城港市垒石建材科技有限公司</w:t>
                            </w:r>
                          </w:p>
                        </w:txbxContent>
                      </v:textbox>
                    </v:shape>
                  </w:pict>
                </mc:Fallback>
              </mc:AlternateContent>
            </w:r>
            <w:r>
              <w:rPr>
                <w:rFonts w:hAnsi="Calibri" w:eastAsia="宋体" w:cs="Times New Roman"/>
                <w:color w:val="auto"/>
              </w:rPr>
              <w:drawing>
                <wp:inline distT="0" distB="0" distL="114300" distR="114300">
                  <wp:extent cx="635" cy="0"/>
                  <wp:effectExtent l="0" t="0" r="0" b="0"/>
                  <wp:docPr id="3" name="图片 24" descr="西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西面"/>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rPr>
                <w:rFonts w:hint="eastAsia" w:hAnsi="Calibri" w:eastAsia="宋体" w:cs="Times New Roman"/>
                <w:color w:val="auto"/>
              </w:rPr>
              <w:drawing>
                <wp:inline distT="0" distB="0" distL="114300" distR="114300">
                  <wp:extent cx="2705100" cy="2028825"/>
                  <wp:effectExtent l="0" t="0" r="0" b="9525"/>
                  <wp:docPr id="4" name="图片 34"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descr="西"/>
                          <pic:cNvPicPr>
                            <a:picLocks noChangeAspect="1"/>
                          </pic:cNvPicPr>
                        </pic:nvPicPr>
                        <pic:blipFill>
                          <a:blip r:embed="rId12"/>
                          <a:stretch>
                            <a:fillRect/>
                          </a:stretch>
                        </pic:blipFill>
                        <pic:spPr>
                          <a:xfrm>
                            <a:off x="0" y="0"/>
                            <a:ext cx="2705100" cy="2028825"/>
                          </a:xfrm>
                          <a:prstGeom prst="rect">
                            <a:avLst/>
                          </a:prstGeom>
                          <a:noFill/>
                          <a:ln>
                            <a:noFill/>
                          </a:ln>
                        </pic:spPr>
                      </pic:pic>
                    </a:graphicData>
                  </a:graphic>
                </wp:inline>
              </w:drawing>
            </w:r>
          </w:p>
          <w:p w14:paraId="49139B1A">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sz w:val="24"/>
              </w:rPr>
              <w:t>西面山林地、防城港市垒石建材科技有限公司</w:t>
            </w:r>
          </w:p>
        </w:tc>
      </w:tr>
      <w:tr w14:paraId="6B8A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1" w:hRule="atLeast"/>
        </w:trPr>
        <w:tc>
          <w:tcPr>
            <w:tcW w:w="4530" w:type="dxa"/>
            <w:noWrap w:val="0"/>
            <w:vAlign w:val="top"/>
          </w:tcPr>
          <w:p w14:paraId="45A18B48">
            <w:pPr>
              <w:pStyle w:val="14"/>
              <w:keepNext w:val="0"/>
              <w:keepLines w:val="0"/>
              <w:suppressLineNumbers w:val="0"/>
              <w:spacing w:before="0" w:beforeAutospacing="0" w:after="0" w:afterAutospacing="0" w:line="240" w:lineRule="auto"/>
              <w:ind w:left="0" w:right="0" w:firstLine="0"/>
              <w:jc w:val="center"/>
              <w:rPr>
                <w:rFonts w:hint="eastAsia" w:hAnsi="Calibri" w:eastAsia="宋体" w:cs="Times New Roman"/>
                <w:color w:val="auto"/>
              </w:rPr>
            </w:pPr>
            <w:r>
              <w:rPr>
                <w:rFonts w:hint="eastAsia" w:hAnsi="Calibri" w:eastAsia="宋体" w:cs="Times New Roman"/>
                <w:color w:val="auto"/>
              </w:rPr>
              <w:drawing>
                <wp:inline distT="0" distB="0" distL="114300" distR="114300">
                  <wp:extent cx="2705100" cy="2028825"/>
                  <wp:effectExtent l="0" t="0" r="0" b="9525"/>
                  <wp:docPr id="5" name="图片 35"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北"/>
                          <pic:cNvPicPr>
                            <a:picLocks noChangeAspect="1"/>
                          </pic:cNvPicPr>
                        </pic:nvPicPr>
                        <pic:blipFill>
                          <a:blip r:embed="rId13"/>
                          <a:stretch>
                            <a:fillRect/>
                          </a:stretch>
                        </pic:blipFill>
                        <pic:spPr>
                          <a:xfrm>
                            <a:off x="0" y="0"/>
                            <a:ext cx="2705100" cy="2028825"/>
                          </a:xfrm>
                          <a:prstGeom prst="rect">
                            <a:avLst/>
                          </a:prstGeom>
                          <a:noFill/>
                          <a:ln>
                            <a:noFill/>
                          </a:ln>
                        </pic:spPr>
                      </pic:pic>
                    </a:graphicData>
                  </a:graphic>
                </wp:inline>
              </w:drawing>
            </w:r>
          </w:p>
          <w:p w14:paraId="27ABC922">
            <w:pPr>
              <w:keepNext w:val="0"/>
              <w:keepLines w:val="0"/>
              <w:suppressLineNumbers w:val="0"/>
              <w:spacing w:before="0" w:beforeAutospacing="0" w:after="0" w:afterAutospacing="0"/>
              <w:ind w:left="0" w:right="0"/>
              <w:jc w:val="center"/>
              <w:rPr>
                <w:rFonts w:hint="eastAsia" w:ascii="Calibri" w:hAnsi="Calibri" w:eastAsia="宋体" w:cs="Times New Roman"/>
                <w:color w:val="auto"/>
                <w:sz w:val="24"/>
              </w:rPr>
            </w:pPr>
            <w:r>
              <w:rPr>
                <w:rFonts w:hint="eastAsia" w:ascii="Calibri" w:hAnsi="Calibri" w:eastAsia="宋体" w:cs="Times New Roman"/>
                <w:color w:val="auto"/>
                <w:sz w:val="24"/>
              </w:rPr>
              <w:t>北面山林地</w:t>
            </w:r>
          </w:p>
        </w:tc>
        <w:tc>
          <w:tcPr>
            <w:tcW w:w="4530" w:type="dxa"/>
            <w:noWrap w:val="0"/>
            <w:vAlign w:val="top"/>
          </w:tcPr>
          <w:p w14:paraId="6B14995F">
            <w:pPr>
              <w:pStyle w:val="14"/>
              <w:keepNext w:val="0"/>
              <w:keepLines w:val="0"/>
              <w:suppressLineNumbers w:val="0"/>
              <w:spacing w:before="0" w:beforeAutospacing="0" w:after="0" w:afterAutospacing="0" w:line="240" w:lineRule="auto"/>
              <w:ind w:left="0" w:right="0" w:firstLine="0"/>
              <w:jc w:val="center"/>
              <w:rPr>
                <w:rFonts w:hint="eastAsia" w:hAnsi="Calibri" w:eastAsia="宋体" w:cs="Times New Roman"/>
                <w:color w:val="auto"/>
              </w:rPr>
            </w:pPr>
            <w:r>
              <w:rPr>
                <w:rFonts w:hint="eastAsia" w:hAnsi="Calibri" w:eastAsia="宋体" w:cs="Times New Roman"/>
                <w:color w:val="auto"/>
              </w:rPr>
              <w:drawing>
                <wp:inline distT="0" distB="0" distL="114300" distR="114300">
                  <wp:extent cx="2705100" cy="2028825"/>
                  <wp:effectExtent l="0" t="0" r="0" b="9525"/>
                  <wp:docPr id="6" name="图片 36"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东"/>
                          <pic:cNvPicPr>
                            <a:picLocks noChangeAspect="1"/>
                          </pic:cNvPicPr>
                        </pic:nvPicPr>
                        <pic:blipFill>
                          <a:blip r:embed="rId14"/>
                          <a:stretch>
                            <a:fillRect/>
                          </a:stretch>
                        </pic:blipFill>
                        <pic:spPr>
                          <a:xfrm>
                            <a:off x="0" y="0"/>
                            <a:ext cx="2705100" cy="2028825"/>
                          </a:xfrm>
                          <a:prstGeom prst="rect">
                            <a:avLst/>
                          </a:prstGeom>
                          <a:noFill/>
                          <a:ln>
                            <a:noFill/>
                          </a:ln>
                        </pic:spPr>
                      </pic:pic>
                    </a:graphicData>
                  </a:graphic>
                </wp:inline>
              </w:drawing>
            </w:r>
          </w:p>
          <w:p w14:paraId="07C0A382">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Times New Roman" w:hAnsi="Times New Roman" w:eastAsia="宋体" w:cs="Times New Roman"/>
                <w:color w:val="auto"/>
                <w:sz w:val="24"/>
              </w:rPr>
              <w:t>东面山林地</w:t>
            </w:r>
          </w:p>
        </w:tc>
      </w:tr>
      <w:tr w14:paraId="726A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9" w:hRule="atLeast"/>
        </w:trPr>
        <w:tc>
          <w:tcPr>
            <w:tcW w:w="9060" w:type="dxa"/>
            <w:gridSpan w:val="2"/>
            <w:noWrap w:val="0"/>
            <w:vAlign w:val="top"/>
          </w:tcPr>
          <w:p w14:paraId="06AB229E">
            <w:pPr>
              <w:pStyle w:val="14"/>
              <w:keepNext w:val="0"/>
              <w:keepLines w:val="0"/>
              <w:suppressLineNumbers w:val="0"/>
              <w:spacing w:before="0" w:beforeAutospacing="0" w:after="0" w:afterAutospacing="0" w:line="240" w:lineRule="auto"/>
              <w:ind w:left="0" w:right="0" w:firstLine="0"/>
              <w:jc w:val="center"/>
              <w:rPr>
                <w:rFonts w:hint="eastAsia" w:hAnsi="Calibri" w:eastAsia="宋体" w:cs="Times New Roman"/>
                <w:color w:val="auto"/>
              </w:rPr>
            </w:pPr>
            <w:r>
              <w:rPr>
                <w:rFonts w:hint="eastAsia" w:hAnsi="Calibri" w:eastAsia="宋体" w:cs="Times New Roman"/>
                <w:color w:val="auto"/>
              </w:rPr>
              <w:drawing>
                <wp:inline distT="0" distB="0" distL="114300" distR="114300">
                  <wp:extent cx="2705100" cy="2028825"/>
                  <wp:effectExtent l="0" t="0" r="0" b="9525"/>
                  <wp:docPr id="7" name="图片 33" descr="现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现状1"/>
                          <pic:cNvPicPr>
                            <a:picLocks noChangeAspect="1"/>
                          </pic:cNvPicPr>
                        </pic:nvPicPr>
                        <pic:blipFill>
                          <a:blip r:embed="rId15"/>
                          <a:stretch>
                            <a:fillRect/>
                          </a:stretch>
                        </pic:blipFill>
                        <pic:spPr>
                          <a:xfrm>
                            <a:off x="0" y="0"/>
                            <a:ext cx="2705100" cy="2028825"/>
                          </a:xfrm>
                          <a:prstGeom prst="rect">
                            <a:avLst/>
                          </a:prstGeom>
                          <a:noFill/>
                          <a:ln>
                            <a:noFill/>
                          </a:ln>
                        </pic:spPr>
                      </pic:pic>
                    </a:graphicData>
                  </a:graphic>
                </wp:inline>
              </w:drawing>
            </w:r>
          </w:p>
          <w:p w14:paraId="16C5D33A">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sz w:val="24"/>
              </w:rPr>
              <w:t>项目现状</w:t>
            </w:r>
          </w:p>
        </w:tc>
      </w:tr>
    </w:tbl>
    <w:p w14:paraId="084F2D71">
      <w:pPr>
        <w:adjustRightInd w:val="0"/>
        <w:snapToGrid w:val="0"/>
        <w:spacing w:line="440" w:lineRule="exact"/>
        <w:jc w:val="center"/>
        <w:rPr>
          <w:color w:val="auto"/>
          <w:sz w:val="44"/>
          <w:szCs w:val="44"/>
        </w:rPr>
      </w:pPr>
    </w:p>
    <w:p w14:paraId="1FF34495">
      <w:pPr>
        <w:adjustRightInd w:val="0"/>
        <w:snapToGrid w:val="0"/>
        <w:spacing w:line="440" w:lineRule="exact"/>
        <w:jc w:val="center"/>
        <w:rPr>
          <w:rFonts w:hint="eastAsia"/>
          <w:b/>
          <w:bCs/>
          <w:color w:val="auto"/>
          <w:sz w:val="30"/>
          <w:szCs w:val="30"/>
        </w:rPr>
      </w:pPr>
      <w:r>
        <w:rPr>
          <w:rFonts w:hint="eastAsia"/>
          <w:b/>
          <w:bCs/>
          <w:color w:val="auto"/>
          <w:sz w:val="30"/>
          <w:szCs w:val="30"/>
        </w:rPr>
        <w:t>项目现状照片</w:t>
      </w:r>
    </w:p>
    <w:p w14:paraId="506DA0C9">
      <w:pPr>
        <w:adjustRightInd w:val="0"/>
        <w:snapToGrid w:val="0"/>
        <w:spacing w:line="440" w:lineRule="exact"/>
        <w:jc w:val="center"/>
        <w:rPr>
          <w:color w:val="auto"/>
          <w:sz w:val="44"/>
          <w:szCs w:val="44"/>
        </w:rPr>
      </w:pPr>
    </w:p>
    <w:p w14:paraId="25C4F8DD">
      <w:pPr>
        <w:adjustRightInd w:val="0"/>
        <w:snapToGrid w:val="0"/>
        <w:spacing w:line="440" w:lineRule="exact"/>
        <w:jc w:val="center"/>
        <w:rPr>
          <w:color w:val="auto"/>
          <w:sz w:val="44"/>
          <w:szCs w:val="44"/>
        </w:rPr>
      </w:pPr>
    </w:p>
    <w:p w14:paraId="6CCDE0A1">
      <w:pPr>
        <w:adjustRightInd w:val="0"/>
        <w:snapToGrid w:val="0"/>
        <w:spacing w:line="440" w:lineRule="exact"/>
        <w:jc w:val="center"/>
        <w:rPr>
          <w:color w:val="auto"/>
          <w:sz w:val="44"/>
          <w:szCs w:val="44"/>
        </w:rPr>
      </w:pPr>
    </w:p>
    <w:p w14:paraId="15CFC4E4">
      <w:pPr>
        <w:adjustRightInd w:val="0"/>
        <w:snapToGrid w:val="0"/>
        <w:spacing w:line="440" w:lineRule="exact"/>
        <w:jc w:val="center"/>
        <w:rPr>
          <w:color w:val="auto"/>
          <w:sz w:val="44"/>
          <w:szCs w:val="44"/>
        </w:rPr>
      </w:pPr>
    </w:p>
    <w:p w14:paraId="14801907">
      <w:pPr>
        <w:adjustRightInd w:val="0"/>
        <w:snapToGrid w:val="0"/>
        <w:spacing w:line="440" w:lineRule="exact"/>
        <w:jc w:val="center"/>
        <w:rPr>
          <w:color w:val="auto"/>
          <w:sz w:val="44"/>
          <w:szCs w:val="44"/>
        </w:rPr>
      </w:pPr>
    </w:p>
    <w:p w14:paraId="38F144AF">
      <w:pPr>
        <w:adjustRightInd w:val="0"/>
        <w:snapToGrid w:val="0"/>
        <w:spacing w:line="440" w:lineRule="exact"/>
        <w:jc w:val="center"/>
        <w:rPr>
          <w:color w:val="auto"/>
          <w:sz w:val="44"/>
          <w:szCs w:val="44"/>
        </w:rPr>
      </w:pPr>
    </w:p>
    <w:p w14:paraId="2486D234">
      <w:pPr>
        <w:adjustRightInd w:val="0"/>
        <w:snapToGrid w:val="0"/>
        <w:spacing w:line="440" w:lineRule="exact"/>
        <w:jc w:val="center"/>
        <w:rPr>
          <w:color w:val="auto"/>
          <w:sz w:val="44"/>
          <w:szCs w:val="44"/>
        </w:rPr>
      </w:pPr>
      <w:r>
        <w:rPr>
          <w:color w:val="auto"/>
          <w:sz w:val="44"/>
          <w:szCs w:val="44"/>
        </w:rPr>
        <w:t>目   录</w:t>
      </w:r>
    </w:p>
    <w:p w14:paraId="716D889F">
      <w:pPr>
        <w:pStyle w:val="84"/>
        <w:tabs>
          <w:tab w:val="right" w:leader="dot" w:pos="8844"/>
        </w:tabs>
        <w:adjustRightInd w:val="0"/>
        <w:snapToGrid w:val="0"/>
        <w:spacing w:line="440" w:lineRule="exact"/>
        <w:rPr>
          <w:color w:val="auto"/>
          <w:sz w:val="24"/>
          <w:szCs w:val="24"/>
        </w:rPr>
      </w:pPr>
      <w:r>
        <w:rPr>
          <w:color w:val="auto"/>
          <w:sz w:val="24"/>
          <w:szCs w:val="24"/>
        </w:rPr>
        <w:fldChar w:fldCharType="begin"/>
      </w:r>
      <w:r>
        <w:rPr>
          <w:color w:val="auto"/>
          <w:sz w:val="24"/>
          <w:szCs w:val="24"/>
        </w:rPr>
        <w:instrText xml:space="preserve">TOC \o "1-1" \h \u </w:instrText>
      </w:r>
      <w:r>
        <w:rPr>
          <w:color w:val="auto"/>
          <w:sz w:val="24"/>
          <w:szCs w:val="24"/>
        </w:rPr>
        <w:fldChar w:fldCharType="separate"/>
      </w:r>
    </w:p>
    <w:p w14:paraId="132B0A8E">
      <w:pPr>
        <w:pStyle w:val="84"/>
        <w:tabs>
          <w:tab w:val="right" w:leader="dot" w:pos="8844"/>
        </w:tabs>
        <w:adjustRightInd w:val="0"/>
        <w:snapToGrid w:val="0"/>
        <w:spacing w:line="440" w:lineRule="exact"/>
        <w:rPr>
          <w:color w:val="auto"/>
          <w:sz w:val="24"/>
          <w:szCs w:val="24"/>
        </w:rPr>
      </w:pPr>
      <w:r>
        <w:rPr>
          <w:color w:val="auto"/>
          <w:sz w:val="24"/>
          <w:szCs w:val="24"/>
        </w:rPr>
        <w:fldChar w:fldCharType="begin"/>
      </w:r>
      <w:r>
        <w:rPr>
          <w:color w:val="auto"/>
          <w:sz w:val="24"/>
          <w:szCs w:val="24"/>
        </w:rPr>
        <w:instrText xml:space="preserve"> HYPERLINK \l _Toc32395 </w:instrText>
      </w:r>
      <w:r>
        <w:rPr>
          <w:color w:val="auto"/>
          <w:sz w:val="24"/>
          <w:szCs w:val="24"/>
        </w:rPr>
        <w:fldChar w:fldCharType="separate"/>
      </w:r>
      <w:r>
        <w:rPr>
          <w:snapToGrid w:val="0"/>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_Toc32395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0A3A918D">
      <w:pPr>
        <w:pStyle w:val="84"/>
        <w:tabs>
          <w:tab w:val="right" w:leader="dot" w:pos="8844"/>
        </w:tabs>
        <w:adjustRightInd w:val="0"/>
        <w:snapToGrid w:val="0"/>
        <w:spacing w:line="440" w:lineRule="exact"/>
        <w:rPr>
          <w:color w:val="auto"/>
          <w:sz w:val="24"/>
          <w:szCs w:val="24"/>
        </w:rPr>
      </w:pPr>
      <w:r>
        <w:rPr>
          <w:color w:val="auto"/>
          <w:sz w:val="24"/>
          <w:szCs w:val="24"/>
        </w:rPr>
        <w:fldChar w:fldCharType="begin"/>
      </w:r>
      <w:r>
        <w:rPr>
          <w:color w:val="auto"/>
          <w:sz w:val="24"/>
          <w:szCs w:val="24"/>
        </w:rPr>
        <w:instrText xml:space="preserve"> HYPERLINK \l _Toc10545 </w:instrText>
      </w:r>
      <w:r>
        <w:rPr>
          <w:color w:val="auto"/>
          <w:sz w:val="24"/>
          <w:szCs w:val="24"/>
        </w:rPr>
        <w:fldChar w:fldCharType="separate"/>
      </w:r>
      <w:r>
        <w:rPr>
          <w:snapToGrid w:val="0"/>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_Toc10545 \h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14:paraId="276EFF7C">
      <w:pPr>
        <w:pStyle w:val="84"/>
        <w:tabs>
          <w:tab w:val="right" w:leader="dot" w:pos="8844"/>
        </w:tabs>
        <w:adjustRightInd w:val="0"/>
        <w:snapToGrid w:val="0"/>
        <w:spacing w:line="440" w:lineRule="exact"/>
        <w:rPr>
          <w:color w:val="auto"/>
          <w:sz w:val="24"/>
          <w:szCs w:val="24"/>
        </w:rPr>
      </w:pPr>
      <w:r>
        <w:rPr>
          <w:color w:val="auto"/>
          <w:sz w:val="24"/>
          <w:szCs w:val="24"/>
        </w:rPr>
        <w:fldChar w:fldCharType="begin"/>
      </w:r>
      <w:r>
        <w:rPr>
          <w:color w:val="auto"/>
          <w:sz w:val="24"/>
          <w:szCs w:val="24"/>
        </w:rPr>
        <w:instrText xml:space="preserve"> HYPERLINK \l _Toc32575 </w:instrText>
      </w:r>
      <w:r>
        <w:rPr>
          <w:color w:val="auto"/>
          <w:sz w:val="24"/>
          <w:szCs w:val="24"/>
        </w:rPr>
        <w:fldChar w:fldCharType="separate"/>
      </w:r>
      <w:r>
        <w:rPr>
          <w:snapToGrid w:val="0"/>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_Toc32575 \h </w:instrText>
      </w:r>
      <w:r>
        <w:rPr>
          <w:color w:val="auto"/>
          <w:sz w:val="24"/>
          <w:szCs w:val="24"/>
        </w:rPr>
        <w:fldChar w:fldCharType="separate"/>
      </w:r>
      <w:r>
        <w:rPr>
          <w:color w:val="auto"/>
          <w:sz w:val="24"/>
          <w:szCs w:val="24"/>
        </w:rPr>
        <w:t>16</w:t>
      </w:r>
      <w:r>
        <w:rPr>
          <w:color w:val="auto"/>
          <w:sz w:val="24"/>
          <w:szCs w:val="24"/>
        </w:rPr>
        <w:fldChar w:fldCharType="end"/>
      </w:r>
      <w:r>
        <w:rPr>
          <w:color w:val="auto"/>
          <w:sz w:val="24"/>
          <w:szCs w:val="24"/>
        </w:rPr>
        <w:fldChar w:fldCharType="end"/>
      </w:r>
    </w:p>
    <w:p w14:paraId="15A854ED">
      <w:pPr>
        <w:pStyle w:val="84"/>
        <w:tabs>
          <w:tab w:val="right" w:leader="dot" w:pos="8844"/>
        </w:tabs>
        <w:adjustRightInd w:val="0"/>
        <w:snapToGrid w:val="0"/>
        <w:spacing w:line="440" w:lineRule="exact"/>
        <w:rPr>
          <w:color w:val="auto"/>
          <w:sz w:val="24"/>
          <w:szCs w:val="24"/>
        </w:rPr>
      </w:pPr>
      <w:r>
        <w:rPr>
          <w:color w:val="auto"/>
          <w:sz w:val="24"/>
          <w:szCs w:val="24"/>
        </w:rPr>
        <w:fldChar w:fldCharType="begin"/>
      </w:r>
      <w:r>
        <w:rPr>
          <w:color w:val="auto"/>
          <w:sz w:val="24"/>
          <w:szCs w:val="24"/>
        </w:rPr>
        <w:instrText xml:space="preserve"> HYPERLINK \l _Toc17406 </w:instrText>
      </w:r>
      <w:r>
        <w:rPr>
          <w:color w:val="auto"/>
          <w:sz w:val="24"/>
          <w:szCs w:val="24"/>
        </w:rPr>
        <w:fldChar w:fldCharType="separate"/>
      </w:r>
      <w:r>
        <w:rPr>
          <w:snapToGrid w:val="0"/>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_Toc17406 \h </w:instrText>
      </w:r>
      <w:r>
        <w:rPr>
          <w:color w:val="auto"/>
          <w:sz w:val="24"/>
          <w:szCs w:val="24"/>
        </w:rPr>
        <w:fldChar w:fldCharType="separate"/>
      </w:r>
      <w:r>
        <w:rPr>
          <w:color w:val="auto"/>
          <w:sz w:val="24"/>
          <w:szCs w:val="24"/>
        </w:rPr>
        <w:t>21</w:t>
      </w:r>
      <w:r>
        <w:rPr>
          <w:color w:val="auto"/>
          <w:sz w:val="24"/>
          <w:szCs w:val="24"/>
        </w:rPr>
        <w:fldChar w:fldCharType="end"/>
      </w:r>
      <w:r>
        <w:rPr>
          <w:color w:val="auto"/>
          <w:sz w:val="24"/>
          <w:szCs w:val="24"/>
        </w:rPr>
        <w:fldChar w:fldCharType="end"/>
      </w:r>
    </w:p>
    <w:p w14:paraId="27E0FD61">
      <w:pPr>
        <w:pStyle w:val="84"/>
        <w:tabs>
          <w:tab w:val="right" w:leader="dot" w:pos="8844"/>
        </w:tabs>
        <w:adjustRightInd w:val="0"/>
        <w:snapToGrid w:val="0"/>
        <w:spacing w:line="440" w:lineRule="exact"/>
        <w:rPr>
          <w:color w:val="auto"/>
          <w:sz w:val="24"/>
          <w:szCs w:val="24"/>
        </w:rPr>
      </w:pPr>
      <w:r>
        <w:rPr>
          <w:color w:val="auto"/>
          <w:sz w:val="24"/>
          <w:szCs w:val="24"/>
        </w:rPr>
        <w:fldChar w:fldCharType="begin"/>
      </w:r>
      <w:r>
        <w:rPr>
          <w:color w:val="auto"/>
          <w:sz w:val="24"/>
          <w:szCs w:val="24"/>
        </w:rPr>
        <w:instrText xml:space="preserve"> HYPERLINK \l _Toc15125 </w:instrText>
      </w:r>
      <w:r>
        <w:rPr>
          <w:color w:val="auto"/>
          <w:sz w:val="24"/>
          <w:szCs w:val="24"/>
        </w:rPr>
        <w:fldChar w:fldCharType="separate"/>
      </w:r>
      <w:r>
        <w:rPr>
          <w:snapToGrid w:val="0"/>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_Toc15125 \h </w:instrText>
      </w:r>
      <w:r>
        <w:rPr>
          <w:color w:val="auto"/>
          <w:sz w:val="24"/>
          <w:szCs w:val="24"/>
        </w:rPr>
        <w:fldChar w:fldCharType="separate"/>
      </w:r>
      <w:r>
        <w:rPr>
          <w:color w:val="auto"/>
          <w:sz w:val="24"/>
          <w:szCs w:val="24"/>
        </w:rPr>
        <w:t>39</w:t>
      </w:r>
      <w:r>
        <w:rPr>
          <w:color w:val="auto"/>
          <w:sz w:val="24"/>
          <w:szCs w:val="24"/>
        </w:rPr>
        <w:fldChar w:fldCharType="end"/>
      </w:r>
      <w:r>
        <w:rPr>
          <w:color w:val="auto"/>
          <w:sz w:val="24"/>
          <w:szCs w:val="24"/>
        </w:rPr>
        <w:fldChar w:fldCharType="end"/>
      </w:r>
    </w:p>
    <w:p w14:paraId="78958B2D">
      <w:pPr>
        <w:pStyle w:val="84"/>
        <w:tabs>
          <w:tab w:val="right" w:leader="dot" w:pos="8844"/>
        </w:tabs>
        <w:adjustRightInd w:val="0"/>
        <w:snapToGrid w:val="0"/>
        <w:spacing w:line="440" w:lineRule="exact"/>
        <w:rPr>
          <w:color w:val="auto"/>
          <w:sz w:val="24"/>
          <w:szCs w:val="24"/>
        </w:rPr>
      </w:pPr>
      <w:r>
        <w:rPr>
          <w:color w:val="auto"/>
          <w:sz w:val="24"/>
          <w:szCs w:val="24"/>
        </w:rPr>
        <w:fldChar w:fldCharType="begin"/>
      </w:r>
      <w:r>
        <w:rPr>
          <w:color w:val="auto"/>
          <w:sz w:val="24"/>
          <w:szCs w:val="24"/>
        </w:rPr>
        <w:instrText xml:space="preserve"> HYPERLINK \l _Toc2842 </w:instrText>
      </w:r>
      <w:r>
        <w:rPr>
          <w:color w:val="auto"/>
          <w:sz w:val="24"/>
          <w:szCs w:val="24"/>
        </w:rPr>
        <w:fldChar w:fldCharType="separate"/>
      </w:r>
      <w:r>
        <w:rPr>
          <w:snapToGrid w:val="0"/>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_Toc2842 \h </w:instrText>
      </w:r>
      <w:r>
        <w:rPr>
          <w:color w:val="auto"/>
          <w:sz w:val="24"/>
          <w:szCs w:val="24"/>
        </w:rPr>
        <w:fldChar w:fldCharType="separate"/>
      </w:r>
      <w:r>
        <w:rPr>
          <w:color w:val="auto"/>
          <w:sz w:val="24"/>
          <w:szCs w:val="24"/>
        </w:rPr>
        <w:t>40</w:t>
      </w:r>
      <w:r>
        <w:rPr>
          <w:color w:val="auto"/>
          <w:sz w:val="24"/>
          <w:szCs w:val="24"/>
        </w:rPr>
        <w:fldChar w:fldCharType="end"/>
      </w:r>
      <w:r>
        <w:rPr>
          <w:color w:val="auto"/>
          <w:sz w:val="24"/>
          <w:szCs w:val="24"/>
        </w:rPr>
        <w:fldChar w:fldCharType="end"/>
      </w:r>
    </w:p>
    <w:p w14:paraId="4DCAB559">
      <w:pPr>
        <w:pStyle w:val="14"/>
        <w:adjustRightInd w:val="0"/>
        <w:snapToGrid w:val="0"/>
        <w:spacing w:line="440" w:lineRule="exact"/>
        <w:ind w:firstLine="0"/>
        <w:rPr>
          <w:rFonts w:ascii="Times New Roman"/>
          <w:color w:val="auto"/>
        </w:rPr>
      </w:pPr>
      <w:r>
        <w:rPr>
          <w:rFonts w:ascii="Times New Roman"/>
          <w:color w:val="auto"/>
        </w:rPr>
        <w:fldChar w:fldCharType="end"/>
      </w:r>
      <w:bookmarkStart w:id="2" w:name="_Toc15867"/>
    </w:p>
    <w:p w14:paraId="44A73891">
      <w:pPr>
        <w:pStyle w:val="14"/>
        <w:adjustRightInd w:val="0"/>
        <w:snapToGrid w:val="0"/>
        <w:spacing w:line="440" w:lineRule="exact"/>
        <w:ind w:firstLine="0"/>
        <w:rPr>
          <w:rFonts w:hint="eastAsia" w:ascii="Times New Roman"/>
          <w:b/>
          <w:color w:val="auto"/>
          <w:lang w:val="en-US" w:eastAsia="zh-CN"/>
        </w:rPr>
      </w:pPr>
      <w:r>
        <w:rPr>
          <w:rFonts w:hint="eastAsia" w:ascii="Times New Roman"/>
          <w:b/>
          <w:color w:val="auto"/>
          <w:lang w:val="en-US" w:eastAsia="zh-CN"/>
        </w:rPr>
        <w:t>附表</w:t>
      </w:r>
    </w:p>
    <w:p w14:paraId="7259C5C2">
      <w:pPr>
        <w:adjustRightInd w:val="0"/>
        <w:snapToGrid w:val="0"/>
        <w:spacing w:line="440" w:lineRule="exact"/>
        <w:rPr>
          <w:rFonts w:hint="eastAsia"/>
          <w:color w:val="auto"/>
          <w:sz w:val="24"/>
        </w:rPr>
      </w:pPr>
      <w:r>
        <w:rPr>
          <w:rFonts w:hint="eastAsia"/>
          <w:color w:val="auto"/>
          <w:sz w:val="24"/>
        </w:rPr>
        <w:t>建设项目污染物排放量汇总表</w:t>
      </w:r>
    </w:p>
    <w:p w14:paraId="7D2104A6">
      <w:pPr>
        <w:rPr>
          <w:rFonts w:ascii="Times New Roman"/>
          <w:color w:val="auto"/>
        </w:rPr>
      </w:pPr>
    </w:p>
    <w:p w14:paraId="7B0E6DCD">
      <w:pPr>
        <w:pStyle w:val="14"/>
        <w:adjustRightInd w:val="0"/>
        <w:snapToGrid w:val="0"/>
        <w:spacing w:line="440" w:lineRule="exact"/>
        <w:ind w:firstLine="0"/>
        <w:rPr>
          <w:rFonts w:ascii="Times New Roman"/>
          <w:b/>
          <w:color w:val="auto"/>
        </w:rPr>
      </w:pPr>
      <w:r>
        <w:rPr>
          <w:rFonts w:ascii="Times New Roman"/>
          <w:b/>
          <w:color w:val="auto"/>
        </w:rPr>
        <w:t>附图：</w:t>
      </w:r>
      <w:bookmarkEnd w:id="2"/>
    </w:p>
    <w:p w14:paraId="52879E97">
      <w:pPr>
        <w:adjustRightInd w:val="0"/>
        <w:snapToGrid w:val="0"/>
        <w:spacing w:line="440" w:lineRule="exact"/>
        <w:rPr>
          <w:color w:val="auto"/>
          <w:sz w:val="24"/>
        </w:rPr>
      </w:pPr>
      <w:bookmarkStart w:id="3" w:name="_Toc11696"/>
      <w:r>
        <w:rPr>
          <w:color w:val="auto"/>
          <w:sz w:val="24"/>
        </w:rPr>
        <w:t>附图1  项目地理位置图</w:t>
      </w:r>
      <w:bookmarkEnd w:id="3"/>
    </w:p>
    <w:p w14:paraId="53162397">
      <w:pPr>
        <w:adjustRightInd w:val="0"/>
        <w:snapToGrid w:val="0"/>
        <w:spacing w:line="440" w:lineRule="exact"/>
        <w:rPr>
          <w:color w:val="auto"/>
          <w:sz w:val="24"/>
        </w:rPr>
      </w:pPr>
      <w:bookmarkStart w:id="4" w:name="_Toc18272"/>
      <w:r>
        <w:rPr>
          <w:color w:val="auto"/>
          <w:sz w:val="24"/>
        </w:rPr>
        <w:t>附图2  项目总平面布置图</w:t>
      </w:r>
      <w:bookmarkEnd w:id="4"/>
    </w:p>
    <w:p w14:paraId="2A0C8C9E">
      <w:pPr>
        <w:adjustRightInd w:val="0"/>
        <w:snapToGrid w:val="0"/>
        <w:spacing w:line="440" w:lineRule="exact"/>
        <w:rPr>
          <w:color w:val="auto"/>
          <w:sz w:val="24"/>
        </w:rPr>
      </w:pPr>
      <w:bookmarkStart w:id="5" w:name="_Toc18647"/>
      <w:r>
        <w:rPr>
          <w:color w:val="auto"/>
          <w:sz w:val="24"/>
        </w:rPr>
        <w:t xml:space="preserve">附图3  </w:t>
      </w:r>
      <w:bookmarkEnd w:id="5"/>
      <w:r>
        <w:rPr>
          <w:rFonts w:hint="eastAsia"/>
          <w:color w:val="auto"/>
          <w:sz w:val="24"/>
        </w:rPr>
        <w:t>项目周边环境保护目标分布图</w:t>
      </w:r>
    </w:p>
    <w:p w14:paraId="1E2D1327">
      <w:pPr>
        <w:adjustRightInd w:val="0"/>
        <w:snapToGrid w:val="0"/>
        <w:spacing w:line="440" w:lineRule="exact"/>
        <w:rPr>
          <w:color w:val="auto"/>
          <w:sz w:val="24"/>
        </w:rPr>
      </w:pPr>
      <w:r>
        <w:rPr>
          <w:rFonts w:hint="eastAsia"/>
          <w:color w:val="auto"/>
          <w:sz w:val="24"/>
        </w:rPr>
        <w:t xml:space="preserve">附图4  </w:t>
      </w:r>
      <w:bookmarkStart w:id="6" w:name="_Toc31604"/>
      <w:r>
        <w:rPr>
          <w:rFonts w:hint="eastAsia"/>
          <w:color w:val="auto"/>
          <w:sz w:val="24"/>
        </w:rPr>
        <w:t>项目与防城港市生态环境分区管控动态更新成果（2023年）关系图</w:t>
      </w:r>
    </w:p>
    <w:p w14:paraId="0FAB0FA6">
      <w:pPr>
        <w:adjustRightInd w:val="0"/>
        <w:snapToGrid w:val="0"/>
        <w:spacing w:line="440" w:lineRule="exact"/>
        <w:rPr>
          <w:rFonts w:hint="eastAsia"/>
          <w:b/>
          <w:color w:val="auto"/>
          <w:sz w:val="24"/>
        </w:rPr>
      </w:pPr>
      <w:r>
        <w:rPr>
          <w:rFonts w:hint="eastAsia"/>
          <w:b/>
          <w:color w:val="auto"/>
          <w:sz w:val="24"/>
        </w:rPr>
        <w:t>附件：</w:t>
      </w:r>
      <w:bookmarkEnd w:id="6"/>
    </w:p>
    <w:p w14:paraId="765DF24A">
      <w:pPr>
        <w:adjustRightInd w:val="0"/>
        <w:snapToGrid w:val="0"/>
        <w:spacing w:line="440" w:lineRule="exact"/>
        <w:rPr>
          <w:rFonts w:hint="eastAsia"/>
          <w:bCs/>
          <w:color w:val="auto"/>
          <w:sz w:val="24"/>
        </w:rPr>
      </w:pPr>
      <w:bookmarkStart w:id="7" w:name="_Toc24710"/>
      <w:r>
        <w:rPr>
          <w:rFonts w:hint="eastAsia"/>
          <w:bCs/>
          <w:color w:val="auto"/>
          <w:sz w:val="24"/>
        </w:rPr>
        <w:t>附件1  委托书</w:t>
      </w:r>
      <w:bookmarkEnd w:id="7"/>
      <w:r>
        <w:rPr>
          <w:rFonts w:hint="eastAsia"/>
          <w:bCs/>
          <w:color w:val="auto"/>
          <w:sz w:val="24"/>
        </w:rPr>
        <w:tab/>
      </w:r>
    </w:p>
    <w:p w14:paraId="117C1B05">
      <w:pPr>
        <w:adjustRightInd w:val="0"/>
        <w:snapToGrid w:val="0"/>
        <w:spacing w:line="440" w:lineRule="exact"/>
        <w:rPr>
          <w:rFonts w:hint="eastAsia"/>
          <w:bCs/>
          <w:color w:val="auto"/>
          <w:sz w:val="24"/>
        </w:rPr>
      </w:pPr>
      <w:bookmarkStart w:id="8" w:name="_Toc17903"/>
      <w:r>
        <w:rPr>
          <w:rFonts w:hint="eastAsia"/>
          <w:bCs/>
          <w:color w:val="auto"/>
          <w:sz w:val="24"/>
        </w:rPr>
        <w:t xml:space="preserve">附件2  </w:t>
      </w:r>
      <w:bookmarkEnd w:id="8"/>
      <w:r>
        <w:rPr>
          <w:rFonts w:hint="eastAsia"/>
          <w:bCs/>
          <w:color w:val="auto"/>
          <w:sz w:val="24"/>
        </w:rPr>
        <w:t>营业执照</w:t>
      </w:r>
    </w:p>
    <w:p w14:paraId="226D1946">
      <w:pPr>
        <w:adjustRightInd w:val="0"/>
        <w:snapToGrid w:val="0"/>
        <w:spacing w:line="440" w:lineRule="exact"/>
        <w:rPr>
          <w:rFonts w:hint="eastAsia"/>
          <w:bCs/>
          <w:color w:val="auto"/>
          <w:sz w:val="24"/>
        </w:rPr>
      </w:pPr>
      <w:bookmarkStart w:id="9" w:name="_Toc15753"/>
      <w:r>
        <w:rPr>
          <w:rFonts w:hint="eastAsia"/>
          <w:bCs/>
          <w:color w:val="auto"/>
          <w:sz w:val="24"/>
        </w:rPr>
        <w:t xml:space="preserve">附件3  </w:t>
      </w:r>
      <w:bookmarkEnd w:id="9"/>
      <w:r>
        <w:rPr>
          <w:rFonts w:hint="eastAsia"/>
          <w:bCs/>
          <w:color w:val="auto"/>
          <w:sz w:val="24"/>
        </w:rPr>
        <w:t>项目备案</w:t>
      </w:r>
    </w:p>
    <w:p w14:paraId="1A98638A">
      <w:pPr>
        <w:adjustRightInd w:val="0"/>
        <w:snapToGrid w:val="0"/>
        <w:spacing w:line="440" w:lineRule="exact"/>
        <w:rPr>
          <w:rFonts w:hint="eastAsia"/>
          <w:bCs/>
          <w:color w:val="auto"/>
          <w:sz w:val="24"/>
        </w:rPr>
      </w:pPr>
      <w:bookmarkStart w:id="10" w:name="_Toc28199"/>
      <w:r>
        <w:rPr>
          <w:rFonts w:hint="eastAsia"/>
          <w:bCs/>
          <w:color w:val="auto"/>
          <w:sz w:val="24"/>
        </w:rPr>
        <w:t xml:space="preserve">附件4  </w:t>
      </w:r>
      <w:bookmarkEnd w:id="10"/>
      <w:r>
        <w:rPr>
          <w:rFonts w:hint="eastAsia"/>
          <w:bCs/>
          <w:color w:val="auto"/>
          <w:sz w:val="24"/>
        </w:rPr>
        <w:t>场地租赁协议</w:t>
      </w:r>
    </w:p>
    <w:p w14:paraId="5C139CED">
      <w:pPr>
        <w:tabs>
          <w:tab w:val="left" w:pos="5192"/>
        </w:tabs>
        <w:adjustRightInd w:val="0"/>
        <w:snapToGrid w:val="0"/>
        <w:spacing w:line="440" w:lineRule="exact"/>
        <w:rPr>
          <w:rStyle w:val="30"/>
          <w:caps/>
          <w:color w:val="auto"/>
          <w:sz w:val="24"/>
          <w:u w:val="none"/>
        </w:rPr>
        <w:sectPr>
          <w:headerReference r:id="rId5" w:type="default"/>
          <w:footerReference r:id="rId6" w:type="default"/>
          <w:pgSz w:w="11906" w:h="16838"/>
          <w:pgMar w:top="1701" w:right="1531" w:bottom="1701" w:left="1531" w:header="851" w:footer="1077" w:gutter="0"/>
          <w:pgNumType w:start="1"/>
          <w:cols w:space="720" w:num="1"/>
          <w:docGrid w:linePitch="312" w:charSpace="0"/>
        </w:sectPr>
      </w:pPr>
      <w:bookmarkStart w:id="11" w:name="_Toc8711"/>
      <w:bookmarkStart w:id="12" w:name="_Toc45553969"/>
      <w:bookmarkStart w:id="13" w:name="_Toc25321"/>
      <w:r>
        <w:rPr>
          <w:rStyle w:val="30"/>
          <w:rFonts w:hint="eastAsia"/>
          <w:caps/>
          <w:color w:val="auto"/>
          <w:sz w:val="24"/>
          <w:u w:val="none"/>
        </w:rPr>
        <w:t>附件5  项目研判初步结论</w:t>
      </w:r>
    </w:p>
    <w:bookmarkEnd w:id="11"/>
    <w:bookmarkEnd w:id="12"/>
    <w:bookmarkEnd w:id="13"/>
    <w:p w14:paraId="5A9827B2">
      <w:pPr>
        <w:pStyle w:val="22"/>
        <w:spacing w:before="0" w:beforeAutospacing="0" w:after="0" w:afterAutospacing="0" w:line="360" w:lineRule="auto"/>
        <w:jc w:val="center"/>
        <w:outlineLvl w:val="0"/>
        <w:rPr>
          <w:rFonts w:hint="eastAsia" w:ascii="黑体" w:hAnsi="黑体" w:eastAsia="黑体"/>
          <w:snapToGrid w:val="0"/>
          <w:color w:val="auto"/>
          <w:sz w:val="30"/>
          <w:szCs w:val="30"/>
        </w:rPr>
      </w:pPr>
      <w:bookmarkStart w:id="14" w:name="_Toc32395"/>
      <w:r>
        <w:rPr>
          <w:rFonts w:hint="eastAsia" w:ascii="黑体" w:hAnsi="黑体" w:eastAsia="黑体"/>
          <w:snapToGrid w:val="0"/>
          <w:color w:val="auto"/>
          <w:sz w:val="30"/>
          <w:szCs w:val="30"/>
        </w:rPr>
        <w:t>一、建设项目基本情况</w:t>
      </w:r>
      <w:bookmarkEnd w:id="14"/>
    </w:p>
    <w:tbl>
      <w:tblPr>
        <w:tblStyle w:val="26"/>
        <w:tblW w:w="90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56"/>
        <w:gridCol w:w="1863"/>
        <w:gridCol w:w="1859"/>
        <w:gridCol w:w="3142"/>
      </w:tblGrid>
      <w:tr w14:paraId="06B90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2156" w:type="dxa"/>
            <w:noWrap w:val="0"/>
            <w:tcMar>
              <w:top w:w="16" w:type="dxa"/>
              <w:left w:w="16" w:type="dxa"/>
              <w:right w:w="16" w:type="dxa"/>
            </w:tcMar>
            <w:vAlign w:val="center"/>
          </w:tcPr>
          <w:p w14:paraId="15C3D3B6">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建设项目名称</w:t>
            </w:r>
          </w:p>
        </w:tc>
        <w:tc>
          <w:tcPr>
            <w:tcW w:w="6864" w:type="dxa"/>
            <w:gridSpan w:val="3"/>
            <w:noWrap w:val="0"/>
            <w:vAlign w:val="center"/>
          </w:tcPr>
          <w:p w14:paraId="6E6ED97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lang w:eastAsia="zh-CN"/>
              </w:rPr>
            </w:pPr>
            <w:r>
              <w:rPr>
                <w:rFonts w:hint="eastAsia" w:cs="Times New Roman"/>
                <w:color w:val="auto"/>
                <w:sz w:val="24"/>
                <w:lang w:eastAsia="zh-CN"/>
              </w:rPr>
              <w:t>年加工3万吨废弃资源综合利用项目</w:t>
            </w:r>
          </w:p>
        </w:tc>
      </w:tr>
      <w:tr w14:paraId="5C992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3" w:hRule="atLeast"/>
          <w:jc w:val="center"/>
        </w:trPr>
        <w:tc>
          <w:tcPr>
            <w:tcW w:w="2156" w:type="dxa"/>
            <w:noWrap w:val="0"/>
            <w:tcMar>
              <w:top w:w="16" w:type="dxa"/>
              <w:left w:w="16" w:type="dxa"/>
              <w:right w:w="16" w:type="dxa"/>
            </w:tcMar>
            <w:vAlign w:val="center"/>
          </w:tcPr>
          <w:p w14:paraId="2409EDD0">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项目代码</w:t>
            </w:r>
          </w:p>
        </w:tc>
        <w:tc>
          <w:tcPr>
            <w:tcW w:w="6864" w:type="dxa"/>
            <w:gridSpan w:val="3"/>
            <w:noWrap w:val="0"/>
            <w:vAlign w:val="center"/>
          </w:tcPr>
          <w:p w14:paraId="2ABD7764">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2601-450603-04-05-296512</w:t>
            </w:r>
          </w:p>
        </w:tc>
      </w:tr>
      <w:tr w14:paraId="1FC82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9" w:hRule="atLeast"/>
          <w:jc w:val="center"/>
        </w:trPr>
        <w:tc>
          <w:tcPr>
            <w:tcW w:w="2156" w:type="dxa"/>
            <w:noWrap w:val="0"/>
            <w:tcMar>
              <w:top w:w="16" w:type="dxa"/>
              <w:left w:w="16" w:type="dxa"/>
              <w:right w:w="16" w:type="dxa"/>
            </w:tcMar>
            <w:vAlign w:val="center"/>
          </w:tcPr>
          <w:p w14:paraId="2FD6F8E8">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建设单位联系人</w:t>
            </w:r>
          </w:p>
        </w:tc>
        <w:tc>
          <w:tcPr>
            <w:tcW w:w="1863" w:type="dxa"/>
            <w:noWrap w:val="0"/>
            <w:vAlign w:val="center"/>
          </w:tcPr>
          <w:p w14:paraId="5857993B">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p>
        </w:tc>
        <w:tc>
          <w:tcPr>
            <w:tcW w:w="1859" w:type="dxa"/>
            <w:noWrap w:val="0"/>
            <w:vAlign w:val="center"/>
          </w:tcPr>
          <w:p w14:paraId="0B364B9D">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联系方式</w:t>
            </w:r>
          </w:p>
        </w:tc>
        <w:tc>
          <w:tcPr>
            <w:tcW w:w="3142" w:type="dxa"/>
            <w:noWrap w:val="0"/>
            <w:vAlign w:val="center"/>
          </w:tcPr>
          <w:p w14:paraId="2A192AAE">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p>
        </w:tc>
      </w:tr>
      <w:tr w14:paraId="6F233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9" w:hRule="atLeast"/>
          <w:jc w:val="center"/>
        </w:trPr>
        <w:tc>
          <w:tcPr>
            <w:tcW w:w="2156" w:type="dxa"/>
            <w:noWrap w:val="0"/>
            <w:tcMar>
              <w:top w:w="16" w:type="dxa"/>
              <w:left w:w="16" w:type="dxa"/>
              <w:right w:w="16" w:type="dxa"/>
            </w:tcMar>
            <w:vAlign w:val="center"/>
          </w:tcPr>
          <w:p w14:paraId="3AAB2BC5">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建设地点</w:t>
            </w:r>
          </w:p>
        </w:tc>
        <w:tc>
          <w:tcPr>
            <w:tcW w:w="6864" w:type="dxa"/>
            <w:gridSpan w:val="3"/>
            <w:noWrap w:val="0"/>
            <w:vAlign w:val="center"/>
          </w:tcPr>
          <w:p w14:paraId="0490984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广西壮族自治区防城港市防城区江山镇利竹坪村</w:t>
            </w:r>
          </w:p>
        </w:tc>
      </w:tr>
      <w:tr w14:paraId="5ED10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5" w:hRule="atLeast"/>
          <w:jc w:val="center"/>
        </w:trPr>
        <w:tc>
          <w:tcPr>
            <w:tcW w:w="2156" w:type="dxa"/>
            <w:noWrap w:val="0"/>
            <w:tcMar>
              <w:top w:w="16" w:type="dxa"/>
              <w:left w:w="16" w:type="dxa"/>
              <w:right w:w="16" w:type="dxa"/>
            </w:tcMar>
            <w:vAlign w:val="center"/>
          </w:tcPr>
          <w:p w14:paraId="305FFAB7">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地理坐标</w:t>
            </w:r>
          </w:p>
        </w:tc>
        <w:tc>
          <w:tcPr>
            <w:tcW w:w="6864" w:type="dxa"/>
            <w:gridSpan w:val="3"/>
            <w:noWrap w:val="0"/>
            <w:vAlign w:val="center"/>
          </w:tcPr>
          <w:p w14:paraId="63F1A71A">
            <w:pPr>
              <w:keepNext w:val="0"/>
              <w:keepLines w:val="0"/>
              <w:suppressLineNumbers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rPr>
              <w:t>108</w:t>
            </w:r>
            <w:r>
              <w:rPr>
                <w:rFonts w:ascii="Times New Roman" w:hAnsi="Times New Roman" w:eastAsia="宋体" w:cs="Times New Roman"/>
                <w:color w:val="auto"/>
                <w:sz w:val="24"/>
                <w:u w:val="single"/>
              </w:rPr>
              <w:t xml:space="preserve"> </w:t>
            </w:r>
            <w:r>
              <w:rPr>
                <w:rFonts w:ascii="Times New Roman" w:hAnsi="Times New Roman" w:eastAsia="宋体" w:cs="Times New Roman"/>
                <w:color w:val="auto"/>
                <w:sz w:val="24"/>
              </w:rPr>
              <w:t>度</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rPr>
              <w:t>17</w:t>
            </w:r>
            <w:r>
              <w:rPr>
                <w:rFonts w:ascii="Times New Roman" w:hAnsi="Times New Roman" w:eastAsia="宋体" w:cs="Times New Roman"/>
                <w:color w:val="auto"/>
                <w:sz w:val="24"/>
                <w:u w:val="single"/>
              </w:rPr>
              <w:t xml:space="preserve"> </w:t>
            </w:r>
            <w:r>
              <w:rPr>
                <w:rFonts w:ascii="Times New Roman" w:hAnsi="Times New Roman" w:eastAsia="宋体" w:cs="Times New Roman"/>
                <w:color w:val="auto"/>
                <w:sz w:val="24"/>
              </w:rPr>
              <w:t>分</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rPr>
              <w:t>10.377</w:t>
            </w:r>
            <w:r>
              <w:rPr>
                <w:rFonts w:ascii="Times New Roman" w:hAnsi="Times New Roman" w:eastAsia="宋体" w:cs="Times New Roman"/>
                <w:color w:val="auto"/>
                <w:sz w:val="24"/>
                <w:u w:val="single"/>
              </w:rPr>
              <w:t xml:space="preserve"> </w:t>
            </w:r>
            <w:r>
              <w:rPr>
                <w:rFonts w:ascii="Times New Roman" w:hAnsi="Times New Roman" w:eastAsia="宋体" w:cs="Times New Roman"/>
                <w:color w:val="auto"/>
                <w:sz w:val="24"/>
              </w:rPr>
              <w:t>秒，</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rPr>
              <w:t>21</w:t>
            </w:r>
            <w:r>
              <w:rPr>
                <w:rFonts w:ascii="Times New Roman" w:hAnsi="Times New Roman" w:eastAsia="宋体" w:cs="Times New Roman"/>
                <w:color w:val="auto"/>
                <w:sz w:val="24"/>
                <w:u w:val="single"/>
              </w:rPr>
              <w:t xml:space="preserve"> </w:t>
            </w:r>
            <w:r>
              <w:rPr>
                <w:rFonts w:ascii="Times New Roman" w:hAnsi="Times New Roman" w:eastAsia="宋体" w:cs="Times New Roman"/>
                <w:color w:val="auto"/>
                <w:sz w:val="24"/>
              </w:rPr>
              <w:t>度</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rPr>
              <w:t>38</w:t>
            </w:r>
            <w:r>
              <w:rPr>
                <w:rFonts w:ascii="Times New Roman" w:hAnsi="Times New Roman" w:eastAsia="宋体" w:cs="Times New Roman"/>
                <w:color w:val="auto"/>
                <w:sz w:val="24"/>
                <w:u w:val="single"/>
              </w:rPr>
              <w:t xml:space="preserve"> </w:t>
            </w:r>
            <w:r>
              <w:rPr>
                <w:rFonts w:ascii="Times New Roman" w:hAnsi="Times New Roman" w:eastAsia="宋体" w:cs="Times New Roman"/>
                <w:color w:val="auto"/>
                <w:sz w:val="24"/>
              </w:rPr>
              <w:t>分</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rPr>
              <w:t>17.504</w:t>
            </w:r>
            <w:r>
              <w:rPr>
                <w:rFonts w:ascii="Times New Roman" w:hAnsi="Times New Roman" w:eastAsia="宋体" w:cs="Times New Roman"/>
                <w:color w:val="auto"/>
                <w:sz w:val="24"/>
                <w:u w:val="single"/>
              </w:rPr>
              <w:t xml:space="preserve"> </w:t>
            </w:r>
            <w:r>
              <w:rPr>
                <w:rFonts w:ascii="Times New Roman" w:hAnsi="Times New Roman" w:eastAsia="宋体" w:cs="Times New Roman"/>
                <w:color w:val="auto"/>
                <w:sz w:val="24"/>
              </w:rPr>
              <w:t>秒）</w:t>
            </w:r>
          </w:p>
        </w:tc>
      </w:tr>
      <w:tr w14:paraId="37253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83" w:hRule="atLeast"/>
          <w:jc w:val="center"/>
        </w:trPr>
        <w:tc>
          <w:tcPr>
            <w:tcW w:w="2156" w:type="dxa"/>
            <w:noWrap w:val="0"/>
            <w:tcMar>
              <w:top w:w="16" w:type="dxa"/>
              <w:left w:w="16" w:type="dxa"/>
              <w:right w:w="16" w:type="dxa"/>
            </w:tcMar>
            <w:vAlign w:val="center"/>
          </w:tcPr>
          <w:p w14:paraId="0F484738">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国民经济</w:t>
            </w:r>
          </w:p>
          <w:p w14:paraId="18063C3E">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行业类别</w:t>
            </w:r>
          </w:p>
        </w:tc>
        <w:tc>
          <w:tcPr>
            <w:tcW w:w="1863" w:type="dxa"/>
            <w:noWrap w:val="0"/>
            <w:vAlign w:val="center"/>
          </w:tcPr>
          <w:p w14:paraId="7250558E">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C2625 有机肥料及微生物肥料制造；</w:t>
            </w:r>
          </w:p>
          <w:p w14:paraId="6755B987">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C4220 非</w:t>
            </w:r>
            <w:r>
              <w:rPr>
                <w:rFonts w:ascii="Times New Roman" w:hAnsi="Times New Roman" w:eastAsia="宋体" w:cs="Times New Roman"/>
                <w:color w:val="auto"/>
                <w:sz w:val="24"/>
              </w:rPr>
              <w:t>金属废料和碎屑加工处理</w:t>
            </w:r>
          </w:p>
        </w:tc>
        <w:tc>
          <w:tcPr>
            <w:tcW w:w="1859" w:type="dxa"/>
            <w:noWrap w:val="0"/>
            <w:vAlign w:val="center"/>
          </w:tcPr>
          <w:p w14:paraId="5210D10C">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bookmarkStart w:id="15" w:name="_Hlk49843745"/>
            <w:r>
              <w:rPr>
                <w:rFonts w:ascii="Times New Roman" w:hAnsi="Times New Roman" w:eastAsia="宋体" w:cs="Times New Roman"/>
                <w:color w:val="auto"/>
                <w:sz w:val="24"/>
              </w:rPr>
              <w:t>建设项目</w:t>
            </w:r>
          </w:p>
          <w:p w14:paraId="597A87FE">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行业类别</w:t>
            </w:r>
            <w:bookmarkEnd w:id="15"/>
          </w:p>
        </w:tc>
        <w:tc>
          <w:tcPr>
            <w:tcW w:w="3142" w:type="dxa"/>
            <w:noWrap w:val="0"/>
            <w:vAlign w:val="center"/>
          </w:tcPr>
          <w:p w14:paraId="0CB4384D">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二十三、化学原料和化学制品制造业 26—45、肥料制造 262</w:t>
            </w:r>
          </w:p>
          <w:p w14:paraId="34CC7FB1">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三十九、废弃资源综合利用业42—85、非金属废料和碎屑加工处理 422</w:t>
            </w:r>
          </w:p>
        </w:tc>
      </w:tr>
      <w:tr w14:paraId="17D54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36" w:hRule="atLeast"/>
          <w:jc w:val="center"/>
        </w:trPr>
        <w:tc>
          <w:tcPr>
            <w:tcW w:w="2156" w:type="dxa"/>
            <w:noWrap w:val="0"/>
            <w:tcMar>
              <w:top w:w="16" w:type="dxa"/>
              <w:left w:w="16" w:type="dxa"/>
              <w:right w:w="16" w:type="dxa"/>
            </w:tcMar>
            <w:vAlign w:val="center"/>
          </w:tcPr>
          <w:p w14:paraId="7F83E2BE">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建设性质</w:t>
            </w:r>
          </w:p>
        </w:tc>
        <w:tc>
          <w:tcPr>
            <w:tcW w:w="1863" w:type="dxa"/>
            <w:noWrap w:val="0"/>
            <w:vAlign w:val="center"/>
          </w:tcPr>
          <w:p w14:paraId="5EE671EA">
            <w:pPr>
              <w:keepNext w:val="0"/>
              <w:keepLines w:val="0"/>
              <w:suppressLineNumbers w:val="0"/>
              <w:spacing w:before="0" w:beforeAutospacing="0" w:after="0" w:afterAutospacing="0"/>
              <w:ind w:left="0" w:right="0"/>
              <w:jc w:val="left"/>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52"/>
            </w:r>
            <w:r>
              <w:rPr>
                <w:rFonts w:ascii="Times New Roman" w:hAnsi="Times New Roman" w:eastAsia="宋体" w:cs="Times New Roman"/>
                <w:color w:val="auto"/>
                <w:sz w:val="24"/>
              </w:rPr>
              <w:t>新建（迁建）</w:t>
            </w:r>
          </w:p>
          <w:p w14:paraId="1C6551D8">
            <w:pPr>
              <w:keepNext w:val="0"/>
              <w:keepLines w:val="0"/>
              <w:suppressLineNumbers w:val="0"/>
              <w:spacing w:before="0" w:beforeAutospacing="0" w:after="0" w:afterAutospacing="0"/>
              <w:ind w:left="0" w:right="0"/>
              <w:jc w:val="left"/>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A3"/>
            </w:r>
            <w:r>
              <w:rPr>
                <w:rFonts w:ascii="Times New Roman" w:hAnsi="Times New Roman" w:eastAsia="宋体" w:cs="Times New Roman"/>
                <w:color w:val="auto"/>
                <w:sz w:val="24"/>
              </w:rPr>
              <w:t>改建</w:t>
            </w:r>
          </w:p>
          <w:p w14:paraId="468BDE90">
            <w:pPr>
              <w:keepNext w:val="0"/>
              <w:keepLines w:val="0"/>
              <w:suppressLineNumbers w:val="0"/>
              <w:spacing w:before="0" w:beforeAutospacing="0" w:after="0" w:afterAutospacing="0"/>
              <w:ind w:left="0" w:right="0"/>
              <w:jc w:val="left"/>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A3"/>
            </w:r>
            <w:r>
              <w:rPr>
                <w:rFonts w:ascii="Times New Roman" w:hAnsi="Times New Roman" w:eastAsia="宋体" w:cs="Times New Roman"/>
                <w:color w:val="auto"/>
                <w:sz w:val="24"/>
              </w:rPr>
              <w:t>扩建</w:t>
            </w:r>
          </w:p>
          <w:p w14:paraId="6155A05E">
            <w:pPr>
              <w:keepNext w:val="0"/>
              <w:keepLines w:val="0"/>
              <w:suppressLineNumbers w:val="0"/>
              <w:spacing w:before="0" w:beforeAutospacing="0" w:after="0" w:afterAutospacing="0"/>
              <w:ind w:left="0" w:right="0"/>
              <w:jc w:val="left"/>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A3"/>
            </w:r>
            <w:r>
              <w:rPr>
                <w:rFonts w:ascii="Times New Roman" w:hAnsi="Times New Roman" w:eastAsia="宋体" w:cs="Times New Roman"/>
                <w:color w:val="auto"/>
                <w:sz w:val="24"/>
              </w:rPr>
              <w:t>技术改造</w:t>
            </w:r>
          </w:p>
        </w:tc>
        <w:tc>
          <w:tcPr>
            <w:tcW w:w="1859" w:type="dxa"/>
            <w:noWrap w:val="0"/>
            <w:vAlign w:val="center"/>
          </w:tcPr>
          <w:p w14:paraId="576B3BAD">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建设项目</w:t>
            </w:r>
          </w:p>
          <w:p w14:paraId="7CCB1086">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申报情形</w:t>
            </w:r>
          </w:p>
        </w:tc>
        <w:tc>
          <w:tcPr>
            <w:tcW w:w="3142" w:type="dxa"/>
            <w:noWrap w:val="0"/>
            <w:vAlign w:val="center"/>
          </w:tcPr>
          <w:p w14:paraId="7D7AE670">
            <w:pPr>
              <w:keepNext w:val="0"/>
              <w:keepLines w:val="0"/>
              <w:suppressLineNumbers w:val="0"/>
              <w:spacing w:before="0" w:beforeAutospacing="0" w:after="0" w:afterAutospacing="0"/>
              <w:ind w:left="0" w:right="0"/>
              <w:jc w:val="left"/>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52"/>
            </w:r>
            <w:r>
              <w:rPr>
                <w:rFonts w:ascii="Times New Roman" w:hAnsi="Times New Roman" w:eastAsia="宋体" w:cs="Times New Roman"/>
                <w:color w:val="auto"/>
                <w:sz w:val="24"/>
              </w:rPr>
              <w:t xml:space="preserve">首次申报项目             </w:t>
            </w:r>
          </w:p>
          <w:p w14:paraId="44417375">
            <w:pPr>
              <w:keepNext w:val="0"/>
              <w:keepLines w:val="0"/>
              <w:suppressLineNumbers w:val="0"/>
              <w:spacing w:before="0" w:beforeAutospacing="0" w:after="0" w:afterAutospacing="0"/>
              <w:ind w:left="0" w:right="0"/>
              <w:jc w:val="left"/>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A3"/>
            </w:r>
            <w:r>
              <w:rPr>
                <w:rFonts w:ascii="Times New Roman" w:hAnsi="Times New Roman" w:eastAsia="宋体" w:cs="Times New Roman"/>
                <w:color w:val="auto"/>
                <w:sz w:val="24"/>
              </w:rPr>
              <w:t>不予批准后再次申报项目</w:t>
            </w:r>
          </w:p>
          <w:p w14:paraId="4917BE43">
            <w:pPr>
              <w:keepNext w:val="0"/>
              <w:keepLines w:val="0"/>
              <w:suppressLineNumbers w:val="0"/>
              <w:spacing w:before="0" w:beforeAutospacing="0" w:after="0" w:afterAutospacing="0"/>
              <w:ind w:left="0" w:right="0"/>
              <w:jc w:val="left"/>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A3"/>
            </w:r>
            <w:r>
              <w:rPr>
                <w:rFonts w:ascii="Times New Roman" w:hAnsi="Times New Roman" w:eastAsia="宋体" w:cs="Times New Roman"/>
                <w:color w:val="auto"/>
                <w:sz w:val="24"/>
              </w:rPr>
              <w:t xml:space="preserve">超五年重新审核项目     </w:t>
            </w:r>
          </w:p>
          <w:p w14:paraId="72FE12BA">
            <w:pPr>
              <w:keepNext w:val="0"/>
              <w:keepLines w:val="0"/>
              <w:suppressLineNumbers w:val="0"/>
              <w:spacing w:before="0" w:beforeAutospacing="0" w:after="0" w:afterAutospacing="0"/>
              <w:ind w:left="0" w:right="0"/>
              <w:jc w:val="left"/>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A3"/>
            </w:r>
            <w:r>
              <w:rPr>
                <w:rFonts w:ascii="Times New Roman" w:hAnsi="Times New Roman" w:eastAsia="宋体" w:cs="Times New Roman"/>
                <w:color w:val="auto"/>
                <w:sz w:val="24"/>
              </w:rPr>
              <w:t>重大变动重新报批项目</w:t>
            </w:r>
          </w:p>
        </w:tc>
      </w:tr>
      <w:tr w14:paraId="6DE48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0" w:hRule="atLeast"/>
          <w:jc w:val="center"/>
        </w:trPr>
        <w:tc>
          <w:tcPr>
            <w:tcW w:w="2156" w:type="dxa"/>
            <w:noWrap w:val="0"/>
            <w:tcMar>
              <w:top w:w="16" w:type="dxa"/>
              <w:left w:w="16" w:type="dxa"/>
              <w:right w:w="16" w:type="dxa"/>
            </w:tcMar>
            <w:vAlign w:val="center"/>
          </w:tcPr>
          <w:p w14:paraId="529C2DBE">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项目审批（核准/</w:t>
            </w:r>
          </w:p>
          <w:p w14:paraId="74C87521">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备案）部门（选填）</w:t>
            </w:r>
          </w:p>
        </w:tc>
        <w:tc>
          <w:tcPr>
            <w:tcW w:w="1863" w:type="dxa"/>
            <w:noWrap w:val="0"/>
            <w:vAlign w:val="center"/>
          </w:tcPr>
          <w:p w14:paraId="29F19700">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防城港市防城区发展和改革局</w:t>
            </w:r>
          </w:p>
        </w:tc>
        <w:tc>
          <w:tcPr>
            <w:tcW w:w="1859" w:type="dxa"/>
            <w:noWrap w:val="0"/>
            <w:vAlign w:val="center"/>
          </w:tcPr>
          <w:p w14:paraId="022276F9">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项目审批（核准/</w:t>
            </w:r>
          </w:p>
          <w:p w14:paraId="710BF951">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备案）文号（选填）</w:t>
            </w:r>
          </w:p>
        </w:tc>
        <w:tc>
          <w:tcPr>
            <w:tcW w:w="3142" w:type="dxa"/>
            <w:noWrap w:val="0"/>
            <w:vAlign w:val="center"/>
          </w:tcPr>
          <w:p w14:paraId="72761853">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w:t>
            </w:r>
          </w:p>
        </w:tc>
      </w:tr>
      <w:tr w14:paraId="666DB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1" w:hRule="atLeast"/>
          <w:jc w:val="center"/>
        </w:trPr>
        <w:tc>
          <w:tcPr>
            <w:tcW w:w="2156" w:type="dxa"/>
            <w:noWrap w:val="0"/>
            <w:tcMar>
              <w:top w:w="16" w:type="dxa"/>
              <w:left w:w="16" w:type="dxa"/>
              <w:right w:w="16" w:type="dxa"/>
            </w:tcMar>
            <w:vAlign w:val="center"/>
          </w:tcPr>
          <w:p w14:paraId="624D530F">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总投资（万元）</w:t>
            </w:r>
          </w:p>
        </w:tc>
        <w:tc>
          <w:tcPr>
            <w:tcW w:w="1863" w:type="dxa"/>
            <w:noWrap w:val="0"/>
            <w:vAlign w:val="center"/>
          </w:tcPr>
          <w:p w14:paraId="1D1FDAF5">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50.00</w:t>
            </w:r>
          </w:p>
        </w:tc>
        <w:tc>
          <w:tcPr>
            <w:tcW w:w="1859" w:type="dxa"/>
            <w:noWrap w:val="0"/>
            <w:tcMar>
              <w:top w:w="16" w:type="dxa"/>
              <w:left w:w="16" w:type="dxa"/>
              <w:right w:w="16" w:type="dxa"/>
            </w:tcMar>
            <w:vAlign w:val="center"/>
          </w:tcPr>
          <w:p w14:paraId="43954D5F">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环保投资（万元）</w:t>
            </w:r>
          </w:p>
        </w:tc>
        <w:tc>
          <w:tcPr>
            <w:tcW w:w="3142" w:type="dxa"/>
            <w:noWrap w:val="0"/>
            <w:vAlign w:val="center"/>
          </w:tcPr>
          <w:p w14:paraId="64CB4B6F">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13.9</w:t>
            </w:r>
          </w:p>
        </w:tc>
      </w:tr>
      <w:tr w14:paraId="33C6F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7" w:hRule="atLeast"/>
          <w:jc w:val="center"/>
        </w:trPr>
        <w:tc>
          <w:tcPr>
            <w:tcW w:w="2156" w:type="dxa"/>
            <w:noWrap w:val="0"/>
            <w:tcMar>
              <w:top w:w="16" w:type="dxa"/>
              <w:left w:w="16" w:type="dxa"/>
              <w:right w:w="16" w:type="dxa"/>
            </w:tcMar>
            <w:vAlign w:val="center"/>
          </w:tcPr>
          <w:p w14:paraId="7AF12D3E">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环保投资占比（%）</w:t>
            </w:r>
          </w:p>
        </w:tc>
        <w:tc>
          <w:tcPr>
            <w:tcW w:w="1863" w:type="dxa"/>
            <w:noWrap w:val="0"/>
            <w:vAlign w:val="center"/>
          </w:tcPr>
          <w:p w14:paraId="1834EC4A">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27.8</w:t>
            </w:r>
          </w:p>
        </w:tc>
        <w:tc>
          <w:tcPr>
            <w:tcW w:w="1859" w:type="dxa"/>
            <w:noWrap w:val="0"/>
            <w:tcMar>
              <w:top w:w="16" w:type="dxa"/>
              <w:left w:w="16" w:type="dxa"/>
              <w:right w:w="16" w:type="dxa"/>
            </w:tcMar>
            <w:vAlign w:val="center"/>
          </w:tcPr>
          <w:p w14:paraId="2ECC41F0">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施工工期</w:t>
            </w:r>
          </w:p>
        </w:tc>
        <w:tc>
          <w:tcPr>
            <w:tcW w:w="3142" w:type="dxa"/>
            <w:noWrap w:val="0"/>
            <w:vAlign w:val="center"/>
          </w:tcPr>
          <w:p w14:paraId="4402C7F3">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3个月；2026年4月至2026年6月</w:t>
            </w:r>
          </w:p>
        </w:tc>
      </w:tr>
      <w:tr w14:paraId="2E4F2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4" w:hRule="atLeast"/>
          <w:jc w:val="center"/>
        </w:trPr>
        <w:tc>
          <w:tcPr>
            <w:tcW w:w="2156" w:type="dxa"/>
            <w:noWrap w:val="0"/>
            <w:tcMar>
              <w:top w:w="16" w:type="dxa"/>
              <w:left w:w="16" w:type="dxa"/>
              <w:right w:w="16" w:type="dxa"/>
            </w:tcMar>
            <w:vAlign w:val="center"/>
          </w:tcPr>
          <w:p w14:paraId="0ED4CCD0">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是否开工建设</w:t>
            </w:r>
          </w:p>
        </w:tc>
        <w:tc>
          <w:tcPr>
            <w:tcW w:w="1863" w:type="dxa"/>
            <w:noWrap w:val="0"/>
            <w:vAlign w:val="center"/>
          </w:tcPr>
          <w:p w14:paraId="40EA6E72">
            <w:pPr>
              <w:keepNext w:val="0"/>
              <w:keepLines w:val="0"/>
              <w:suppressLineNumbers w:val="0"/>
              <w:adjustRightInd w:val="0"/>
              <w:snapToGrid w:val="0"/>
              <w:spacing w:before="0" w:beforeAutospacing="0" w:after="0" w:afterAutospacing="0"/>
              <w:ind w:left="0" w:right="0"/>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52"/>
            </w:r>
            <w:r>
              <w:rPr>
                <w:rFonts w:ascii="Times New Roman" w:hAnsi="Times New Roman" w:eastAsia="宋体" w:cs="Times New Roman"/>
                <w:color w:val="auto"/>
                <w:sz w:val="24"/>
              </w:rPr>
              <w:t>否</w:t>
            </w:r>
          </w:p>
          <w:p w14:paraId="2F1B83B6">
            <w:pPr>
              <w:keepNext w:val="0"/>
              <w:keepLines w:val="0"/>
              <w:suppressLineNumbers w:val="0"/>
              <w:adjustRightInd w:val="0"/>
              <w:snapToGrid w:val="0"/>
              <w:spacing w:before="0" w:beforeAutospacing="0" w:after="0" w:afterAutospacing="0"/>
              <w:ind w:left="0" w:right="0"/>
              <w:rPr>
                <w:rFonts w:ascii="Times New Roman" w:hAnsi="Times New Roman" w:eastAsia="宋体" w:cs="Times New Roman"/>
                <w:color w:val="auto"/>
                <w:sz w:val="24"/>
              </w:rPr>
            </w:pPr>
            <w:r>
              <w:rPr>
                <w:rFonts w:ascii="Times New Roman" w:hAnsi="Times New Roman" w:eastAsia="宋体" w:cs="Times New Roman"/>
                <w:color w:val="auto"/>
                <w:sz w:val="24"/>
              </w:rPr>
              <w:sym w:font="Wingdings 2" w:char="00A3"/>
            </w:r>
            <w:r>
              <w:rPr>
                <w:rFonts w:ascii="Times New Roman" w:hAnsi="Times New Roman" w:eastAsia="宋体" w:cs="Times New Roman"/>
                <w:color w:val="auto"/>
                <w:sz w:val="24"/>
              </w:rPr>
              <w:t>是：</w:t>
            </w:r>
            <w:r>
              <w:rPr>
                <w:rFonts w:ascii="Times New Roman" w:hAnsi="Times New Roman" w:eastAsia="宋体" w:cs="Times New Roman"/>
                <w:color w:val="auto"/>
                <w:sz w:val="24"/>
                <w:u w:val="single"/>
              </w:rPr>
              <w:t xml:space="preserve">             </w:t>
            </w:r>
          </w:p>
        </w:tc>
        <w:tc>
          <w:tcPr>
            <w:tcW w:w="1859" w:type="dxa"/>
            <w:noWrap w:val="0"/>
            <w:tcMar>
              <w:top w:w="16" w:type="dxa"/>
              <w:left w:w="16" w:type="dxa"/>
              <w:right w:w="16" w:type="dxa"/>
            </w:tcMar>
            <w:vAlign w:val="center"/>
          </w:tcPr>
          <w:p w14:paraId="0FC8197C">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pacing w:val="-6"/>
                <w:sz w:val="24"/>
              </w:rPr>
            </w:pPr>
            <w:r>
              <w:rPr>
                <w:rFonts w:ascii="Times New Roman" w:hAnsi="Times New Roman" w:eastAsia="宋体" w:cs="Times New Roman"/>
                <w:color w:val="auto"/>
                <w:spacing w:val="-6"/>
                <w:sz w:val="24"/>
              </w:rPr>
              <w:t>用地（用海）</w:t>
            </w:r>
          </w:p>
          <w:p w14:paraId="5FAC9466">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pacing w:val="-6"/>
                <w:sz w:val="24"/>
              </w:rPr>
              <w:t>面积（m</w:t>
            </w:r>
            <w:r>
              <w:rPr>
                <w:rFonts w:ascii="Times New Roman" w:hAnsi="Times New Roman" w:eastAsia="宋体" w:cs="Times New Roman"/>
                <w:color w:val="auto"/>
                <w:spacing w:val="-6"/>
                <w:sz w:val="24"/>
                <w:vertAlign w:val="superscript"/>
              </w:rPr>
              <w:t>2</w:t>
            </w:r>
            <w:r>
              <w:rPr>
                <w:rFonts w:ascii="Times New Roman" w:hAnsi="Times New Roman" w:eastAsia="宋体" w:cs="Times New Roman"/>
                <w:color w:val="auto"/>
                <w:spacing w:val="-6"/>
                <w:sz w:val="24"/>
              </w:rPr>
              <w:t>）</w:t>
            </w:r>
          </w:p>
        </w:tc>
        <w:tc>
          <w:tcPr>
            <w:tcW w:w="3142" w:type="dxa"/>
            <w:noWrap w:val="0"/>
            <w:vAlign w:val="center"/>
          </w:tcPr>
          <w:p w14:paraId="44F8C93C">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6666.67（10亩）</w:t>
            </w:r>
          </w:p>
        </w:tc>
      </w:tr>
      <w:tr w14:paraId="57885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5" w:hRule="atLeast"/>
          <w:jc w:val="center"/>
        </w:trPr>
        <w:tc>
          <w:tcPr>
            <w:tcW w:w="2156" w:type="dxa"/>
            <w:noWrap w:val="0"/>
            <w:vAlign w:val="center"/>
          </w:tcPr>
          <w:p w14:paraId="052BF46F">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专项评价设置情况</w:t>
            </w:r>
          </w:p>
        </w:tc>
        <w:tc>
          <w:tcPr>
            <w:tcW w:w="6864" w:type="dxa"/>
            <w:gridSpan w:val="3"/>
            <w:noWrap w:val="0"/>
            <w:vAlign w:val="center"/>
          </w:tcPr>
          <w:p w14:paraId="31A0CB21">
            <w:pPr>
              <w:keepNext w:val="0"/>
              <w:keepLines w:val="0"/>
              <w:suppressLineNumbers w:val="0"/>
              <w:autoSpaceDE w:val="0"/>
              <w:autoSpaceDN w:val="0"/>
              <w:adjustRightInd w:val="0"/>
              <w:snapToGrid w:val="0"/>
              <w:spacing w:before="0" w:beforeAutospacing="0" w:after="0" w:afterAutospacing="0"/>
              <w:ind w:left="0" w:right="0" w:firstLine="480" w:firstLineChars="200"/>
              <w:jc w:val="left"/>
              <w:rPr>
                <w:rStyle w:val="31"/>
                <w:rFonts w:hint="eastAsia" w:ascii="Times New Roman" w:hAnsi="Times New Roman" w:eastAsia="宋体" w:cs="Times New Roman"/>
                <w:color w:val="auto"/>
                <w:kern w:val="0"/>
                <w:szCs w:val="20"/>
              </w:rPr>
            </w:pPr>
            <w:r>
              <w:rPr>
                <w:rFonts w:hint="eastAsia" w:ascii="Calibri" w:hAnsi="Calibri" w:eastAsia="宋体" w:cs="Times New Roman"/>
                <w:color w:val="auto"/>
                <w:kern w:val="0"/>
                <w:sz w:val="24"/>
              </w:rPr>
              <w:t>根据《建设项目环境影响报告表编制技术指南(污染影响类)(试行)》中表1专项评价设置原则</w:t>
            </w:r>
            <w:r>
              <w:rPr>
                <w:rStyle w:val="31"/>
                <w:rFonts w:hint="eastAsia" w:ascii="Times New Roman" w:hAnsi="Times New Roman" w:eastAsia="宋体" w:cs="Times New Roman"/>
                <w:color w:val="auto"/>
                <w:kern w:val="0"/>
                <w:szCs w:val="20"/>
              </w:rPr>
              <w:t>：</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3742"/>
              <w:gridCol w:w="1672"/>
            </w:tblGrid>
            <w:tr w14:paraId="1F81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noWrap w:val="0"/>
                  <w:vAlign w:val="center"/>
                </w:tcPr>
                <w:p w14:paraId="2E2EE8C9">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专项评价的类别</w:t>
                  </w:r>
                </w:p>
              </w:tc>
              <w:tc>
                <w:tcPr>
                  <w:tcW w:w="2821" w:type="pct"/>
                  <w:noWrap w:val="0"/>
                  <w:vAlign w:val="center"/>
                </w:tcPr>
                <w:p w14:paraId="76BC621C">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设置原则</w:t>
                  </w:r>
                </w:p>
              </w:tc>
              <w:tc>
                <w:tcPr>
                  <w:tcW w:w="1259" w:type="pct"/>
                  <w:noWrap w:val="0"/>
                  <w:vAlign w:val="center"/>
                </w:tcPr>
                <w:p w14:paraId="48E374FD">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本项目情况</w:t>
                  </w:r>
                </w:p>
              </w:tc>
            </w:tr>
            <w:tr w14:paraId="168D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noWrap w:val="0"/>
                  <w:vAlign w:val="center"/>
                </w:tcPr>
                <w:p w14:paraId="73EE5512">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大气</w:t>
                  </w:r>
                </w:p>
              </w:tc>
              <w:tc>
                <w:tcPr>
                  <w:tcW w:w="2821" w:type="pct"/>
                  <w:noWrap w:val="0"/>
                  <w:vAlign w:val="center"/>
                </w:tcPr>
                <w:p w14:paraId="3B3FE023">
                  <w:pPr>
                    <w:keepNext w:val="0"/>
                    <w:keepLines w:val="0"/>
                    <w:suppressLineNumbers w:val="0"/>
                    <w:autoSpaceDE w:val="0"/>
                    <w:autoSpaceDN w:val="0"/>
                    <w:adjustRightInd w:val="0"/>
                    <w:snapToGrid w:val="0"/>
                    <w:spacing w:before="0" w:beforeAutospacing="0" w:after="0" w:afterAutospacing="0"/>
                    <w:ind w:left="0" w:right="0"/>
                    <w:jc w:val="left"/>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排放废气含有毒有害污染物</w:t>
                  </w:r>
                  <w:r>
                    <w:rPr>
                      <w:rStyle w:val="31"/>
                      <w:rFonts w:hint="eastAsia" w:ascii="Times New Roman" w:hAnsi="Times New Roman" w:eastAsia="宋体" w:cs="Times New Roman"/>
                      <w:color w:val="auto"/>
                      <w:kern w:val="0"/>
                      <w:sz w:val="18"/>
                      <w:szCs w:val="18"/>
                      <w:vertAlign w:val="superscript"/>
                    </w:rPr>
                    <w:t>1</w:t>
                  </w:r>
                  <w:r>
                    <w:rPr>
                      <w:rStyle w:val="31"/>
                      <w:rFonts w:hint="eastAsia" w:ascii="Times New Roman" w:hAnsi="Times New Roman" w:eastAsia="宋体" w:cs="Times New Roman"/>
                      <w:color w:val="auto"/>
                      <w:kern w:val="0"/>
                      <w:sz w:val="18"/>
                      <w:szCs w:val="18"/>
                    </w:rPr>
                    <w:t>、二噁英、苯并[a]芘、氰化物、氯气且厂界外500 米范围内有环境空气保护目标</w:t>
                  </w:r>
                  <w:r>
                    <w:rPr>
                      <w:rStyle w:val="31"/>
                      <w:rFonts w:hint="eastAsia" w:ascii="Times New Roman" w:hAnsi="Times New Roman" w:eastAsia="宋体" w:cs="Times New Roman"/>
                      <w:color w:val="auto"/>
                      <w:kern w:val="0"/>
                      <w:sz w:val="18"/>
                      <w:szCs w:val="18"/>
                      <w:vertAlign w:val="superscript"/>
                    </w:rPr>
                    <w:t>2</w:t>
                  </w:r>
                  <w:r>
                    <w:rPr>
                      <w:rStyle w:val="31"/>
                      <w:rFonts w:hint="eastAsia" w:ascii="Times New Roman" w:hAnsi="Times New Roman" w:eastAsia="宋体" w:cs="Times New Roman"/>
                      <w:color w:val="auto"/>
                      <w:kern w:val="0"/>
                      <w:sz w:val="18"/>
                      <w:szCs w:val="18"/>
                    </w:rPr>
                    <w:t>的建设项目</w:t>
                  </w:r>
                </w:p>
              </w:tc>
              <w:tc>
                <w:tcPr>
                  <w:tcW w:w="1259" w:type="pct"/>
                  <w:noWrap w:val="0"/>
                  <w:vAlign w:val="center"/>
                </w:tcPr>
                <w:p w14:paraId="49906FEA">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本项目主要排放的大气污染物为氨气、硫化氢，不涉及有毒有害污染物。</w:t>
                  </w:r>
                </w:p>
              </w:tc>
            </w:tr>
            <w:tr w14:paraId="00AB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noWrap w:val="0"/>
                  <w:vAlign w:val="center"/>
                </w:tcPr>
                <w:p w14:paraId="5B429E64">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地表水</w:t>
                  </w:r>
                </w:p>
              </w:tc>
              <w:tc>
                <w:tcPr>
                  <w:tcW w:w="2821" w:type="pct"/>
                  <w:noWrap w:val="0"/>
                  <w:vAlign w:val="center"/>
                </w:tcPr>
                <w:p w14:paraId="6E251051">
                  <w:pPr>
                    <w:keepNext w:val="0"/>
                    <w:keepLines w:val="0"/>
                    <w:suppressLineNumbers w:val="0"/>
                    <w:autoSpaceDE w:val="0"/>
                    <w:autoSpaceDN w:val="0"/>
                    <w:adjustRightInd w:val="0"/>
                    <w:snapToGrid w:val="0"/>
                    <w:spacing w:before="0" w:beforeAutospacing="0" w:after="0" w:afterAutospacing="0"/>
                    <w:ind w:left="0" w:right="0"/>
                    <w:jc w:val="left"/>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新增工业废水直排建设项目（槽罐车外送污水处理厂的除外）；新增废水直排的污水集中处理厂</w:t>
                  </w:r>
                </w:p>
              </w:tc>
              <w:tc>
                <w:tcPr>
                  <w:tcW w:w="1259" w:type="pct"/>
                  <w:noWrap w:val="0"/>
                  <w:vAlign w:val="center"/>
                </w:tcPr>
                <w:p w14:paraId="1A6274D7">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本项目不涉及生产废水外排。</w:t>
                  </w:r>
                </w:p>
              </w:tc>
            </w:tr>
            <w:tr w14:paraId="30BF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noWrap w:val="0"/>
                  <w:vAlign w:val="center"/>
                </w:tcPr>
                <w:p w14:paraId="674F8AE1">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环境风险</w:t>
                  </w:r>
                </w:p>
              </w:tc>
              <w:tc>
                <w:tcPr>
                  <w:tcW w:w="2821" w:type="pct"/>
                  <w:noWrap w:val="0"/>
                  <w:vAlign w:val="center"/>
                </w:tcPr>
                <w:p w14:paraId="60AE75D6">
                  <w:pPr>
                    <w:keepNext w:val="0"/>
                    <w:keepLines w:val="0"/>
                    <w:suppressLineNumbers w:val="0"/>
                    <w:autoSpaceDE w:val="0"/>
                    <w:autoSpaceDN w:val="0"/>
                    <w:adjustRightInd w:val="0"/>
                    <w:snapToGrid w:val="0"/>
                    <w:spacing w:before="0" w:beforeAutospacing="0" w:after="0" w:afterAutospacing="0"/>
                    <w:ind w:left="0" w:right="0"/>
                    <w:jc w:val="left"/>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有毒有害和易燃易爆危险物质存储量超过临界量</w:t>
                  </w:r>
                  <w:r>
                    <w:rPr>
                      <w:rStyle w:val="31"/>
                      <w:rFonts w:hint="eastAsia" w:ascii="Times New Roman" w:hAnsi="Times New Roman" w:eastAsia="宋体" w:cs="Times New Roman"/>
                      <w:color w:val="auto"/>
                      <w:kern w:val="0"/>
                      <w:sz w:val="18"/>
                      <w:szCs w:val="18"/>
                      <w:vertAlign w:val="superscript"/>
                    </w:rPr>
                    <w:t>3</w:t>
                  </w:r>
                  <w:r>
                    <w:rPr>
                      <w:rStyle w:val="31"/>
                      <w:rFonts w:hint="eastAsia" w:ascii="Times New Roman" w:hAnsi="Times New Roman" w:eastAsia="宋体" w:cs="Times New Roman"/>
                      <w:color w:val="auto"/>
                      <w:kern w:val="0"/>
                      <w:sz w:val="18"/>
                      <w:szCs w:val="18"/>
                    </w:rPr>
                    <w:t>的建设项目</w:t>
                  </w:r>
                </w:p>
              </w:tc>
              <w:tc>
                <w:tcPr>
                  <w:tcW w:w="1259" w:type="pct"/>
                  <w:noWrap w:val="0"/>
                  <w:vAlign w:val="center"/>
                </w:tcPr>
                <w:p w14:paraId="26C9DB1F">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本项目涉及的废机油存储量未超过临界量。</w:t>
                  </w:r>
                </w:p>
              </w:tc>
            </w:tr>
            <w:tr w14:paraId="098F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noWrap w:val="0"/>
                  <w:vAlign w:val="center"/>
                </w:tcPr>
                <w:p w14:paraId="7EEA8318">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生态</w:t>
                  </w:r>
                </w:p>
              </w:tc>
              <w:tc>
                <w:tcPr>
                  <w:tcW w:w="2821" w:type="pct"/>
                  <w:noWrap w:val="0"/>
                  <w:vAlign w:val="center"/>
                </w:tcPr>
                <w:p w14:paraId="4D42F2D5">
                  <w:pPr>
                    <w:keepNext w:val="0"/>
                    <w:keepLines w:val="0"/>
                    <w:suppressLineNumbers w:val="0"/>
                    <w:autoSpaceDE w:val="0"/>
                    <w:autoSpaceDN w:val="0"/>
                    <w:adjustRightInd w:val="0"/>
                    <w:snapToGrid w:val="0"/>
                    <w:spacing w:before="0" w:beforeAutospacing="0" w:after="0" w:afterAutospacing="0"/>
                    <w:ind w:left="0" w:right="0"/>
                    <w:jc w:val="left"/>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取水口下游 500 米范围内有重要水生生物的自然产卵场、索饵场、越冬场和洄游通道的新增河道取水的污染类建设项目</w:t>
                  </w:r>
                </w:p>
              </w:tc>
              <w:tc>
                <w:tcPr>
                  <w:tcW w:w="1259" w:type="pct"/>
                  <w:noWrap w:val="0"/>
                  <w:vAlign w:val="center"/>
                </w:tcPr>
                <w:p w14:paraId="5CD0C4CC">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本项目不涉及。</w:t>
                  </w:r>
                </w:p>
              </w:tc>
            </w:tr>
            <w:tr w14:paraId="490A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noWrap w:val="0"/>
                  <w:vAlign w:val="center"/>
                </w:tcPr>
                <w:p w14:paraId="54BED15F">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海洋</w:t>
                  </w:r>
                </w:p>
              </w:tc>
              <w:tc>
                <w:tcPr>
                  <w:tcW w:w="2821" w:type="pct"/>
                  <w:noWrap w:val="0"/>
                  <w:vAlign w:val="center"/>
                </w:tcPr>
                <w:p w14:paraId="0DCA79C6">
                  <w:pPr>
                    <w:keepNext w:val="0"/>
                    <w:keepLines w:val="0"/>
                    <w:suppressLineNumbers w:val="0"/>
                    <w:autoSpaceDE w:val="0"/>
                    <w:autoSpaceDN w:val="0"/>
                    <w:adjustRightInd w:val="0"/>
                    <w:snapToGrid w:val="0"/>
                    <w:spacing w:before="0" w:beforeAutospacing="0" w:after="0" w:afterAutospacing="0"/>
                    <w:ind w:left="0" w:right="0"/>
                    <w:jc w:val="left"/>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直接向海排放污染物的海洋工程建设项目</w:t>
                  </w:r>
                </w:p>
              </w:tc>
              <w:tc>
                <w:tcPr>
                  <w:tcW w:w="1259" w:type="pct"/>
                  <w:noWrap w:val="0"/>
                  <w:vAlign w:val="center"/>
                </w:tcPr>
                <w:p w14:paraId="6A4762D2">
                  <w:pPr>
                    <w:keepNext w:val="0"/>
                    <w:keepLines w:val="0"/>
                    <w:suppressLineNumbers w:val="0"/>
                    <w:autoSpaceDE w:val="0"/>
                    <w:autoSpaceDN w:val="0"/>
                    <w:adjustRightInd w:val="0"/>
                    <w:snapToGrid w:val="0"/>
                    <w:spacing w:before="0" w:beforeAutospacing="0" w:after="0" w:afterAutospacing="0"/>
                    <w:ind w:left="0" w:right="0"/>
                    <w:jc w:val="center"/>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本项目不涉及。</w:t>
                  </w:r>
                </w:p>
              </w:tc>
            </w:tr>
            <w:tr w14:paraId="3F20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14:paraId="409395A6">
                  <w:pPr>
                    <w:keepNext w:val="0"/>
                    <w:keepLines w:val="0"/>
                    <w:suppressLineNumbers w:val="0"/>
                    <w:autoSpaceDE w:val="0"/>
                    <w:autoSpaceDN w:val="0"/>
                    <w:adjustRightInd w:val="0"/>
                    <w:snapToGrid w:val="0"/>
                    <w:spacing w:before="0" w:beforeAutospacing="0" w:after="0" w:afterAutospacing="0"/>
                    <w:ind w:left="0" w:right="0"/>
                    <w:jc w:val="left"/>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 xml:space="preserve">注：1.废气中有毒有害污染物指纳入《有毒有害大气污染物名录》的污染物（不包括无排放标准的污染物）。 </w:t>
                  </w:r>
                </w:p>
                <w:p w14:paraId="298CDD1B">
                  <w:pPr>
                    <w:keepNext w:val="0"/>
                    <w:keepLines w:val="0"/>
                    <w:suppressLineNumbers w:val="0"/>
                    <w:autoSpaceDE w:val="0"/>
                    <w:autoSpaceDN w:val="0"/>
                    <w:adjustRightInd w:val="0"/>
                    <w:snapToGrid w:val="0"/>
                    <w:spacing w:before="0" w:beforeAutospacing="0" w:after="0" w:afterAutospacing="0"/>
                    <w:ind w:left="0" w:right="0"/>
                    <w:jc w:val="left"/>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 xml:space="preserve">2.环境空气保护目标指自然保护区、风景名胜区、居住区、文化区和农村地区中人群较集中的区域。 </w:t>
                  </w:r>
                </w:p>
                <w:p w14:paraId="494B4DD2">
                  <w:pPr>
                    <w:keepNext w:val="0"/>
                    <w:keepLines w:val="0"/>
                    <w:suppressLineNumbers w:val="0"/>
                    <w:autoSpaceDE w:val="0"/>
                    <w:autoSpaceDN w:val="0"/>
                    <w:adjustRightInd w:val="0"/>
                    <w:snapToGrid w:val="0"/>
                    <w:spacing w:before="0" w:beforeAutospacing="0" w:after="0" w:afterAutospacing="0"/>
                    <w:ind w:left="0" w:right="0"/>
                    <w:jc w:val="left"/>
                    <w:rPr>
                      <w:rStyle w:val="31"/>
                      <w:rFonts w:hint="eastAsia" w:ascii="Times New Roman" w:hAnsi="Times New Roman" w:eastAsia="宋体" w:cs="Times New Roman"/>
                      <w:color w:val="auto"/>
                      <w:kern w:val="0"/>
                      <w:sz w:val="18"/>
                      <w:szCs w:val="18"/>
                    </w:rPr>
                  </w:pPr>
                  <w:r>
                    <w:rPr>
                      <w:rStyle w:val="31"/>
                      <w:rFonts w:hint="eastAsia" w:ascii="Times New Roman" w:hAnsi="Times New Roman" w:eastAsia="宋体" w:cs="Times New Roman"/>
                      <w:color w:val="auto"/>
                      <w:kern w:val="0"/>
                      <w:sz w:val="18"/>
                      <w:szCs w:val="18"/>
                    </w:rPr>
                    <w:t>3.临界量及其计算方法可参考《建设项目环境风险评价技术导则》（HJ 169）附录 B、附录 C。</w:t>
                  </w:r>
                </w:p>
              </w:tc>
            </w:tr>
          </w:tbl>
          <w:p w14:paraId="0FD4C68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Style w:val="31"/>
                <w:rFonts w:hint="eastAsia" w:ascii="Times New Roman" w:hAnsi="Times New Roman" w:eastAsia="宋体" w:cs="Times New Roman"/>
                <w:color w:val="auto"/>
                <w:kern w:val="0"/>
                <w:sz w:val="24"/>
              </w:rPr>
            </w:pPr>
            <w:r>
              <w:rPr>
                <w:rStyle w:val="31"/>
                <w:rFonts w:hint="eastAsia" w:ascii="Times New Roman" w:hAnsi="Times New Roman" w:eastAsia="宋体" w:cs="Times New Roman"/>
                <w:color w:val="auto"/>
                <w:kern w:val="0"/>
                <w:sz w:val="24"/>
              </w:rPr>
              <w:t>本项目不需进行专项评价。</w:t>
            </w:r>
          </w:p>
        </w:tc>
      </w:tr>
      <w:tr w14:paraId="5114D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156" w:type="dxa"/>
            <w:noWrap w:val="0"/>
            <w:vAlign w:val="center"/>
          </w:tcPr>
          <w:p w14:paraId="58854E91">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规划情况</w:t>
            </w:r>
          </w:p>
        </w:tc>
        <w:tc>
          <w:tcPr>
            <w:tcW w:w="6864" w:type="dxa"/>
            <w:gridSpan w:val="3"/>
            <w:noWrap w:val="0"/>
            <w:vAlign w:val="center"/>
          </w:tcPr>
          <w:p w14:paraId="690B0B5D">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无</w:t>
            </w:r>
          </w:p>
        </w:tc>
      </w:tr>
      <w:tr w14:paraId="270FA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156" w:type="dxa"/>
            <w:noWrap w:val="0"/>
            <w:vAlign w:val="center"/>
          </w:tcPr>
          <w:p w14:paraId="63021B78">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4"/>
              </w:rPr>
            </w:pPr>
            <w:r>
              <w:rPr>
                <w:rFonts w:ascii="Times New Roman" w:hAnsi="Times New Roman" w:eastAsia="宋体" w:cs="Times New Roman"/>
                <w:color w:val="auto"/>
                <w:sz w:val="24"/>
              </w:rPr>
              <w:t>规划环境影响</w:t>
            </w:r>
          </w:p>
          <w:p w14:paraId="55565A6F">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kern w:val="0"/>
                <w:sz w:val="24"/>
              </w:rPr>
            </w:pPr>
            <w:r>
              <w:rPr>
                <w:rFonts w:ascii="Times New Roman" w:hAnsi="Times New Roman" w:eastAsia="宋体" w:cs="Times New Roman"/>
                <w:color w:val="auto"/>
                <w:sz w:val="24"/>
              </w:rPr>
              <w:t>评价情况</w:t>
            </w:r>
          </w:p>
        </w:tc>
        <w:tc>
          <w:tcPr>
            <w:tcW w:w="6864" w:type="dxa"/>
            <w:gridSpan w:val="3"/>
            <w:noWrap w:val="0"/>
            <w:vAlign w:val="center"/>
          </w:tcPr>
          <w:p w14:paraId="78CA9091">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ascii="Times New Roman" w:hAnsi="Times New Roman" w:eastAsia="宋体" w:cs="Times New Roman"/>
                <w:color w:val="auto"/>
                <w:sz w:val="24"/>
              </w:rPr>
            </w:pPr>
            <w:r>
              <w:rPr>
                <w:rFonts w:hint="eastAsia" w:ascii="Times New Roman" w:hAnsi="Times New Roman" w:eastAsia="宋体" w:cs="Times New Roman"/>
                <w:color w:val="auto"/>
                <w:kern w:val="0"/>
                <w:sz w:val="24"/>
              </w:rPr>
              <w:t>无</w:t>
            </w:r>
          </w:p>
        </w:tc>
      </w:tr>
      <w:tr w14:paraId="7D3B6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156" w:type="dxa"/>
            <w:noWrap w:val="0"/>
            <w:vAlign w:val="center"/>
          </w:tcPr>
          <w:p w14:paraId="66B82434">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规划及规划环境</w:t>
            </w:r>
          </w:p>
          <w:p w14:paraId="31608348">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影响评价符合性分析</w:t>
            </w:r>
          </w:p>
        </w:tc>
        <w:tc>
          <w:tcPr>
            <w:tcW w:w="6864" w:type="dxa"/>
            <w:gridSpan w:val="3"/>
            <w:noWrap w:val="0"/>
            <w:vAlign w:val="center"/>
          </w:tcPr>
          <w:p w14:paraId="5D39405D">
            <w:pPr>
              <w:keepNext w:val="0"/>
              <w:keepLines w:val="0"/>
              <w:suppressLineNumbers w:val="0"/>
              <w:spacing w:before="0" w:beforeAutospacing="0" w:after="0" w:afterAutospacing="0" w:line="360" w:lineRule="auto"/>
              <w:ind w:left="0" w:right="0"/>
              <w:jc w:val="center"/>
              <w:rPr>
                <w:rFonts w:ascii="Calibri" w:hAnsi="Calibri" w:eastAsia="宋体" w:cs="Times New Roman"/>
                <w:color w:val="auto"/>
                <w:sz w:val="24"/>
              </w:rPr>
            </w:pPr>
            <w:r>
              <w:rPr>
                <w:rFonts w:hint="eastAsia" w:ascii="Times New Roman" w:hAnsi="Times New Roman" w:eastAsia="宋体" w:cs="Times New Roman"/>
                <w:color w:val="auto"/>
                <w:kern w:val="0"/>
                <w:sz w:val="24"/>
              </w:rPr>
              <w:t>无</w:t>
            </w:r>
          </w:p>
        </w:tc>
      </w:tr>
      <w:tr w14:paraId="1D988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6" w:type="dxa"/>
            <w:noWrap w:val="0"/>
            <w:vAlign w:val="center"/>
          </w:tcPr>
          <w:p w14:paraId="6952485E">
            <w:pPr>
              <w:keepNext w:val="0"/>
              <w:keepLines w:val="0"/>
              <w:suppressLineNumbers w:val="0"/>
              <w:autoSpaceDE w:val="0"/>
              <w:autoSpaceDN w:val="0"/>
              <w:adjustRightInd w:val="0"/>
              <w:snapToGrid w:val="0"/>
              <w:spacing w:before="0" w:beforeAutospacing="0" w:after="0" w:afterAutospacing="0"/>
              <w:ind w:left="0" w:right="0"/>
              <w:jc w:val="center"/>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其他符合性分析</w:t>
            </w:r>
          </w:p>
        </w:tc>
        <w:tc>
          <w:tcPr>
            <w:tcW w:w="6864" w:type="dxa"/>
            <w:gridSpan w:val="3"/>
            <w:noWrap w:val="0"/>
            <w:vAlign w:val="center"/>
          </w:tcPr>
          <w:p w14:paraId="72E606BE">
            <w:pPr>
              <w:keepNext w:val="0"/>
              <w:keepLines w:val="0"/>
              <w:suppressLineNumbers w:val="0"/>
              <w:spacing w:before="120" w:beforeLines="50" w:beforeAutospacing="0" w:after="0" w:afterAutospacing="0" w:line="360" w:lineRule="auto"/>
              <w:ind w:left="0" w:right="0"/>
              <w:rPr>
                <w:rFonts w:hint="eastAsia" w:ascii="Calibri" w:hAnsi="宋体" w:eastAsia="宋体" w:cs="Times New Roman"/>
                <w:b/>
                <w:bCs/>
                <w:color w:val="auto"/>
                <w:sz w:val="24"/>
              </w:rPr>
            </w:pPr>
            <w:r>
              <w:rPr>
                <w:rFonts w:hint="eastAsia" w:ascii="Calibri" w:hAnsi="宋体" w:eastAsia="宋体" w:cs="Times New Roman"/>
                <w:b/>
                <w:bCs/>
                <w:color w:val="auto"/>
                <w:sz w:val="24"/>
              </w:rPr>
              <w:t>1、防城港市生态环境分区管控动态更新成果符合性分析</w:t>
            </w:r>
          </w:p>
          <w:p w14:paraId="4E135BA3">
            <w:pPr>
              <w:keepNext w:val="0"/>
              <w:keepLines w:val="0"/>
              <w:suppressLineNumbers w:val="0"/>
              <w:spacing w:before="0" w:beforeAutospacing="0" w:after="0" w:afterAutospacing="0" w:line="360" w:lineRule="auto"/>
              <w:ind w:left="0" w:right="0" w:firstLine="480"/>
              <w:rPr>
                <w:rFonts w:ascii="Times New Roman" w:hAnsi="宋体" w:eastAsia="宋体" w:cs="Times New Roman"/>
                <w:color w:val="auto"/>
                <w:sz w:val="24"/>
              </w:rPr>
            </w:pPr>
            <w:r>
              <w:rPr>
                <w:rFonts w:ascii="Calibri" w:hAnsi="宋体" w:eastAsia="宋体" w:cs="Times New Roman"/>
                <w:color w:val="auto"/>
                <w:sz w:val="24"/>
              </w:rPr>
              <w:t>根据</w:t>
            </w:r>
            <w:r>
              <w:rPr>
                <w:rFonts w:hint="eastAsia" w:ascii="Calibri" w:hAnsi="宋体" w:eastAsia="宋体" w:cs="Times New Roman"/>
                <w:color w:val="auto"/>
                <w:sz w:val="24"/>
              </w:rPr>
              <w:t>《</w:t>
            </w:r>
            <w:r>
              <w:rPr>
                <w:rFonts w:ascii="Calibri" w:hAnsi="宋体" w:eastAsia="宋体" w:cs="Times New Roman"/>
                <w:color w:val="auto"/>
                <w:sz w:val="24"/>
              </w:rPr>
              <w:t>生态环境部办公厅关于印发</w:t>
            </w:r>
            <w:r>
              <w:rPr>
                <w:rFonts w:hint="eastAsia" w:ascii="Calibri" w:hAnsi="宋体" w:eastAsia="宋体" w:cs="Times New Roman"/>
                <w:color w:val="auto"/>
                <w:sz w:val="24"/>
              </w:rPr>
              <w:t>&lt;</w:t>
            </w:r>
            <w:r>
              <w:rPr>
                <w:rFonts w:ascii="Calibri" w:hAnsi="宋体" w:eastAsia="宋体" w:cs="Times New Roman"/>
                <w:color w:val="auto"/>
                <w:sz w:val="24"/>
              </w:rPr>
              <w:t>2023年生态环境分区管控成果动态更新工作方案</w:t>
            </w:r>
            <w:r>
              <w:rPr>
                <w:rFonts w:hint="eastAsia" w:ascii="Calibri" w:hAnsi="宋体" w:eastAsia="宋体" w:cs="Times New Roman"/>
                <w:color w:val="auto"/>
                <w:sz w:val="24"/>
              </w:rPr>
              <w:t>&gt;</w:t>
            </w:r>
            <w:r>
              <w:rPr>
                <w:rFonts w:ascii="Calibri" w:hAnsi="宋体" w:eastAsia="宋体" w:cs="Times New Roman"/>
                <w:color w:val="auto"/>
                <w:sz w:val="24"/>
              </w:rPr>
              <w:t>的通知</w:t>
            </w:r>
            <w:r>
              <w:rPr>
                <w:rFonts w:hint="eastAsia" w:ascii="Calibri" w:hAnsi="宋体" w:eastAsia="宋体" w:cs="Times New Roman"/>
                <w:color w:val="auto"/>
                <w:sz w:val="24"/>
              </w:rPr>
              <w:t>》</w:t>
            </w:r>
            <w:r>
              <w:rPr>
                <w:rFonts w:ascii="Calibri" w:hAnsi="宋体" w:eastAsia="宋体" w:cs="Times New Roman"/>
                <w:color w:val="auto"/>
                <w:sz w:val="24"/>
              </w:rPr>
              <w:t>（环办环评函〔2023〕81号）以及自治区工作要求，重点围绕“三区三线”划定成果、国家、自治区以及防城港市重大战略规划、“十四五”环境质量、能源资源管理目标和要求等，对防城港市生态环境分区管控成果进行更新调整。调整后全市陆域共划分为49个环境管控单元</w:t>
            </w:r>
            <w:r>
              <w:rPr>
                <w:rFonts w:hint="eastAsia" w:ascii="Calibri" w:hAnsi="宋体" w:eastAsia="宋体" w:cs="Times New Roman"/>
                <w:color w:val="auto"/>
                <w:sz w:val="24"/>
              </w:rPr>
              <w:t>，</w:t>
            </w:r>
            <w:r>
              <w:rPr>
                <w:rFonts w:ascii="Calibri" w:hAnsi="宋体" w:eastAsia="宋体" w:cs="Times New Roman"/>
                <w:color w:val="auto"/>
                <w:sz w:val="24"/>
              </w:rPr>
              <w:t>其中</w:t>
            </w:r>
            <w:r>
              <w:rPr>
                <w:rFonts w:hint="eastAsia" w:ascii="Calibri" w:hAnsi="宋体" w:eastAsia="宋体" w:cs="Times New Roman"/>
                <w:color w:val="auto"/>
                <w:sz w:val="24"/>
              </w:rPr>
              <w:t>：</w:t>
            </w:r>
            <w:r>
              <w:rPr>
                <w:rFonts w:ascii="Calibri" w:hAnsi="宋体" w:eastAsia="宋体" w:cs="Times New Roman"/>
                <w:color w:val="auto"/>
                <w:sz w:val="24"/>
              </w:rPr>
              <w:t>优先保护单元23个</w:t>
            </w:r>
            <w:r>
              <w:rPr>
                <w:rFonts w:hint="eastAsia" w:ascii="Calibri" w:hAnsi="宋体" w:eastAsia="宋体" w:cs="Times New Roman"/>
                <w:color w:val="auto"/>
                <w:sz w:val="24"/>
              </w:rPr>
              <w:t>，</w:t>
            </w:r>
            <w:r>
              <w:rPr>
                <w:rFonts w:ascii="Calibri" w:hAnsi="宋体" w:eastAsia="宋体" w:cs="Times New Roman"/>
                <w:color w:val="auto"/>
                <w:sz w:val="24"/>
              </w:rPr>
              <w:t>重点管控单元22个</w:t>
            </w:r>
            <w:r>
              <w:rPr>
                <w:rFonts w:hint="eastAsia" w:ascii="Calibri" w:hAnsi="宋体" w:eastAsia="宋体" w:cs="Times New Roman"/>
                <w:color w:val="auto"/>
                <w:sz w:val="24"/>
              </w:rPr>
              <w:t>，</w:t>
            </w:r>
            <w:r>
              <w:rPr>
                <w:rFonts w:ascii="Calibri" w:hAnsi="宋体" w:eastAsia="宋体" w:cs="Times New Roman"/>
                <w:color w:val="auto"/>
                <w:sz w:val="24"/>
              </w:rPr>
              <w:t>一般管控单</w:t>
            </w:r>
            <w:r>
              <w:rPr>
                <w:rFonts w:ascii="Times New Roman" w:hAnsi="宋体" w:eastAsia="宋体" w:cs="Times New Roman"/>
                <w:color w:val="auto"/>
                <w:sz w:val="24"/>
              </w:rPr>
              <w:t>元4个。</w:t>
            </w:r>
          </w:p>
          <w:p w14:paraId="399BEF71">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Times New Roman" w:hAnsi="宋体" w:eastAsia="宋体" w:cs="Times New Roman"/>
                <w:color w:val="auto"/>
                <w:sz w:val="24"/>
              </w:rPr>
              <w:t>本项目位于</w:t>
            </w:r>
            <w:r>
              <w:rPr>
                <w:rFonts w:hint="eastAsia" w:ascii="Times New Roman" w:hAnsi="Times New Roman" w:eastAsia="宋体" w:cs="Times New Roman"/>
                <w:color w:val="auto"/>
                <w:sz w:val="24"/>
              </w:rPr>
              <w:t>广西壮族自治区防城港市防城区江山镇利竹坪村</w:t>
            </w:r>
            <w:r>
              <w:rPr>
                <w:rFonts w:hint="eastAsia" w:ascii="Times New Roman" w:hAnsi="宋体" w:eastAsia="宋体" w:cs="Times New Roman"/>
                <w:color w:val="auto"/>
                <w:sz w:val="24"/>
              </w:rPr>
              <w:t>，根据</w:t>
            </w:r>
            <w:r>
              <w:rPr>
                <w:rFonts w:hint="eastAsia" w:ascii="Calibri" w:hAnsi="Calibri" w:eastAsia="宋体" w:cs="Times New Roman"/>
                <w:color w:val="auto"/>
                <w:sz w:val="24"/>
              </w:rPr>
              <w:t>广西生态云建设项目准入研判系统中导出的《</w:t>
            </w:r>
            <w:r>
              <w:rPr>
                <w:rFonts w:hint="eastAsia" w:cs="Times New Roman"/>
                <w:color w:val="auto"/>
                <w:sz w:val="24"/>
                <w:lang w:eastAsia="zh-CN"/>
              </w:rPr>
              <w:t>年加工3万吨废弃资源综合利用项目</w:t>
            </w:r>
            <w:r>
              <w:rPr>
                <w:rFonts w:hint="eastAsia" w:ascii="Calibri" w:hAnsi="Calibri" w:eastAsia="宋体" w:cs="Times New Roman"/>
                <w:color w:val="auto"/>
                <w:sz w:val="24"/>
              </w:rPr>
              <w:t>智能研判报告》（见附件6），涉及1个环境管控单元，其中优先保护类0个，重点管控类1个，一般管控类0个，见下表。</w:t>
            </w:r>
          </w:p>
          <w:p w14:paraId="7243B146">
            <w:pPr>
              <w:keepNext w:val="0"/>
              <w:keepLines w:val="0"/>
              <w:suppressLineNumbers w:val="0"/>
              <w:spacing w:before="0" w:beforeAutospacing="0" w:after="0" w:afterAutospacing="0"/>
              <w:ind w:left="0" w:right="0"/>
              <w:jc w:val="center"/>
              <w:rPr>
                <w:rFonts w:ascii="Calibri" w:hAnsi="Calibri" w:eastAsia="宋体" w:cs="Times New Roman"/>
                <w:b/>
                <w:bCs/>
                <w:color w:val="auto"/>
                <w:sz w:val="24"/>
              </w:rPr>
            </w:pPr>
            <w:r>
              <w:rPr>
                <w:rFonts w:hint="eastAsia" w:ascii="Calibri" w:hAnsi="Calibri" w:eastAsia="宋体" w:cs="Times New Roman"/>
                <w:b/>
                <w:bCs/>
                <w:color w:val="auto"/>
                <w:sz w:val="24"/>
              </w:rPr>
              <w:t>表1-1 涉及环境管控单元列表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616"/>
              <w:gridCol w:w="2007"/>
              <w:gridCol w:w="1361"/>
              <w:gridCol w:w="1089"/>
            </w:tblGrid>
            <w:tr w14:paraId="7126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7E2BC5C5">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21"/>
                    </w:rPr>
                  </w:pPr>
                  <w:r>
                    <w:rPr>
                      <w:rFonts w:hint="eastAsia" w:ascii="Calibri" w:hAnsi="Calibri" w:eastAsia="宋体" w:cs="Times New Roman"/>
                      <w:b/>
                      <w:bCs/>
                      <w:color w:val="auto"/>
                      <w:szCs w:val="21"/>
                    </w:rPr>
                    <w:t>序号</w:t>
                  </w:r>
                </w:p>
              </w:tc>
              <w:tc>
                <w:tcPr>
                  <w:tcW w:w="1020" w:type="pct"/>
                  <w:noWrap w:val="0"/>
                  <w:vAlign w:val="center"/>
                </w:tcPr>
                <w:p w14:paraId="74E21D8C">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21"/>
                    </w:rPr>
                  </w:pPr>
                  <w:r>
                    <w:rPr>
                      <w:rFonts w:hint="eastAsia" w:ascii="Calibri" w:hAnsi="Calibri" w:eastAsia="宋体" w:cs="Times New Roman"/>
                      <w:b/>
                      <w:bCs/>
                      <w:color w:val="auto"/>
                      <w:szCs w:val="21"/>
                    </w:rPr>
                    <w:t>管控单元编码</w:t>
                  </w:r>
                </w:p>
              </w:tc>
              <w:tc>
                <w:tcPr>
                  <w:tcW w:w="1561" w:type="pct"/>
                  <w:noWrap w:val="0"/>
                  <w:vAlign w:val="center"/>
                </w:tcPr>
                <w:p w14:paraId="3AE9BC94">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21"/>
                    </w:rPr>
                  </w:pPr>
                  <w:r>
                    <w:rPr>
                      <w:rFonts w:hint="eastAsia" w:ascii="Calibri" w:hAnsi="Calibri" w:eastAsia="宋体" w:cs="Times New Roman"/>
                      <w:b/>
                      <w:bCs/>
                      <w:color w:val="auto"/>
                      <w:szCs w:val="21"/>
                    </w:rPr>
                    <w:t>管控单元名称</w:t>
                  </w:r>
                </w:p>
              </w:tc>
              <w:tc>
                <w:tcPr>
                  <w:tcW w:w="1074" w:type="pct"/>
                  <w:noWrap w:val="0"/>
                  <w:vAlign w:val="center"/>
                </w:tcPr>
                <w:p w14:paraId="1DB58849">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21"/>
                    </w:rPr>
                  </w:pPr>
                  <w:r>
                    <w:rPr>
                      <w:rFonts w:hint="eastAsia" w:ascii="Calibri" w:hAnsi="Calibri" w:eastAsia="宋体" w:cs="Times New Roman"/>
                      <w:b/>
                      <w:bCs/>
                      <w:color w:val="auto"/>
                      <w:szCs w:val="21"/>
                    </w:rPr>
                    <w:t>管控单元分类</w:t>
                  </w:r>
                </w:p>
              </w:tc>
              <w:tc>
                <w:tcPr>
                  <w:tcW w:w="869" w:type="pct"/>
                  <w:noWrap w:val="0"/>
                  <w:vAlign w:val="center"/>
                </w:tcPr>
                <w:p w14:paraId="74911919">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21"/>
                    </w:rPr>
                  </w:pPr>
                  <w:r>
                    <w:rPr>
                      <w:rFonts w:hint="eastAsia" w:ascii="Calibri" w:hAnsi="Calibri" w:eastAsia="宋体" w:cs="Times New Roman"/>
                      <w:b/>
                      <w:bCs/>
                      <w:color w:val="auto"/>
                      <w:szCs w:val="21"/>
                    </w:rPr>
                    <w:t>国家标识码</w:t>
                  </w:r>
                </w:p>
              </w:tc>
            </w:tr>
            <w:tr w14:paraId="0B77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2BBED03F">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1</w:t>
                  </w:r>
                </w:p>
              </w:tc>
              <w:tc>
                <w:tcPr>
                  <w:tcW w:w="1020" w:type="pct"/>
                  <w:noWrap w:val="0"/>
                  <w:vAlign w:val="center"/>
                </w:tcPr>
                <w:p w14:paraId="46D0494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ZH4506032000</w:t>
                  </w:r>
                  <w:r>
                    <w:rPr>
                      <w:rFonts w:hint="eastAsia" w:ascii="Calibri" w:hAnsi="Calibri" w:eastAsia="宋体" w:cs="Times New Roman"/>
                      <w:color w:val="auto"/>
                      <w:szCs w:val="21"/>
                    </w:rPr>
                    <w:t>6</w:t>
                  </w:r>
                  <w:r>
                    <w:rPr>
                      <w:rFonts w:ascii="Calibri" w:hAnsi="Calibri" w:eastAsia="宋体" w:cs="Times New Roman"/>
                      <w:color w:val="auto"/>
                      <w:szCs w:val="21"/>
                    </w:rPr>
                    <w:t xml:space="preserve"> </w:t>
                  </w:r>
                </w:p>
              </w:tc>
              <w:tc>
                <w:tcPr>
                  <w:tcW w:w="1561" w:type="pct"/>
                  <w:noWrap w:val="0"/>
                  <w:vAlign w:val="center"/>
                </w:tcPr>
                <w:p w14:paraId="16B3C6AC">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 xml:space="preserve">防城区其他重点管控单元 </w:t>
                  </w:r>
                </w:p>
              </w:tc>
              <w:tc>
                <w:tcPr>
                  <w:tcW w:w="1074" w:type="pct"/>
                  <w:noWrap w:val="0"/>
                  <w:vAlign w:val="center"/>
                </w:tcPr>
                <w:p w14:paraId="7C7C28A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重点管控单元</w:t>
                  </w:r>
                </w:p>
              </w:tc>
              <w:tc>
                <w:tcPr>
                  <w:tcW w:w="869" w:type="pct"/>
                  <w:noWrap w:val="0"/>
                  <w:vAlign w:val="center"/>
                </w:tcPr>
                <w:p w14:paraId="2240E900">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w:t>
                  </w:r>
                </w:p>
              </w:tc>
            </w:tr>
          </w:tbl>
          <w:p w14:paraId="5E061782">
            <w:pPr>
              <w:keepNext w:val="0"/>
              <w:keepLines w:val="0"/>
              <w:suppressLineNumbers w:val="0"/>
              <w:spacing w:before="0" w:beforeAutospacing="0" w:after="0" w:afterAutospacing="0" w:line="360" w:lineRule="auto"/>
              <w:ind w:left="0" w:right="0" w:firstLine="480"/>
              <w:rPr>
                <w:rFonts w:hint="eastAsia" w:ascii="Times New Roman" w:hAnsi="宋体" w:eastAsia="宋体" w:cs="Times New Roman"/>
                <w:color w:val="auto"/>
                <w:sz w:val="24"/>
              </w:rPr>
            </w:pPr>
            <w:r>
              <w:rPr>
                <w:rFonts w:hint="eastAsia" w:ascii="Calibri" w:hAnsi="Calibri" w:eastAsia="宋体" w:cs="Times New Roman"/>
                <w:color w:val="auto"/>
                <w:sz w:val="24"/>
              </w:rPr>
              <w:t>由上表可知，项目选址属于防城区其他重点管控单元。根据《防城港市生态环境分区管控动态更新成果》（2023年），项目与环境管控要求相符性分析，见下表。</w:t>
            </w:r>
          </w:p>
          <w:p w14:paraId="39615098">
            <w:pPr>
              <w:keepNext w:val="0"/>
              <w:keepLines w:val="0"/>
              <w:suppressLineNumbers w:val="0"/>
              <w:spacing w:before="0" w:beforeAutospacing="0" w:after="0" w:afterAutospacing="0"/>
              <w:ind w:left="0" w:right="0"/>
              <w:jc w:val="center"/>
              <w:rPr>
                <w:rFonts w:ascii="Calibri" w:hAnsi="Calibri" w:eastAsia="宋体" w:cs="Times New Roman"/>
                <w:b/>
                <w:bCs/>
                <w:color w:val="auto"/>
                <w:sz w:val="24"/>
              </w:rPr>
            </w:pPr>
            <w:r>
              <w:rPr>
                <w:rFonts w:ascii="Calibri" w:hAnsi="Calibri" w:eastAsia="宋体" w:cs="Times New Roman"/>
                <w:b/>
                <w:bCs/>
                <w:color w:val="auto"/>
                <w:sz w:val="24"/>
              </w:rPr>
              <w:t>表</w:t>
            </w:r>
            <w:r>
              <w:rPr>
                <w:rFonts w:hint="eastAsia" w:ascii="Calibri" w:hAnsi="Calibri" w:eastAsia="宋体" w:cs="Times New Roman"/>
                <w:b/>
                <w:bCs/>
                <w:color w:val="auto"/>
                <w:sz w:val="24"/>
              </w:rPr>
              <w:t>1-2</w:t>
            </w:r>
            <w:r>
              <w:rPr>
                <w:rFonts w:ascii="Calibri" w:hAnsi="Calibri" w:eastAsia="宋体" w:cs="Times New Roman"/>
                <w:b/>
                <w:bCs/>
                <w:color w:val="auto"/>
                <w:sz w:val="24"/>
              </w:rPr>
              <w:t xml:space="preserve"> </w:t>
            </w:r>
            <w:r>
              <w:rPr>
                <w:rFonts w:hint="eastAsia" w:ascii="Calibri" w:hAnsi="Calibri" w:eastAsia="宋体" w:cs="Times New Roman"/>
                <w:b/>
                <w:bCs/>
                <w:color w:val="auto"/>
                <w:sz w:val="24"/>
              </w:rPr>
              <w:t>项目与防城港市生态环境分区管控单元管控要求相符性分析</w:t>
            </w:r>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65"/>
              <w:gridCol w:w="429"/>
              <w:gridCol w:w="2649"/>
              <w:gridCol w:w="1915"/>
              <w:gridCol w:w="428"/>
            </w:tblGrid>
            <w:tr w14:paraId="69B59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322" w:type="pct"/>
                  <w:noWrap w:val="0"/>
                  <w:vAlign w:val="center"/>
                </w:tcPr>
                <w:p w14:paraId="6E292458">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21"/>
                    </w:rPr>
                  </w:pPr>
                  <w:r>
                    <w:rPr>
                      <w:rFonts w:hint="eastAsia" w:ascii="Calibri" w:hAnsi="Calibri" w:eastAsia="宋体" w:cs="Times New Roman"/>
                      <w:b/>
                      <w:bCs/>
                      <w:color w:val="auto"/>
                      <w:szCs w:val="21"/>
                    </w:rPr>
                    <w:t>序号</w:t>
                  </w:r>
                </w:p>
              </w:tc>
              <w:tc>
                <w:tcPr>
                  <w:tcW w:w="579" w:type="pct"/>
                  <w:noWrap w:val="0"/>
                  <w:vAlign w:val="center"/>
                </w:tcPr>
                <w:p w14:paraId="579774EF">
                  <w:pPr>
                    <w:keepNext w:val="0"/>
                    <w:keepLines w:val="0"/>
                    <w:suppressLineNumbers w:val="0"/>
                    <w:spacing w:before="0" w:beforeAutospacing="0" w:after="0" w:afterAutospacing="0"/>
                    <w:ind w:left="0" w:right="0"/>
                    <w:jc w:val="center"/>
                    <w:rPr>
                      <w:rFonts w:ascii="Calibri" w:hAnsi="Calibri" w:eastAsia="宋体" w:cs="Times New Roman"/>
                      <w:b/>
                      <w:bCs/>
                      <w:color w:val="auto"/>
                      <w:szCs w:val="21"/>
                    </w:rPr>
                  </w:pPr>
                  <w:r>
                    <w:rPr>
                      <w:rFonts w:hint="eastAsia" w:ascii="Calibri" w:hAnsi="Calibri" w:eastAsia="宋体" w:cs="Times New Roman"/>
                      <w:b/>
                      <w:bCs/>
                      <w:color w:val="auto"/>
                      <w:szCs w:val="21"/>
                    </w:rPr>
                    <w:t>环境</w:t>
                  </w:r>
                  <w:r>
                    <w:rPr>
                      <w:rFonts w:ascii="Calibri" w:hAnsi="Calibri" w:eastAsia="宋体" w:cs="Times New Roman"/>
                      <w:b/>
                      <w:bCs/>
                      <w:color w:val="auto"/>
                      <w:szCs w:val="21"/>
                    </w:rPr>
                    <w:t>管控</w:t>
                  </w:r>
                  <w:r>
                    <w:rPr>
                      <w:rFonts w:hint="eastAsia" w:ascii="Calibri" w:hAnsi="Calibri" w:eastAsia="宋体" w:cs="Times New Roman"/>
                      <w:b/>
                      <w:bCs/>
                      <w:color w:val="auto"/>
                      <w:szCs w:val="21"/>
                    </w:rPr>
                    <w:t>单元名称</w:t>
                  </w:r>
                </w:p>
              </w:tc>
              <w:tc>
                <w:tcPr>
                  <w:tcW w:w="2327" w:type="pct"/>
                  <w:gridSpan w:val="2"/>
                  <w:noWrap w:val="0"/>
                  <w:vAlign w:val="center"/>
                </w:tcPr>
                <w:p w14:paraId="4AF274D9">
                  <w:pPr>
                    <w:keepNext w:val="0"/>
                    <w:keepLines w:val="0"/>
                    <w:suppressLineNumbers w:val="0"/>
                    <w:spacing w:before="0" w:beforeAutospacing="0" w:after="0" w:afterAutospacing="0"/>
                    <w:ind w:left="0" w:right="0"/>
                    <w:jc w:val="center"/>
                    <w:rPr>
                      <w:rFonts w:ascii="Calibri" w:hAnsi="Calibri" w:eastAsia="宋体" w:cs="Times New Roman"/>
                      <w:b/>
                      <w:bCs/>
                      <w:color w:val="auto"/>
                      <w:szCs w:val="21"/>
                    </w:rPr>
                  </w:pPr>
                  <w:r>
                    <w:rPr>
                      <w:rFonts w:hint="eastAsia" w:ascii="Calibri" w:hAnsi="Calibri" w:eastAsia="宋体" w:cs="Times New Roman"/>
                      <w:b/>
                      <w:bCs/>
                      <w:color w:val="auto"/>
                      <w:szCs w:val="21"/>
                    </w:rPr>
                    <w:t>生态环境准入及管控要求</w:t>
                  </w:r>
                </w:p>
              </w:tc>
              <w:tc>
                <w:tcPr>
                  <w:tcW w:w="1447" w:type="pct"/>
                  <w:noWrap w:val="0"/>
                  <w:vAlign w:val="center"/>
                </w:tcPr>
                <w:p w14:paraId="0B802B95">
                  <w:pPr>
                    <w:keepNext w:val="0"/>
                    <w:keepLines w:val="0"/>
                    <w:suppressLineNumbers w:val="0"/>
                    <w:spacing w:before="0" w:beforeAutospacing="0" w:after="0" w:afterAutospacing="0"/>
                    <w:ind w:left="0" w:right="0"/>
                    <w:jc w:val="center"/>
                    <w:rPr>
                      <w:rFonts w:ascii="Calibri" w:hAnsi="Calibri" w:eastAsia="宋体" w:cs="Times New Roman"/>
                      <w:b/>
                      <w:bCs/>
                      <w:color w:val="auto"/>
                      <w:szCs w:val="21"/>
                    </w:rPr>
                  </w:pPr>
                  <w:r>
                    <w:rPr>
                      <w:rFonts w:hint="eastAsia" w:ascii="Calibri" w:hAnsi="Calibri" w:eastAsia="宋体" w:cs="Times New Roman"/>
                      <w:b/>
                      <w:bCs/>
                      <w:color w:val="auto"/>
                      <w:szCs w:val="21"/>
                    </w:rPr>
                    <w:t>项目情况</w:t>
                  </w:r>
                </w:p>
              </w:tc>
              <w:tc>
                <w:tcPr>
                  <w:tcW w:w="322" w:type="pct"/>
                  <w:noWrap w:val="0"/>
                  <w:vAlign w:val="center"/>
                </w:tcPr>
                <w:p w14:paraId="1C4C32D3">
                  <w:pPr>
                    <w:keepNext w:val="0"/>
                    <w:keepLines w:val="0"/>
                    <w:suppressLineNumbers w:val="0"/>
                    <w:spacing w:before="0" w:beforeAutospacing="0" w:after="0" w:afterAutospacing="0"/>
                    <w:ind w:left="0" w:right="0"/>
                    <w:jc w:val="center"/>
                    <w:rPr>
                      <w:rFonts w:ascii="Calibri" w:hAnsi="Calibri" w:eastAsia="宋体" w:cs="Times New Roman"/>
                      <w:b/>
                      <w:bCs/>
                      <w:color w:val="auto"/>
                      <w:szCs w:val="21"/>
                    </w:rPr>
                  </w:pPr>
                  <w:r>
                    <w:rPr>
                      <w:rFonts w:ascii="Calibri" w:hAnsi="Calibri" w:eastAsia="宋体" w:cs="Times New Roman"/>
                      <w:b/>
                      <w:bCs/>
                      <w:color w:val="auto"/>
                      <w:szCs w:val="21"/>
                    </w:rPr>
                    <w:t>符合性</w:t>
                  </w:r>
                </w:p>
              </w:tc>
            </w:tr>
            <w:tr w14:paraId="7DE19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restart"/>
                  <w:noWrap w:val="0"/>
                  <w:vAlign w:val="center"/>
                </w:tcPr>
                <w:p w14:paraId="20EC848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1</w:t>
                  </w:r>
                </w:p>
              </w:tc>
              <w:tc>
                <w:tcPr>
                  <w:tcW w:w="579" w:type="pct"/>
                  <w:vMerge w:val="restart"/>
                  <w:noWrap w:val="0"/>
                  <w:vAlign w:val="center"/>
                </w:tcPr>
                <w:p w14:paraId="70E107BA">
                  <w:pPr>
                    <w:keepNext w:val="0"/>
                    <w:keepLines w:val="0"/>
                    <w:suppressLineNumbers w:val="0"/>
                    <w:spacing w:before="0" w:beforeAutospacing="0" w:after="0" w:afterAutospacing="0"/>
                    <w:ind w:left="0" w:right="0"/>
                    <w:jc w:val="center"/>
                    <w:rPr>
                      <w:rFonts w:ascii="Calibri" w:hAnsi="Calibri" w:eastAsia="宋体" w:cs="Times New Roman"/>
                      <w:color w:val="auto"/>
                      <w:szCs w:val="21"/>
                      <w:lang w:bidi="ar"/>
                    </w:rPr>
                  </w:pPr>
                  <w:r>
                    <w:rPr>
                      <w:rFonts w:hint="eastAsia" w:ascii="Calibri" w:hAnsi="Calibri" w:eastAsia="宋体" w:cs="Times New Roman"/>
                      <w:color w:val="auto"/>
                      <w:szCs w:val="21"/>
                      <w:lang w:bidi="ar"/>
                    </w:rPr>
                    <w:t>防城区其他重点管控单元</w:t>
                  </w:r>
                </w:p>
                <w:p w14:paraId="63085A28">
                  <w:pPr>
                    <w:keepNext w:val="0"/>
                    <w:keepLines w:val="0"/>
                    <w:suppressLineNumbers w:val="0"/>
                    <w:spacing w:before="0" w:beforeAutospacing="0" w:after="0" w:afterAutospacing="0"/>
                    <w:ind w:left="0" w:right="0"/>
                    <w:jc w:val="center"/>
                    <w:rPr>
                      <w:rFonts w:ascii="Calibri" w:hAnsi="Calibri" w:eastAsia="宋体" w:cs="Times New Roman"/>
                      <w:color w:val="auto"/>
                      <w:szCs w:val="21"/>
                      <w:lang w:bidi="ar"/>
                    </w:rPr>
                  </w:pPr>
                </w:p>
              </w:tc>
              <w:tc>
                <w:tcPr>
                  <w:tcW w:w="325" w:type="pct"/>
                  <w:vMerge w:val="restart"/>
                  <w:noWrap w:val="0"/>
                  <w:vAlign w:val="center"/>
                </w:tcPr>
                <w:p w14:paraId="47D55863">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空间布局约束</w:t>
                  </w:r>
                </w:p>
              </w:tc>
              <w:tc>
                <w:tcPr>
                  <w:tcW w:w="2002" w:type="pct"/>
                  <w:noWrap w:val="0"/>
                  <w:vAlign w:val="center"/>
                </w:tcPr>
                <w:p w14:paraId="7AB63A1D">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lang w:bidi="ar"/>
                    </w:rPr>
                  </w:pPr>
                  <w:r>
                    <w:rPr>
                      <w:rFonts w:ascii="Calibri" w:hAnsi="Calibri" w:eastAsia="宋体" w:cs="Times New Roman"/>
                      <w:color w:val="auto"/>
                      <w:szCs w:val="21"/>
                      <w:lang w:bidi="ar"/>
                    </w:rPr>
                    <w:t>1</w:t>
                  </w:r>
                  <w:r>
                    <w:rPr>
                      <w:rFonts w:hint="eastAsia" w:ascii="Calibri" w:hAnsi="Calibri" w:eastAsia="宋体" w:cs="Times New Roman"/>
                      <w:color w:val="auto"/>
                      <w:szCs w:val="21"/>
                      <w:lang w:bidi="ar"/>
                    </w:rPr>
                    <w:t>．规划产业园区应当依法依规进行审批。</w:t>
                  </w:r>
                  <w:r>
                    <w:rPr>
                      <w:rFonts w:ascii="Calibri" w:hAnsi="Calibri" w:eastAsia="宋体" w:cs="Times New Roman"/>
                      <w:color w:val="auto"/>
                      <w:szCs w:val="21"/>
                      <w:lang w:bidi="ar"/>
                    </w:rPr>
                    <w:t xml:space="preserve"> </w:t>
                  </w:r>
                </w:p>
              </w:tc>
              <w:tc>
                <w:tcPr>
                  <w:tcW w:w="1447" w:type="pct"/>
                  <w:noWrap w:val="0"/>
                  <w:vAlign w:val="center"/>
                </w:tcPr>
                <w:p w14:paraId="71A02264">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hint="eastAsia" w:ascii="Calibri" w:hAnsi="Calibri" w:eastAsia="宋体" w:cs="Times New Roman"/>
                      <w:color w:val="auto"/>
                    </w:rPr>
                    <w:t>项目不涉及规划产业园</w:t>
                  </w:r>
                  <w:r>
                    <w:rPr>
                      <w:rFonts w:ascii="Calibri" w:hAnsi="Calibri" w:eastAsia="宋体" w:cs="Times New Roman"/>
                      <w:color w:val="auto"/>
                    </w:rPr>
                    <w:t>。</w:t>
                  </w:r>
                </w:p>
              </w:tc>
              <w:tc>
                <w:tcPr>
                  <w:tcW w:w="322" w:type="pct"/>
                  <w:noWrap w:val="0"/>
                  <w:vAlign w:val="center"/>
                </w:tcPr>
                <w:p w14:paraId="5DC66829">
                  <w:pPr>
                    <w:keepNext w:val="0"/>
                    <w:keepLines w:val="0"/>
                    <w:widowControl/>
                    <w:suppressLineNumbers w:val="0"/>
                    <w:adjustRightInd w:val="0"/>
                    <w:snapToGrid w:val="0"/>
                    <w:spacing w:before="0" w:beforeAutospacing="0" w:after="0" w:afterAutospacing="0"/>
                    <w:ind w:left="0" w:right="0"/>
                    <w:jc w:val="center"/>
                    <w:textAlignment w:val="center"/>
                    <w:rPr>
                      <w:rFonts w:ascii="Calibri" w:hAnsi="Calibri" w:eastAsia="宋体" w:cs="Times New Roman"/>
                      <w:color w:val="auto"/>
                      <w:szCs w:val="21"/>
                    </w:rPr>
                  </w:pPr>
                  <w:r>
                    <w:rPr>
                      <w:rFonts w:hint="eastAsia" w:ascii="Calibri" w:hAnsi="Calibri" w:eastAsia="宋体" w:cs="Times New Roman"/>
                      <w:color w:val="auto"/>
                      <w:szCs w:val="21"/>
                    </w:rPr>
                    <w:t>符合</w:t>
                  </w:r>
                </w:p>
              </w:tc>
            </w:tr>
            <w:tr w14:paraId="27E7C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2EC6478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57AF9B5D">
                  <w:pPr>
                    <w:keepNext w:val="0"/>
                    <w:keepLines w:val="0"/>
                    <w:suppressLineNumbers w:val="0"/>
                    <w:spacing w:before="0" w:beforeAutospacing="0" w:after="0" w:afterAutospacing="0"/>
                    <w:ind w:left="0" w:right="0"/>
                    <w:jc w:val="center"/>
                    <w:rPr>
                      <w:rFonts w:ascii="Calibri" w:hAnsi="Calibri" w:eastAsia="宋体" w:cs="Times New Roman"/>
                      <w:color w:val="auto"/>
                      <w:szCs w:val="21"/>
                      <w:lang w:bidi="ar"/>
                    </w:rPr>
                  </w:pPr>
                </w:p>
              </w:tc>
              <w:tc>
                <w:tcPr>
                  <w:tcW w:w="325" w:type="pct"/>
                  <w:vMerge w:val="continue"/>
                  <w:noWrap w:val="0"/>
                  <w:vAlign w:val="center"/>
                </w:tcPr>
                <w:p w14:paraId="2AF1A816">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03F00014">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lang w:bidi="ar"/>
                    </w:rPr>
                  </w:pPr>
                  <w:r>
                    <w:rPr>
                      <w:rFonts w:ascii="Calibri" w:hAnsi="Calibri" w:eastAsia="宋体" w:cs="Times New Roman"/>
                      <w:color w:val="auto"/>
                      <w:szCs w:val="21"/>
                      <w:lang w:bidi="ar"/>
                    </w:rPr>
                    <w:t>2</w:t>
                  </w:r>
                  <w:r>
                    <w:rPr>
                      <w:rFonts w:hint="eastAsia" w:ascii="Calibri" w:hAnsi="Calibri" w:eastAsia="宋体" w:cs="Times New Roman"/>
                      <w:color w:val="auto"/>
                      <w:szCs w:val="21"/>
                      <w:lang w:bidi="ar"/>
                    </w:rPr>
                    <w:t xml:space="preserve">．禁止在居民区和学校、医院、疗养院、养老院等单位周边新建、改建、扩建可能造成土壤污染的建设项目。严格控制在人口聚居区域内新（改、扩）建涉重金属企业。 </w:t>
                  </w:r>
                </w:p>
              </w:tc>
              <w:tc>
                <w:tcPr>
                  <w:tcW w:w="1447" w:type="pct"/>
                  <w:noWrap w:val="0"/>
                  <w:vAlign w:val="center"/>
                </w:tcPr>
                <w:p w14:paraId="21DE0437">
                  <w:pPr>
                    <w:keepNext w:val="0"/>
                    <w:keepLines w:val="0"/>
                    <w:widowControl/>
                    <w:suppressLineNumbers w:val="0"/>
                    <w:adjustRightInd w:val="0"/>
                    <w:snapToGrid w:val="0"/>
                    <w:spacing w:before="0" w:beforeAutospacing="0" w:after="0" w:afterAutospacing="0"/>
                    <w:ind w:left="0" w:right="0"/>
                    <w:jc w:val="left"/>
                    <w:textAlignment w:val="center"/>
                    <w:rPr>
                      <w:rFonts w:hint="eastAsia"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项目选址为防城区其他重点管控单元，主要从粮油企业外购废弃物（主要是废豆粕、生活垃圾等），将生活垃圾进行分拣塑料、废金属碎屑、木块、玻璃等后，剩下餐厨垃圾（剩饭菜、果皮、菜叶等）和原料废豆粕用于高温好氧发酵，产品主要是废塑料、废金属铁碎屑、生物肥料，不属于土壤污染的建设项目，不涉及重金属。</w:t>
                  </w:r>
                </w:p>
              </w:tc>
              <w:tc>
                <w:tcPr>
                  <w:tcW w:w="322" w:type="pct"/>
                  <w:noWrap w:val="0"/>
                  <w:vAlign w:val="center"/>
                </w:tcPr>
                <w:p w14:paraId="7A017FF7">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47F57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2A84FBE8">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3333DC73">
                  <w:pPr>
                    <w:keepNext w:val="0"/>
                    <w:keepLines w:val="0"/>
                    <w:suppressLineNumbers w:val="0"/>
                    <w:spacing w:before="0" w:beforeAutospacing="0" w:after="0" w:afterAutospacing="0"/>
                    <w:ind w:left="0" w:right="0"/>
                    <w:jc w:val="center"/>
                    <w:rPr>
                      <w:rFonts w:ascii="Calibri" w:hAnsi="Calibri" w:eastAsia="宋体" w:cs="Times New Roman"/>
                      <w:color w:val="auto"/>
                      <w:szCs w:val="21"/>
                      <w:lang w:bidi="ar"/>
                    </w:rPr>
                  </w:pPr>
                </w:p>
              </w:tc>
              <w:tc>
                <w:tcPr>
                  <w:tcW w:w="325" w:type="pct"/>
                  <w:vMerge w:val="continue"/>
                  <w:noWrap w:val="0"/>
                  <w:vAlign w:val="center"/>
                </w:tcPr>
                <w:p w14:paraId="31AA5E09">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34AF79C5">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lang w:bidi="ar"/>
                    </w:rPr>
                  </w:pPr>
                  <w:r>
                    <w:rPr>
                      <w:rFonts w:hint="eastAsia" w:ascii="Calibri" w:hAnsi="Calibri" w:eastAsia="宋体" w:cs="Times New Roman"/>
                      <w:color w:val="auto"/>
                      <w:szCs w:val="21"/>
                      <w:lang w:bidi="ar"/>
                    </w:rPr>
                    <w:t>3．强化源头管控，新上项目能效需达到国家、自治区相关标准要求。</w:t>
                  </w:r>
                  <w:r>
                    <w:rPr>
                      <w:rFonts w:ascii="Calibri" w:hAnsi="Calibri" w:eastAsia="宋体" w:cs="Times New Roman"/>
                      <w:color w:val="auto"/>
                      <w:szCs w:val="21"/>
                      <w:lang w:bidi="ar"/>
                    </w:rPr>
                    <w:t xml:space="preserve"> </w:t>
                  </w:r>
                </w:p>
              </w:tc>
              <w:tc>
                <w:tcPr>
                  <w:tcW w:w="1447" w:type="pct"/>
                  <w:noWrap w:val="0"/>
                  <w:vAlign w:val="center"/>
                </w:tcPr>
                <w:p w14:paraId="109C39D5">
                  <w:pPr>
                    <w:keepNext w:val="0"/>
                    <w:keepLines w:val="0"/>
                    <w:widowControl/>
                    <w:suppressLineNumbers w:val="0"/>
                    <w:adjustRightInd w:val="0"/>
                    <w:snapToGrid w:val="0"/>
                    <w:spacing w:before="0" w:beforeAutospacing="0" w:after="0" w:afterAutospacing="0"/>
                    <w:ind w:left="0" w:right="0"/>
                    <w:jc w:val="left"/>
                    <w:textAlignment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项目原料、成品、分拣间、发酵间均为封闭式（进出口采用卷门遮挡）、地面防渗；源头控制，发酵工序产生的恶臭经未负压收集后，经生物除臭塔处理后，经15m高排气筒DA001排放；未能收集的废气在车间外围喷洒除臭剂进一步降低恶臭的影响。</w:t>
                  </w:r>
                </w:p>
              </w:tc>
              <w:tc>
                <w:tcPr>
                  <w:tcW w:w="322" w:type="pct"/>
                  <w:noWrap w:val="0"/>
                  <w:vAlign w:val="center"/>
                </w:tcPr>
                <w:p w14:paraId="3BE3A5A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1A474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7C958854">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16FC11C3">
                  <w:pPr>
                    <w:keepNext w:val="0"/>
                    <w:keepLines w:val="0"/>
                    <w:suppressLineNumbers w:val="0"/>
                    <w:spacing w:before="0" w:beforeAutospacing="0" w:after="0" w:afterAutospacing="0"/>
                    <w:ind w:left="0" w:right="0"/>
                    <w:jc w:val="center"/>
                    <w:rPr>
                      <w:rFonts w:ascii="Calibri" w:hAnsi="Calibri" w:eastAsia="宋体" w:cs="Times New Roman"/>
                      <w:color w:val="auto"/>
                      <w:szCs w:val="21"/>
                      <w:lang w:bidi="ar"/>
                    </w:rPr>
                  </w:pPr>
                </w:p>
              </w:tc>
              <w:tc>
                <w:tcPr>
                  <w:tcW w:w="325" w:type="pct"/>
                  <w:vMerge w:val="continue"/>
                  <w:noWrap w:val="0"/>
                  <w:vAlign w:val="center"/>
                </w:tcPr>
                <w:p w14:paraId="034A2C5E">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6FD8F965">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lang w:bidi="ar"/>
                    </w:rPr>
                  </w:pPr>
                  <w:r>
                    <w:rPr>
                      <w:rFonts w:ascii="Calibri" w:hAnsi="Calibri" w:eastAsia="宋体" w:cs="Times New Roman"/>
                      <w:color w:val="auto"/>
                      <w:szCs w:val="21"/>
                      <w:lang w:bidi="ar"/>
                    </w:rPr>
                    <w:t>4</w:t>
                  </w:r>
                  <w:r>
                    <w:rPr>
                      <w:rFonts w:hint="eastAsia" w:ascii="Calibri" w:hAnsi="Calibri" w:eastAsia="宋体" w:cs="Times New Roman"/>
                      <w:color w:val="auto"/>
                      <w:szCs w:val="21"/>
                      <w:lang w:bidi="ar"/>
                    </w:rPr>
                    <w:t>．严格生态环境准入，合理控制工业企业、矿产资源开发规模与强度，优先避让生态环境敏感区域。</w:t>
                  </w:r>
                </w:p>
              </w:tc>
              <w:tc>
                <w:tcPr>
                  <w:tcW w:w="1447" w:type="pct"/>
                  <w:noWrap w:val="0"/>
                  <w:vAlign w:val="center"/>
                </w:tcPr>
                <w:p w14:paraId="498616FA">
                  <w:pPr>
                    <w:pStyle w:val="6"/>
                    <w:keepNext w:val="0"/>
                    <w:keepLines w:val="0"/>
                    <w:suppressLineNumbers w:val="0"/>
                    <w:spacing w:before="0" w:beforeAutospacing="0" w:after="0" w:afterAutospacing="0"/>
                    <w:ind w:left="0" w:right="0"/>
                    <w:rPr>
                      <w:rFonts w:hint="eastAsia" w:ascii="Calibri" w:hAnsi="Calibri" w:eastAsia="宋体" w:cs="Times New Roman"/>
                      <w:color w:val="auto"/>
                      <w:sz w:val="21"/>
                      <w:szCs w:val="21"/>
                      <w:lang w:bidi="ar"/>
                    </w:rPr>
                  </w:pPr>
                  <w:r>
                    <w:rPr>
                      <w:rFonts w:hint="eastAsia" w:ascii="Times New Roman" w:hAnsi="Times New Roman" w:eastAsia="宋体" w:cs="Times New Roman"/>
                      <w:color w:val="auto"/>
                      <w:sz w:val="21"/>
                      <w:szCs w:val="21"/>
                      <w:lang w:bidi="ar"/>
                    </w:rPr>
                    <w:t>项目选址为防城区其他重点管控单元，不涉及</w:t>
                  </w:r>
                  <w:r>
                    <w:rPr>
                      <w:rFonts w:hint="eastAsia" w:ascii="Calibri" w:hAnsi="Calibri" w:eastAsia="宋体" w:cs="Times New Roman"/>
                      <w:color w:val="auto"/>
                      <w:sz w:val="21"/>
                      <w:szCs w:val="21"/>
                      <w:lang w:bidi="ar"/>
                    </w:rPr>
                    <w:t>生态环境敏感区域</w:t>
                  </w:r>
                  <w:r>
                    <w:rPr>
                      <w:rFonts w:hint="eastAsia" w:ascii="Times New Roman" w:hAnsi="Times New Roman" w:eastAsia="宋体" w:cs="Times New Roman"/>
                      <w:color w:val="auto"/>
                      <w:sz w:val="21"/>
                      <w:szCs w:val="21"/>
                      <w:lang w:bidi="ar"/>
                    </w:rPr>
                    <w:t>。</w:t>
                  </w:r>
                </w:p>
              </w:tc>
              <w:tc>
                <w:tcPr>
                  <w:tcW w:w="322" w:type="pct"/>
                  <w:noWrap w:val="0"/>
                  <w:vAlign w:val="center"/>
                </w:tcPr>
                <w:p w14:paraId="2D9FBD72">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71122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2B4DA66A">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2D4259B6">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restart"/>
                  <w:noWrap w:val="0"/>
                  <w:vAlign w:val="center"/>
                </w:tcPr>
                <w:p w14:paraId="2FC449CC">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污染物排放管控</w:t>
                  </w:r>
                </w:p>
              </w:tc>
              <w:tc>
                <w:tcPr>
                  <w:tcW w:w="2002" w:type="pct"/>
                  <w:noWrap w:val="0"/>
                  <w:vAlign w:val="center"/>
                </w:tcPr>
                <w:p w14:paraId="53CAD764">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rPr>
                    <w:t>1</w:t>
                  </w:r>
                  <w:r>
                    <w:rPr>
                      <w:rFonts w:ascii="Calibri" w:hAnsi="Calibri" w:eastAsia="宋体" w:cs="Times New Roman"/>
                      <w:color w:val="auto"/>
                      <w:kern w:val="0"/>
                    </w:rPr>
                    <w:t>．规划产业园区建设应同步完善污水处理设施及管网建设；园区及园区企业主要污染物排放应控制在区域环境承载能力范围内，确保环境质量达标。</w:t>
                  </w:r>
                </w:p>
              </w:tc>
              <w:tc>
                <w:tcPr>
                  <w:tcW w:w="1447" w:type="pct"/>
                  <w:noWrap w:val="0"/>
                  <w:vAlign w:val="center"/>
                </w:tcPr>
                <w:p w14:paraId="7B80919E">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项目不涉及</w:t>
                  </w:r>
                  <w:r>
                    <w:rPr>
                      <w:rFonts w:hint="eastAsia" w:ascii="Calibri" w:hAnsi="Calibri" w:eastAsia="宋体" w:cs="Times New Roman"/>
                      <w:color w:val="auto"/>
                    </w:rPr>
                    <w:t>规划产业园</w:t>
                  </w:r>
                  <w:r>
                    <w:rPr>
                      <w:rFonts w:hint="eastAsia" w:ascii="Calibri" w:hAnsi="Calibri" w:eastAsia="宋体" w:cs="Times New Roman"/>
                      <w:color w:val="auto"/>
                      <w:szCs w:val="21"/>
                    </w:rPr>
                    <w:t>。</w:t>
                  </w:r>
                </w:p>
              </w:tc>
              <w:tc>
                <w:tcPr>
                  <w:tcW w:w="322" w:type="pct"/>
                  <w:noWrap w:val="0"/>
                  <w:vAlign w:val="center"/>
                </w:tcPr>
                <w:p w14:paraId="362FBBD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2740E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1A523B7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19669EA5">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continue"/>
                  <w:noWrap w:val="0"/>
                  <w:vAlign w:val="center"/>
                </w:tcPr>
                <w:p w14:paraId="4DA2C558">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10139D1A">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 xml:space="preserve">2．工业企业应当落实大气污染防治要求，采取有效措施，强化企业大气污染物排放精细化管理、无组织废气排放控制以及高效治污设施建设。积极推广园区集中供热。强化园区堆场扬尘控制。推动重点行业 VOCs 的排放管控，加强 VOCs </w:t>
                  </w:r>
                </w:p>
                <w:p w14:paraId="52650A43">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排放企业源头控制。</w:t>
                  </w:r>
                </w:p>
              </w:tc>
              <w:tc>
                <w:tcPr>
                  <w:tcW w:w="1447" w:type="pct"/>
                  <w:noWrap w:val="0"/>
                  <w:vAlign w:val="center"/>
                </w:tcPr>
                <w:p w14:paraId="6923F7E6">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rPr>
                  </w:pPr>
                  <w:r>
                    <w:rPr>
                      <w:rFonts w:hint="eastAsia" w:ascii="Calibri" w:hAnsi="Calibri" w:eastAsia="宋体" w:cs="Times New Roman"/>
                      <w:color w:val="auto"/>
                      <w:szCs w:val="21"/>
                      <w:lang w:eastAsia="zh-CN"/>
                    </w:rPr>
                    <w:t>项目</w:t>
                  </w:r>
                  <w:r>
                    <w:rPr>
                      <w:rFonts w:hint="eastAsia" w:ascii="Times New Roman" w:hAnsi="Times New Roman" w:eastAsia="宋体" w:cs="Times New Roman"/>
                      <w:color w:val="auto"/>
                      <w:szCs w:val="21"/>
                      <w:lang w:bidi="ar"/>
                    </w:rPr>
                    <w:t>原料、成品、生产车间均为封闭式（进出口采用卷门遮挡），发酵工序产生的恶臭经未负压收集后，经生物除臭塔处理后，经15m高排气筒DA001排放；未能收集的废气在车间外围喷洒除臭剂进一步降低恶臭的影响。项目不涉及VOCs。</w:t>
                  </w:r>
                </w:p>
              </w:tc>
              <w:tc>
                <w:tcPr>
                  <w:tcW w:w="322" w:type="pct"/>
                  <w:noWrap w:val="0"/>
                  <w:vAlign w:val="center"/>
                </w:tcPr>
                <w:p w14:paraId="79EA414D">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77369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579FE6F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1B40C58E">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continue"/>
                  <w:noWrap w:val="0"/>
                  <w:vAlign w:val="center"/>
                </w:tcPr>
                <w:p w14:paraId="3487D8FE">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61931408">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3．矿产资源勘查以及采选过程中排土场、露天采场、尾矿库、矿区专用道路、矿山工业场地、沉陷区、矸石场、矿山污染场地等的生态环境保护与治理恢复工作须满足《矿山生态环境保护与治理恢复技术规范（试行）》（HJ 651-2013）要求。落实边开采、边保护、边复垦的要求，使新建、在建矿山损毁土地得到全面复垦。</w:t>
                  </w:r>
                </w:p>
              </w:tc>
              <w:tc>
                <w:tcPr>
                  <w:tcW w:w="1447" w:type="pct"/>
                  <w:noWrap w:val="0"/>
                  <w:vAlign w:val="center"/>
                </w:tcPr>
                <w:p w14:paraId="758469F4">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项目不涉及矿产资源。</w:t>
                  </w:r>
                </w:p>
              </w:tc>
              <w:tc>
                <w:tcPr>
                  <w:tcW w:w="322" w:type="pct"/>
                  <w:noWrap w:val="0"/>
                  <w:vAlign w:val="center"/>
                </w:tcPr>
                <w:p w14:paraId="7A5E770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3D3F8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7EF0E3E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5DA0EE92">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continue"/>
                  <w:noWrap w:val="0"/>
                  <w:vAlign w:val="center"/>
                </w:tcPr>
                <w:p w14:paraId="6C2C4C36">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15C919CC">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4．禁止向内河水域排放船舶垃圾。禁止直接排放船舶水污染物，完善港区污水集中处理设施和配套管网建设，实现污水集中处理、回用或达标排放。</w:t>
                  </w:r>
                </w:p>
              </w:tc>
              <w:tc>
                <w:tcPr>
                  <w:tcW w:w="1447" w:type="pct"/>
                  <w:noWrap w:val="0"/>
                  <w:vAlign w:val="center"/>
                </w:tcPr>
                <w:p w14:paraId="11DF0331">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项目不涉及污水外排</w:t>
                  </w:r>
                  <w:r>
                    <w:rPr>
                      <w:rFonts w:hint="eastAsia" w:ascii="Calibri" w:hAnsi="Calibri" w:eastAsia="宋体" w:cs="Times New Roman"/>
                      <w:color w:val="auto"/>
                      <w:szCs w:val="21"/>
                      <w:lang w:bidi="ar"/>
                    </w:rPr>
                    <w:t>。</w:t>
                  </w:r>
                </w:p>
              </w:tc>
              <w:tc>
                <w:tcPr>
                  <w:tcW w:w="322" w:type="pct"/>
                  <w:noWrap w:val="0"/>
                  <w:vAlign w:val="center"/>
                </w:tcPr>
                <w:p w14:paraId="14DFA1D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55B7E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287325D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7E4396B6">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continue"/>
                  <w:noWrap w:val="0"/>
                  <w:vAlign w:val="center"/>
                </w:tcPr>
                <w:p w14:paraId="2709B3AA">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116269DB">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5．大力推进港口污染防治，强化港口码头堆场扬尘控制。</w:t>
                  </w:r>
                </w:p>
              </w:tc>
              <w:tc>
                <w:tcPr>
                  <w:tcW w:w="1447" w:type="pct"/>
                  <w:noWrap w:val="0"/>
                  <w:vAlign w:val="center"/>
                </w:tcPr>
                <w:p w14:paraId="2FD23B97">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项目不涉及港口码头项目</w:t>
                  </w:r>
                  <w:r>
                    <w:rPr>
                      <w:rFonts w:hint="eastAsia" w:ascii="Calibri" w:hAnsi="Calibri" w:eastAsia="宋体" w:cs="Times New Roman"/>
                      <w:color w:val="auto"/>
                      <w:szCs w:val="21"/>
                      <w:lang w:bidi="ar"/>
                    </w:rPr>
                    <w:t>。</w:t>
                  </w:r>
                </w:p>
              </w:tc>
              <w:tc>
                <w:tcPr>
                  <w:tcW w:w="322" w:type="pct"/>
                  <w:noWrap w:val="0"/>
                  <w:vAlign w:val="center"/>
                </w:tcPr>
                <w:p w14:paraId="7C1B5899">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1DA08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2B7BA963">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57718D8E">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continue"/>
                  <w:noWrap w:val="0"/>
                  <w:vAlign w:val="center"/>
                </w:tcPr>
                <w:p w14:paraId="531E28A3">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5540D762">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6．推动港口船舶绿色发展。实施船舶发动机第二阶段排放标准。推动新能源、清洁能源动力船舶应用，鼓励有条件的内河船舶实施液化天然气(LNG )动力系统更新改造，加快港口供电设施建设，协同推进船舶受电设施和港口岸电设施改造，推动船舶靠港使用岸电。推进码头水平运输机械“油改电”和“油改气”改造工作。</w:t>
                  </w:r>
                </w:p>
              </w:tc>
              <w:tc>
                <w:tcPr>
                  <w:tcW w:w="1447" w:type="pct"/>
                  <w:noWrap w:val="0"/>
                  <w:vAlign w:val="center"/>
                </w:tcPr>
                <w:p w14:paraId="222CA5AF">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项目不涉及港口码头项目</w:t>
                  </w:r>
                  <w:r>
                    <w:rPr>
                      <w:rFonts w:hint="eastAsia" w:ascii="Calibri" w:hAnsi="Calibri" w:eastAsia="宋体" w:cs="Times New Roman"/>
                      <w:color w:val="auto"/>
                      <w:szCs w:val="21"/>
                      <w:lang w:bidi="ar"/>
                    </w:rPr>
                    <w:t>。</w:t>
                  </w:r>
                </w:p>
              </w:tc>
              <w:tc>
                <w:tcPr>
                  <w:tcW w:w="322" w:type="pct"/>
                  <w:noWrap w:val="0"/>
                  <w:vAlign w:val="center"/>
                </w:tcPr>
                <w:p w14:paraId="3F40C272">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7B033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77744946">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564CA21A">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continue"/>
                  <w:noWrap w:val="0"/>
                  <w:vAlign w:val="center"/>
                </w:tcPr>
                <w:p w14:paraId="63D8E0F7">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1C09797E">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7．2024 年 1 月 1 日起，具有万吨级以上油品泊位的码头、现有 8000 总吨及以上的油船按照国家标准开展油气回收治理。</w:t>
                  </w:r>
                </w:p>
              </w:tc>
              <w:tc>
                <w:tcPr>
                  <w:tcW w:w="1447" w:type="pct"/>
                  <w:noWrap w:val="0"/>
                  <w:vAlign w:val="center"/>
                </w:tcPr>
                <w:p w14:paraId="62B06375">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rPr>
                  </w:pPr>
                  <w:r>
                    <w:rPr>
                      <w:rFonts w:hint="eastAsia" w:ascii="Calibri" w:hAnsi="Calibri" w:eastAsia="宋体" w:cs="Times New Roman"/>
                      <w:color w:val="auto"/>
                      <w:szCs w:val="21"/>
                    </w:rPr>
                    <w:t>项目不涉及油船项目。</w:t>
                  </w:r>
                </w:p>
              </w:tc>
              <w:tc>
                <w:tcPr>
                  <w:tcW w:w="322" w:type="pct"/>
                  <w:noWrap w:val="0"/>
                  <w:vAlign w:val="center"/>
                </w:tcPr>
                <w:p w14:paraId="18F60C7A">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3706B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2CF4264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150EB887">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restart"/>
                  <w:noWrap w:val="0"/>
                  <w:vAlign w:val="center"/>
                </w:tcPr>
                <w:p w14:paraId="17C379B3">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rPr>
                    <w:t>环境风险防控</w:t>
                  </w:r>
                </w:p>
              </w:tc>
              <w:tc>
                <w:tcPr>
                  <w:tcW w:w="2002" w:type="pct"/>
                  <w:noWrap w:val="0"/>
                  <w:vAlign w:val="center"/>
                </w:tcPr>
                <w:p w14:paraId="16056570">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1．开展环境风险评估，制定突发环境事件应急预案并备案，配备应急能力和物资，建设环境应急队伍，并定期演练。完善区域应急联动机制。</w:t>
                  </w:r>
                </w:p>
              </w:tc>
              <w:tc>
                <w:tcPr>
                  <w:tcW w:w="1447" w:type="pct"/>
                  <w:noWrap w:val="0"/>
                  <w:vAlign w:val="center"/>
                </w:tcPr>
                <w:p w14:paraId="222BE86B">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rPr>
                  </w:pPr>
                  <w:r>
                    <w:rPr>
                      <w:rFonts w:hint="eastAsia" w:ascii="Times New Roman" w:hAnsi="宋体" w:eastAsia="宋体" w:cs="Times New Roman"/>
                      <w:color w:val="auto"/>
                      <w:szCs w:val="21"/>
                    </w:rPr>
                    <w:t>项目按</w:t>
                  </w:r>
                  <w:r>
                    <w:rPr>
                      <w:rFonts w:hint="eastAsia" w:ascii="Times New Roman" w:hAnsi="宋体" w:eastAsia="宋体" w:cs="Times New Roman"/>
                      <w:color w:val="auto"/>
                      <w:szCs w:val="21"/>
                      <w:lang w:eastAsia="zh-CN"/>
                    </w:rPr>
                    <w:t>照要</w:t>
                  </w:r>
                  <w:r>
                    <w:rPr>
                      <w:rFonts w:hint="eastAsia" w:ascii="Times New Roman" w:hAnsi="宋体" w:eastAsia="宋体" w:cs="Times New Roman"/>
                      <w:color w:val="auto"/>
                      <w:szCs w:val="21"/>
                    </w:rPr>
                    <w:t>求开展环境风险评估，制定突发环境事件应急预案并备案，配备应急能力和物资，建设环境应急队伍，并定期演练。</w:t>
                  </w:r>
                </w:p>
              </w:tc>
              <w:tc>
                <w:tcPr>
                  <w:tcW w:w="322" w:type="pct"/>
                  <w:noWrap w:val="0"/>
                  <w:vAlign w:val="center"/>
                </w:tcPr>
                <w:p w14:paraId="588AEA79">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7F23C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1DA7387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7EE6ACC4">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continue"/>
                  <w:noWrap w:val="0"/>
                  <w:vAlign w:val="center"/>
                </w:tcPr>
                <w:p w14:paraId="22BD3190">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61785BDA">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2．土壤污染重点监管单位应当严格控制有毒有害物质排放，并按年度向所在地设区的市人民政府生态环境主管部门报告排放情况；建立土壤污染隐患排查制度，保证持续有效防止有毒有害物质渗漏、流失、扬散。</w:t>
                  </w:r>
                </w:p>
              </w:tc>
              <w:tc>
                <w:tcPr>
                  <w:tcW w:w="1447" w:type="pct"/>
                  <w:noWrap w:val="0"/>
                  <w:vAlign w:val="center"/>
                </w:tcPr>
                <w:p w14:paraId="27CC2729">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rPr>
                  </w:pPr>
                  <w:r>
                    <w:rPr>
                      <w:rFonts w:hint="eastAsia" w:ascii="Calibri" w:hAnsi="Calibri" w:eastAsia="宋体" w:cs="Times New Roman"/>
                      <w:color w:val="auto"/>
                      <w:szCs w:val="21"/>
                    </w:rPr>
                    <w:t>项目不属于</w:t>
                  </w:r>
                  <w:r>
                    <w:rPr>
                      <w:rFonts w:ascii="Calibri" w:hAnsi="Calibri" w:eastAsia="宋体" w:cs="Times New Roman"/>
                      <w:color w:val="auto"/>
                      <w:szCs w:val="21"/>
                      <w:lang w:bidi="ar"/>
                    </w:rPr>
                    <w:t>土壤污染重点监管单位</w:t>
                  </w:r>
                  <w:r>
                    <w:rPr>
                      <w:rFonts w:hint="eastAsia" w:ascii="Calibri" w:hAnsi="Calibri" w:eastAsia="宋体" w:cs="Times New Roman"/>
                      <w:color w:val="auto"/>
                      <w:szCs w:val="21"/>
                      <w:lang w:bidi="ar"/>
                    </w:rPr>
                    <w:t>，不涉及</w:t>
                  </w:r>
                  <w:r>
                    <w:rPr>
                      <w:rFonts w:ascii="Calibri" w:hAnsi="Calibri" w:eastAsia="宋体" w:cs="Times New Roman"/>
                      <w:color w:val="auto"/>
                      <w:szCs w:val="21"/>
                      <w:lang w:bidi="ar"/>
                    </w:rPr>
                    <w:t>有毒有害物质</w:t>
                  </w:r>
                  <w:r>
                    <w:rPr>
                      <w:rFonts w:hint="eastAsia" w:ascii="Calibri" w:hAnsi="Calibri" w:eastAsia="宋体" w:cs="Times New Roman"/>
                      <w:color w:val="auto"/>
                      <w:szCs w:val="21"/>
                      <w:lang w:bidi="ar"/>
                    </w:rPr>
                    <w:t>。</w:t>
                  </w:r>
                </w:p>
              </w:tc>
              <w:tc>
                <w:tcPr>
                  <w:tcW w:w="322" w:type="pct"/>
                  <w:noWrap w:val="0"/>
                  <w:vAlign w:val="center"/>
                </w:tcPr>
                <w:p w14:paraId="226D4AED">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011C3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6EEFA690">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3535EBA8">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vMerge w:val="continue"/>
                  <w:noWrap w:val="0"/>
                  <w:vAlign w:val="center"/>
                </w:tcPr>
                <w:p w14:paraId="7F3CFEBA">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p>
              </w:tc>
              <w:tc>
                <w:tcPr>
                  <w:tcW w:w="2002" w:type="pct"/>
                  <w:noWrap w:val="0"/>
                  <w:vAlign w:val="center"/>
                </w:tcPr>
                <w:p w14:paraId="1EE333B5">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rPr>
                    <w:t>3</w:t>
                  </w:r>
                  <w:r>
                    <w:rPr>
                      <w:rFonts w:ascii="Calibri" w:hAnsi="Calibri" w:eastAsia="宋体" w:cs="Times New Roman"/>
                      <w:color w:val="auto"/>
                      <w:kern w:val="0"/>
                    </w:rPr>
                    <w:t>．加强生态环境监管，推进重点矿区建立生态、地表水、地下水、大气、土壤等环境要素的长期监测监控体系，在用尾矿库安装在线监测装置。</w:t>
                  </w:r>
                </w:p>
              </w:tc>
              <w:tc>
                <w:tcPr>
                  <w:tcW w:w="1447" w:type="pct"/>
                  <w:noWrap w:val="0"/>
                  <w:vAlign w:val="center"/>
                </w:tcPr>
                <w:p w14:paraId="07E3DEB1">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项目不涉及矿区项目</w:t>
                  </w:r>
                  <w:r>
                    <w:rPr>
                      <w:rFonts w:hint="eastAsia" w:ascii="Calibri" w:hAnsi="Calibri" w:eastAsia="宋体" w:cs="Times New Roman"/>
                      <w:color w:val="auto"/>
                    </w:rPr>
                    <w:t>。</w:t>
                  </w:r>
                </w:p>
              </w:tc>
              <w:tc>
                <w:tcPr>
                  <w:tcW w:w="322" w:type="pct"/>
                  <w:noWrap w:val="0"/>
                  <w:vAlign w:val="center"/>
                </w:tcPr>
                <w:p w14:paraId="6359481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r w14:paraId="34657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14:paraId="7944D067">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579" w:type="pct"/>
                  <w:vMerge w:val="continue"/>
                  <w:noWrap w:val="0"/>
                  <w:vAlign w:val="center"/>
                </w:tcPr>
                <w:p w14:paraId="08B250F1">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lang w:bidi="ar"/>
                    </w:rPr>
                  </w:pPr>
                </w:p>
              </w:tc>
              <w:tc>
                <w:tcPr>
                  <w:tcW w:w="325" w:type="pct"/>
                  <w:noWrap w:val="0"/>
                  <w:vAlign w:val="center"/>
                </w:tcPr>
                <w:p w14:paraId="2BE41129">
                  <w:pPr>
                    <w:keepNext w:val="0"/>
                    <w:keepLines w:val="0"/>
                    <w:widowControl/>
                    <w:suppressLineNumbers w:val="0"/>
                    <w:adjustRightInd w:val="0"/>
                    <w:snapToGrid w:val="0"/>
                    <w:spacing w:before="0" w:beforeAutospacing="0" w:after="0" w:afterAutospacing="0"/>
                    <w:ind w:left="0" w:right="0"/>
                    <w:jc w:val="left"/>
                    <w:textAlignment w:val="center"/>
                    <w:rPr>
                      <w:rFonts w:ascii="Calibri" w:hAnsi="Calibri" w:eastAsia="宋体" w:cs="Times New Roman"/>
                      <w:color w:val="auto"/>
                      <w:szCs w:val="21"/>
                      <w:lang w:bidi="ar"/>
                    </w:rPr>
                  </w:pPr>
                  <w:r>
                    <w:rPr>
                      <w:rFonts w:ascii="Calibri" w:hAnsi="Calibri" w:eastAsia="宋体" w:cs="Times New Roman"/>
                      <w:color w:val="auto"/>
                      <w:szCs w:val="21"/>
                      <w:lang w:bidi="ar"/>
                    </w:rPr>
                    <w:t>资源开发利用效率要求</w:t>
                  </w:r>
                </w:p>
              </w:tc>
              <w:tc>
                <w:tcPr>
                  <w:tcW w:w="2002" w:type="pct"/>
                  <w:noWrap w:val="0"/>
                  <w:vAlign w:val="center"/>
                </w:tcPr>
                <w:p w14:paraId="1A7F836E">
                  <w:pPr>
                    <w:keepNext w:val="0"/>
                    <w:keepLines w:val="0"/>
                    <w:widowControl/>
                    <w:suppressLineNumbers w:val="0"/>
                    <w:spacing w:before="0" w:beforeAutospacing="0" w:after="0" w:afterAutospacing="0"/>
                    <w:ind w:left="0" w:right="0"/>
                    <w:jc w:val="left"/>
                    <w:rPr>
                      <w:rFonts w:ascii="Calibri" w:hAnsi="Calibri" w:eastAsia="宋体" w:cs="Times New Roman"/>
                      <w:color w:val="auto"/>
                      <w:szCs w:val="21"/>
                      <w:lang w:bidi="ar"/>
                    </w:rPr>
                  </w:pPr>
                  <w:r>
                    <w:rPr>
                      <w:rFonts w:ascii="Calibri" w:hAnsi="Calibri" w:eastAsia="宋体" w:cs="Times New Roman"/>
                      <w:color w:val="auto"/>
                      <w:szCs w:val="21"/>
                      <w:lang w:bidi="ar"/>
                    </w:rPr>
                    <w:t>《防城港市人民政府关于划定防城港市高污染燃料禁燃区的通告》划定的 II 类禁燃区内禁止燃用燃料种类包括：除单台出力大于等于 20 蒸吨/小时锅炉以外燃用的煤炭及其制品、石油焦、油页岩、原油、重油、渣油、煤焦油；禁燃区内，新建、扩建的燃烧设施禁止燃用相应类别的高污染燃料，各单位和个人禁止销售相应类别的高污染燃料，现有的燃用高污染燃料的锅炉、工业窑炉、炉灶等燃烧设施，应当按</w:t>
                  </w:r>
                  <w:r>
                    <w:rPr>
                      <w:rFonts w:ascii="Times New Roman" w:hAnsi="Times New Roman" w:eastAsia="宋体" w:cs="Times New Roman"/>
                      <w:color w:val="auto"/>
                      <w:szCs w:val="21"/>
                      <w:lang w:bidi="ar"/>
                    </w:rPr>
                    <w:t>照辖区人民政府规定的期限，逐步拆除或改用清洁能源。</w:t>
                  </w:r>
                </w:p>
              </w:tc>
              <w:tc>
                <w:tcPr>
                  <w:tcW w:w="1447" w:type="pct"/>
                  <w:noWrap w:val="0"/>
                  <w:vAlign w:val="center"/>
                </w:tcPr>
                <w:p w14:paraId="2607DA3A">
                  <w:pPr>
                    <w:keepNext w:val="0"/>
                    <w:keepLines w:val="0"/>
                    <w:widowControl/>
                    <w:suppressLineNumbers w:val="0"/>
                    <w:adjustRightInd w:val="0"/>
                    <w:snapToGrid w:val="0"/>
                    <w:spacing w:before="0" w:beforeAutospacing="0" w:after="0" w:afterAutospacing="0"/>
                    <w:ind w:left="0" w:right="0"/>
                    <w:jc w:val="left"/>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项目不涉及锅炉。</w:t>
                  </w:r>
                </w:p>
              </w:tc>
              <w:tc>
                <w:tcPr>
                  <w:tcW w:w="322" w:type="pct"/>
                  <w:noWrap w:val="0"/>
                  <w:vAlign w:val="center"/>
                </w:tcPr>
                <w:p w14:paraId="1BE55A96">
                  <w:pPr>
                    <w:keepNext w:val="0"/>
                    <w:keepLines w:val="0"/>
                    <w:widowControl/>
                    <w:suppressLineNumbers w:val="0"/>
                    <w:adjustRightInd w:val="0"/>
                    <w:snapToGrid w:val="0"/>
                    <w:spacing w:before="0" w:beforeAutospacing="0" w:after="0" w:afterAutospacing="0"/>
                    <w:ind w:left="0" w:right="0"/>
                    <w:jc w:val="center"/>
                    <w:textAlignment w:val="center"/>
                    <w:rPr>
                      <w:rFonts w:hint="eastAsia" w:ascii="Calibri" w:hAnsi="Calibri" w:eastAsia="宋体" w:cs="Times New Roman"/>
                      <w:color w:val="auto"/>
                      <w:szCs w:val="21"/>
                    </w:rPr>
                  </w:pPr>
                  <w:r>
                    <w:rPr>
                      <w:rFonts w:hint="eastAsia" w:ascii="Calibri" w:hAnsi="Calibri" w:eastAsia="宋体" w:cs="Times New Roman"/>
                      <w:color w:val="auto"/>
                      <w:szCs w:val="21"/>
                    </w:rPr>
                    <w:t>符合</w:t>
                  </w:r>
                </w:p>
              </w:tc>
            </w:tr>
          </w:tbl>
          <w:p w14:paraId="2C8FE9C9">
            <w:pPr>
              <w:keepNext w:val="0"/>
              <w:keepLines w:val="0"/>
              <w:suppressLineNumbers w:val="0"/>
              <w:spacing w:before="0" w:beforeAutospacing="0" w:after="0" w:afterAutospacing="0" w:line="360" w:lineRule="auto"/>
              <w:ind w:left="0" w:right="0" w:firstLine="480"/>
              <w:rPr>
                <w:rFonts w:hint="eastAsia" w:ascii="Times New Roman" w:hAnsi="宋体" w:eastAsia="宋体" w:cs="Times New Roman"/>
                <w:color w:val="auto"/>
                <w:sz w:val="24"/>
              </w:rPr>
            </w:pPr>
            <w:r>
              <w:rPr>
                <w:rFonts w:hint="eastAsia" w:ascii="Times New Roman" w:hAnsi="Times New Roman" w:eastAsia="宋体" w:cs="Times New Roman"/>
                <w:bCs/>
                <w:color w:val="auto"/>
                <w:sz w:val="24"/>
              </w:rPr>
              <w:t>综上，项目符合防城港市生态环境分区管控动态更新成果（2023年）要求。</w:t>
            </w:r>
          </w:p>
          <w:p w14:paraId="792714F4">
            <w:pPr>
              <w:keepNext w:val="0"/>
              <w:keepLines w:val="0"/>
              <w:suppressLineNumbers w:val="0"/>
              <w:spacing w:before="0" w:beforeAutospacing="0" w:after="0" w:afterAutospacing="0" w:line="360" w:lineRule="auto"/>
              <w:ind w:left="0" w:right="0"/>
              <w:rPr>
                <w:rFonts w:ascii="Times New Roman" w:hAnsi="Times New Roman" w:eastAsia="宋体" w:cs="Times New Roman"/>
                <w:b/>
                <w:color w:val="auto"/>
                <w:sz w:val="24"/>
              </w:rPr>
            </w:pPr>
            <w:r>
              <w:rPr>
                <w:rFonts w:ascii="Times New Roman" w:hAnsi="Times New Roman" w:eastAsia="宋体" w:cs="Times New Roman"/>
                <w:b/>
                <w:color w:val="auto"/>
                <w:sz w:val="24"/>
              </w:rPr>
              <w:t>2、与环境质量底线相符性</w:t>
            </w:r>
          </w:p>
          <w:p w14:paraId="730D907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项目所在区域属于达标区域，大气</w:t>
            </w:r>
            <w:r>
              <w:rPr>
                <w:rFonts w:hint="eastAsia" w:ascii="Calibri" w:hAnsi="Calibri" w:eastAsia="宋体" w:cs="Times New Roman"/>
                <w:color w:val="auto"/>
                <w:sz w:val="24"/>
              </w:rPr>
              <w:t>、</w:t>
            </w:r>
            <w:r>
              <w:rPr>
                <w:rFonts w:ascii="Calibri" w:hAnsi="Calibri" w:eastAsia="宋体" w:cs="Times New Roman"/>
                <w:color w:val="auto"/>
                <w:sz w:val="24"/>
              </w:rPr>
              <w:t>地表水</w:t>
            </w:r>
            <w:r>
              <w:rPr>
                <w:rFonts w:hint="eastAsia" w:ascii="Calibri" w:hAnsi="Calibri" w:eastAsia="宋体" w:cs="Times New Roman"/>
                <w:color w:val="auto"/>
                <w:sz w:val="24"/>
              </w:rPr>
              <w:t>、</w:t>
            </w:r>
            <w:r>
              <w:rPr>
                <w:rFonts w:ascii="Calibri" w:hAnsi="Calibri" w:eastAsia="宋体" w:cs="Times New Roman"/>
                <w:color w:val="auto"/>
                <w:sz w:val="24"/>
              </w:rPr>
              <w:t>声环境质量良好</w:t>
            </w:r>
            <w:r>
              <w:rPr>
                <w:rFonts w:hint="eastAsia" w:ascii="Calibri" w:hAnsi="Calibri" w:eastAsia="宋体" w:cs="Times New Roman"/>
                <w:color w:val="auto"/>
                <w:sz w:val="24"/>
              </w:rPr>
              <w:t>，</w:t>
            </w:r>
            <w:r>
              <w:rPr>
                <w:rFonts w:ascii="Calibri" w:hAnsi="Calibri" w:eastAsia="宋体" w:cs="Times New Roman"/>
                <w:color w:val="auto"/>
                <w:sz w:val="24"/>
              </w:rPr>
              <w:t>均有容量进行项目建设。项目运营期严格采取环保措施进行处理，项目产生的污染物不会改变项目所在区域的环境功能，因此本项目建设符合环境质量底线要求。</w:t>
            </w:r>
          </w:p>
          <w:p w14:paraId="5547569B">
            <w:pPr>
              <w:keepNext w:val="0"/>
              <w:keepLines w:val="0"/>
              <w:suppressLineNumbers w:val="0"/>
              <w:spacing w:before="0" w:beforeAutospacing="0" w:after="0" w:afterAutospacing="0" w:line="360" w:lineRule="auto"/>
              <w:ind w:left="0" w:right="0"/>
              <w:rPr>
                <w:rFonts w:ascii="Times New Roman" w:hAnsi="Times New Roman" w:eastAsia="宋体" w:cs="Times New Roman"/>
                <w:b/>
                <w:color w:val="auto"/>
                <w:sz w:val="24"/>
              </w:rPr>
            </w:pPr>
            <w:r>
              <w:rPr>
                <w:rFonts w:ascii="Times New Roman" w:hAnsi="Times New Roman" w:eastAsia="宋体" w:cs="Times New Roman"/>
                <w:b/>
                <w:color w:val="auto"/>
                <w:sz w:val="24"/>
              </w:rPr>
              <w:t>3、与资源利用上线相符性</w:t>
            </w:r>
          </w:p>
          <w:p w14:paraId="7422347B">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bCs/>
                <w:color w:val="auto"/>
                <w:sz w:val="24"/>
              </w:rPr>
            </w:pPr>
            <w:r>
              <w:rPr>
                <w:rFonts w:hint="eastAsia" w:ascii="宋体" w:hAnsi="宋体" w:eastAsia="宋体" w:cs="宋体"/>
                <w:bCs/>
                <w:color w:val="auto"/>
                <w:sz w:val="24"/>
              </w:rPr>
              <w:t>项目运营过程中消耗一定的电量和水量，项目区域非缺水区域，电力供应充足，项目资源消耗量相对区域资源可利用量较小，符合资源利用上限的要求。</w:t>
            </w:r>
          </w:p>
          <w:p w14:paraId="1663A72E">
            <w:pPr>
              <w:keepNext w:val="0"/>
              <w:keepLines w:val="0"/>
              <w:suppressLineNumbers w:val="0"/>
              <w:spacing w:before="0" w:beforeAutospacing="0" w:after="0" w:afterAutospacing="0" w:line="360" w:lineRule="auto"/>
              <w:ind w:left="0" w:right="0"/>
              <w:rPr>
                <w:rFonts w:ascii="Times New Roman" w:hAnsi="Times New Roman" w:eastAsia="宋体" w:cs="Times New Roman"/>
                <w:b/>
                <w:color w:val="auto"/>
                <w:sz w:val="24"/>
              </w:rPr>
            </w:pPr>
            <w:r>
              <w:rPr>
                <w:rFonts w:ascii="Times New Roman" w:hAnsi="Times New Roman" w:eastAsia="宋体" w:cs="Times New Roman"/>
                <w:b/>
                <w:color w:val="auto"/>
                <w:sz w:val="24"/>
              </w:rPr>
              <w:t>4、与环境准入负面清单相符性</w:t>
            </w:r>
          </w:p>
          <w:p w14:paraId="76DD1F82">
            <w:pPr>
              <w:pStyle w:val="44"/>
              <w:keepNext w:val="0"/>
              <w:keepLines w:val="0"/>
              <w:suppressLineNumbers w:val="0"/>
              <w:spacing w:before="0" w:beforeAutospacing="0" w:after="0" w:afterAutospacing="0" w:line="360" w:lineRule="auto"/>
              <w:ind w:left="0" w:right="0" w:firstLine="480"/>
              <w:jc w:val="both"/>
              <w:rPr>
                <w:rFonts w:hint="eastAsia" w:ascii="宋体" w:hAnsi="宋体" w:eastAsia="宋体" w:cs="Times New Roman"/>
                <w:bCs/>
                <w:color w:val="auto"/>
              </w:rPr>
            </w:pPr>
            <w:r>
              <w:rPr>
                <w:rFonts w:hint="eastAsia" w:ascii="宋体" w:hAnsi="宋体" w:eastAsia="宋体" w:cs="Times New Roman"/>
                <w:bCs/>
                <w:color w:val="auto"/>
              </w:rPr>
              <w:t>项目</w:t>
            </w:r>
            <w:r>
              <w:rPr>
                <w:rFonts w:hint="eastAsia" w:ascii="Times New Roman" w:hAnsi="Times New Roman" w:eastAsia="宋体" w:cs="Times New Roman"/>
                <w:color w:val="auto"/>
                <w:szCs w:val="21"/>
                <w:lang w:bidi="ar"/>
              </w:rPr>
              <w:t>从粮油企业外购废弃物（主要是废豆粕、生活垃圾等），将生活垃圾进行分拣塑料、废金属碎屑等后，剩下餐厨垃圾（剩饭菜、果皮、菜叶等厨余）和原料废豆粕用于高温好氧发酵，产品主要是废塑料、废金属铁碎屑、生物肥料</w:t>
            </w:r>
            <w:r>
              <w:rPr>
                <w:rFonts w:hint="eastAsia" w:ascii="宋体" w:hAnsi="宋体" w:eastAsia="宋体" w:cs="Times New Roman"/>
                <w:bCs/>
                <w:color w:val="auto"/>
              </w:rPr>
              <w:t>，属于肥料制造、废弃资源综合利用类，根据《市场准入负面清单（2024年版）</w:t>
            </w:r>
            <w:r>
              <w:rPr>
                <w:rFonts w:hint="eastAsia" w:ascii="宋体" w:hAnsi="宋体" w:eastAsia="宋体" w:cs="Times New Roman"/>
                <w:bCs/>
                <w:color w:val="auto"/>
                <w:lang w:eastAsia="zh-CN"/>
              </w:rPr>
              <w:t>》</w:t>
            </w:r>
            <w:r>
              <w:rPr>
                <w:rFonts w:hint="eastAsia" w:ascii="宋体" w:hAnsi="宋体" w:eastAsia="宋体" w:cs="Times New Roman"/>
                <w:bCs/>
                <w:color w:val="auto"/>
              </w:rPr>
              <w:t>，项目不属于禁止准入；根据《广西生态保护禁止事项清单（2022）》，项目不属于禁止事项；根据《广西壮族自治区重点生态功能区县产业准入负面清单调整方案》（2024年4月），防城港市未划入该方案产业准入负面清单城市，符合国家当前产业政策。</w:t>
            </w:r>
          </w:p>
          <w:p w14:paraId="2E0597EB">
            <w:pPr>
              <w:pStyle w:val="44"/>
              <w:keepNext w:val="0"/>
              <w:keepLines w:val="0"/>
              <w:suppressLineNumbers w:val="0"/>
              <w:spacing w:before="0" w:beforeAutospacing="0" w:after="0" w:afterAutospacing="0" w:line="400" w:lineRule="exact"/>
              <w:ind w:left="0" w:right="0" w:firstLine="0" w:firstLineChars="0"/>
              <w:rPr>
                <w:rFonts w:hint="eastAsia" w:ascii="Times New Roman" w:hAnsi="Times New Roman" w:eastAsia="宋体" w:cs="Times New Roman"/>
                <w:b/>
                <w:color w:val="auto"/>
              </w:rPr>
            </w:pPr>
            <w:r>
              <w:rPr>
                <w:rFonts w:hint="eastAsia" w:ascii="Times New Roman" w:hAnsi="Times New Roman" w:eastAsia="宋体" w:cs="Times New Roman"/>
                <w:b/>
                <w:color w:val="auto"/>
              </w:rPr>
              <w:t>5、产业政策符合性分析</w:t>
            </w:r>
          </w:p>
          <w:p w14:paraId="5CEC0806">
            <w:pPr>
              <w:keepNext w:val="0"/>
              <w:keepLines w:val="0"/>
              <w:suppressLineNumbers w:val="0"/>
              <w:spacing w:before="0" w:beforeAutospacing="0" w:after="0" w:afterAutospacing="0" w:line="400" w:lineRule="exact"/>
              <w:ind w:left="0" w:right="0" w:firstLine="480"/>
              <w:rPr>
                <w:rFonts w:ascii="Times New Roman" w:hAnsi="Times New Roman" w:eastAsia="宋体" w:cs="Times New Roman"/>
                <w:color w:val="auto"/>
                <w:sz w:val="24"/>
              </w:rPr>
            </w:pPr>
            <w:r>
              <w:rPr>
                <w:rFonts w:ascii="Calibri" w:hAnsi="宋体" w:eastAsia="宋体" w:cs="Times New Roman"/>
                <w:color w:val="auto"/>
                <w:sz w:val="24"/>
              </w:rPr>
              <w:t>根据国家发展</w:t>
            </w:r>
            <w:r>
              <w:rPr>
                <w:rFonts w:hint="eastAsia" w:ascii="Calibri" w:hAnsi="宋体" w:eastAsia="宋体" w:cs="Times New Roman"/>
                <w:color w:val="auto"/>
                <w:sz w:val="24"/>
              </w:rPr>
              <w:t>和</w:t>
            </w:r>
            <w:r>
              <w:rPr>
                <w:rFonts w:ascii="Calibri" w:hAnsi="宋体" w:eastAsia="宋体" w:cs="Times New Roman"/>
                <w:color w:val="auto"/>
                <w:sz w:val="24"/>
              </w:rPr>
              <w:t>改革委员会《产业结构调整指</w:t>
            </w:r>
            <w:r>
              <w:rPr>
                <w:rFonts w:ascii="Times New Roman" w:hAnsi="Times New Roman" w:eastAsia="宋体" w:cs="Times New Roman"/>
                <w:color w:val="auto"/>
                <w:sz w:val="24"/>
              </w:rPr>
              <w:t>导目录（20</w:t>
            </w:r>
            <w:r>
              <w:rPr>
                <w:rFonts w:hint="eastAsia" w:ascii="Times New Roman" w:hAnsi="Times New Roman" w:eastAsia="宋体" w:cs="Times New Roman"/>
                <w:color w:val="auto"/>
                <w:sz w:val="24"/>
              </w:rPr>
              <w:t>24</w:t>
            </w:r>
            <w:r>
              <w:rPr>
                <w:rFonts w:ascii="Times New Roman" w:hAnsi="Times New Roman" w:eastAsia="宋体" w:cs="Times New Roman"/>
                <w:color w:val="auto"/>
                <w:sz w:val="24"/>
              </w:rPr>
              <w:t>年本）》，</w:t>
            </w:r>
            <w:r>
              <w:rPr>
                <w:rFonts w:hint="eastAsia" w:ascii="Times New Roman" w:hAnsi="Times New Roman" w:eastAsia="宋体" w:cs="Times New Roman"/>
                <w:color w:val="auto"/>
                <w:sz w:val="24"/>
              </w:rPr>
              <w:t>项目属于</w:t>
            </w:r>
            <w:r>
              <w:rPr>
                <w:rFonts w:hint="eastAsia" w:ascii="宋体" w:hAnsi="宋体" w:eastAsia="宋体" w:cs="Times New Roman"/>
                <w:bCs/>
                <w:color w:val="auto"/>
                <w:sz w:val="24"/>
              </w:rPr>
              <w:t>肥料制造、</w:t>
            </w:r>
            <w:r>
              <w:rPr>
                <w:rFonts w:hint="eastAsia" w:ascii="Times New Roman" w:hAnsi="Times New Roman" w:eastAsia="宋体" w:cs="Times New Roman"/>
                <w:color w:val="auto"/>
                <w:sz w:val="24"/>
              </w:rPr>
              <w:t>废弃资源综合利用业，项目不属于其中的限制类、淘汰类、鼓励类项目，视为允许类，</w:t>
            </w:r>
            <w:r>
              <w:rPr>
                <w:rFonts w:ascii="Times New Roman" w:hAnsi="Times New Roman" w:eastAsia="宋体" w:cs="Times New Roman"/>
                <w:color w:val="auto"/>
                <w:sz w:val="24"/>
              </w:rPr>
              <w:t>因此符合国家产业政策。</w:t>
            </w:r>
          </w:p>
          <w:p w14:paraId="5D3055C1">
            <w:pPr>
              <w:pStyle w:val="44"/>
              <w:keepNext w:val="0"/>
              <w:keepLines w:val="0"/>
              <w:suppressLineNumbers w:val="0"/>
              <w:spacing w:before="0" w:beforeAutospacing="0" w:after="0" w:afterAutospacing="0"/>
              <w:ind w:left="0" w:right="0" w:firstLine="0" w:firstLineChars="0"/>
              <w:rPr>
                <w:rFonts w:hint="eastAsia" w:ascii="Calibri" w:hAnsi="Calibri" w:eastAsia="宋体" w:cs="Times New Roman"/>
                <w:b/>
                <w:bCs/>
                <w:color w:val="auto"/>
              </w:rPr>
            </w:pPr>
            <w:r>
              <w:rPr>
                <w:rFonts w:hint="eastAsia" w:ascii="Times New Roman" w:hAnsi="Times New Roman" w:eastAsia="宋体" w:cs="Times New Roman"/>
                <w:b/>
                <w:bCs/>
                <w:color w:val="auto"/>
              </w:rPr>
              <w:t>6、选址合理性分析</w:t>
            </w:r>
          </w:p>
          <w:p w14:paraId="3B6FD06B">
            <w:pPr>
              <w:pStyle w:val="44"/>
              <w:keepNext w:val="0"/>
              <w:keepLines w:val="0"/>
              <w:suppressLineNumbers w:val="0"/>
              <w:spacing w:before="0" w:beforeAutospacing="0" w:after="0" w:afterAutospacing="0" w:line="400" w:lineRule="exact"/>
              <w:ind w:left="0" w:right="0" w:firstLine="480"/>
              <w:rPr>
                <w:rFonts w:ascii="宋体" w:hAnsi="宋体" w:eastAsia="宋体" w:cs="宋体"/>
                <w:bCs/>
                <w:color w:val="auto"/>
              </w:rPr>
            </w:pPr>
            <w:r>
              <w:rPr>
                <w:rFonts w:hint="eastAsia" w:ascii="宋体" w:hAnsi="宋体" w:eastAsia="宋体" w:cs="宋体"/>
                <w:bCs/>
                <w:color w:val="auto"/>
              </w:rPr>
              <w:t>项目位于</w:t>
            </w:r>
            <w:r>
              <w:rPr>
                <w:rFonts w:hint="eastAsia" w:ascii="Times New Roman" w:hAnsi="Times New Roman" w:eastAsia="宋体" w:cs="Times New Roman"/>
                <w:color w:val="auto"/>
              </w:rPr>
              <w:t>广西壮族自治区防城港市防城区江山镇利竹坪村，进出大门为南面，进厂道路与省道S325相交，原料及产品运输方便。</w:t>
            </w:r>
            <w:r>
              <w:rPr>
                <w:rFonts w:hint="eastAsia" w:ascii="Calibri" w:hAnsi="Calibri" w:eastAsia="宋体" w:cs="Times New Roman"/>
                <w:color w:val="auto"/>
              </w:rPr>
              <w:t>项目</w:t>
            </w:r>
            <w:r>
              <w:rPr>
                <w:rFonts w:hint="eastAsia" w:ascii="Times New Roman" w:hAnsi="Times New Roman" w:eastAsia="宋体" w:cs="Times New Roman"/>
                <w:color w:val="auto"/>
              </w:rPr>
              <w:t>周边主要是企业、道路和山林地，</w:t>
            </w:r>
            <w:r>
              <w:rPr>
                <w:rFonts w:ascii="Calibri" w:hAnsi="Calibri" w:eastAsia="宋体" w:cs="Times New Roman"/>
                <w:color w:val="auto"/>
              </w:rPr>
              <w:t>不占用基本农田，不在生态保护红线范围内，且电网供电和供水充足</w:t>
            </w:r>
            <w:r>
              <w:rPr>
                <w:rFonts w:hint="eastAsia" w:ascii="Calibri" w:hAnsi="Calibri" w:eastAsia="宋体" w:cs="Times New Roman"/>
                <w:color w:val="auto"/>
              </w:rPr>
              <w:t>；项目最近保护目标为西南面300m的黎竹坪村</w:t>
            </w:r>
            <w:r>
              <w:rPr>
                <w:rFonts w:hint="eastAsia" w:ascii="Times New Roman" w:hAnsi="Times New Roman" w:eastAsia="宋体" w:cs="Times New Roman"/>
                <w:color w:val="auto"/>
              </w:rPr>
              <w:t>，本厂区和保护目标之间相隔着山林地，在严格采取环保措施的前提下，对敏感点的影响不大。</w:t>
            </w:r>
            <w:r>
              <w:rPr>
                <w:rFonts w:ascii="Calibri" w:hAnsi="Calibri" w:eastAsia="宋体" w:cs="Times New Roman"/>
                <w:color w:val="auto"/>
              </w:rPr>
              <w:t>从环保角度考虑，</w:t>
            </w:r>
            <w:r>
              <w:rPr>
                <w:rFonts w:hint="eastAsia" w:ascii="Times New Roman" w:hAnsi="Times New Roman" w:eastAsia="宋体" w:cs="Times New Roman"/>
                <w:color w:val="auto"/>
              </w:rPr>
              <w:t>项目选址基本合理。</w:t>
            </w:r>
          </w:p>
          <w:p w14:paraId="554DBC4D">
            <w:pPr>
              <w:keepNext w:val="0"/>
              <w:keepLines w:val="0"/>
              <w:suppressLineNumbers w:val="0"/>
              <w:autoSpaceDE w:val="0"/>
              <w:autoSpaceDN w:val="0"/>
              <w:adjustRightInd w:val="0"/>
              <w:snapToGrid w:val="0"/>
              <w:spacing w:before="0" w:beforeAutospacing="0" w:after="0" w:afterAutospacing="0" w:line="400" w:lineRule="exact"/>
              <w:ind w:left="0" w:right="0"/>
              <w:rPr>
                <w:rFonts w:ascii="Times New Roman" w:hAnsi="Times New Roman" w:eastAsia="宋体" w:cs="Times New Roman"/>
                <w:color w:val="auto"/>
                <w:kern w:val="0"/>
                <w:sz w:val="24"/>
              </w:rPr>
            </w:pPr>
          </w:p>
          <w:p w14:paraId="3AF379BF">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3CF295CF">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6FF0C474">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78A29E67">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06C4BF98">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6A3054E2">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1CA06D0A">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130E28C6">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51EC6E30">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2CD3E046">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67D0596F">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1A9ECB91">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0936E983">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75A2260F">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2BC8F769">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155538A9">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6501570D">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5011B061">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4FC501AB">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19F8BB10">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08AB2AA5">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05A589A9">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4AD68785">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715DFC22">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1A085582">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65453E26">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47A6445B">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2B997BC0">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7D48354D">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5D01D144">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5AB6BC54">
            <w:pPr>
              <w:keepNext w:val="0"/>
              <w:keepLines w:val="0"/>
              <w:suppressLineNumbers w:val="0"/>
              <w:spacing w:before="0" w:beforeAutospacing="0" w:after="0" w:afterAutospacing="0"/>
              <w:ind w:left="0" w:right="0"/>
              <w:rPr>
                <w:rFonts w:ascii="Times New Roman" w:hAnsi="Times New Roman" w:eastAsia="宋体" w:cs="Times New Roman"/>
                <w:color w:val="auto"/>
                <w:kern w:val="0"/>
                <w:sz w:val="24"/>
              </w:rPr>
            </w:pPr>
          </w:p>
          <w:p w14:paraId="197842EF">
            <w:pPr>
              <w:pStyle w:val="3"/>
              <w:suppressLineNumbers w:val="0"/>
              <w:spacing w:before="0" w:beforeAutospacing="0" w:after="0" w:afterAutospacing="0"/>
              <w:ind w:left="0" w:right="0"/>
              <w:outlineLvl w:val="1"/>
              <w:rPr>
                <w:rFonts w:ascii="Times New Roman" w:hAnsi="Times New Roman" w:eastAsia="宋体" w:cs="Times New Roman"/>
                <w:color w:val="auto"/>
                <w:kern w:val="0"/>
                <w:sz w:val="24"/>
              </w:rPr>
            </w:pPr>
          </w:p>
          <w:p w14:paraId="5857E038">
            <w:pPr>
              <w:pStyle w:val="3"/>
              <w:suppressLineNumbers w:val="0"/>
              <w:spacing w:before="0" w:beforeAutospacing="0" w:after="0" w:afterAutospacing="0"/>
              <w:ind w:left="0" w:right="0"/>
              <w:outlineLvl w:val="1"/>
              <w:rPr>
                <w:rFonts w:ascii="Calibri" w:hAnsi="Calibri" w:eastAsia="宋体" w:cs="Times New Roman"/>
                <w:color w:val="auto"/>
              </w:rPr>
            </w:pPr>
          </w:p>
        </w:tc>
      </w:tr>
    </w:tbl>
    <w:p w14:paraId="438B58A8">
      <w:pPr>
        <w:pStyle w:val="43"/>
        <w:ind w:left="0"/>
        <w:rPr>
          <w:rFonts w:eastAsia="黑体"/>
          <w:color w:val="auto"/>
          <w:sz w:val="30"/>
        </w:rPr>
      </w:pPr>
    </w:p>
    <w:p w14:paraId="1CC9A1D8">
      <w:pPr>
        <w:rPr>
          <w:color w:val="auto"/>
        </w:rPr>
        <w:sectPr>
          <w:footerReference r:id="rId7" w:type="default"/>
          <w:pgSz w:w="11905" w:h="16838"/>
          <w:pgMar w:top="1417" w:right="1417" w:bottom="1417" w:left="1417" w:header="851" w:footer="1077" w:gutter="0"/>
          <w:pgNumType w:start="1"/>
          <w:cols w:space="720" w:num="1"/>
          <w:docGrid w:linePitch="312" w:charSpace="0"/>
        </w:sectPr>
      </w:pPr>
    </w:p>
    <w:p w14:paraId="1CCA1DA5">
      <w:pPr>
        <w:pStyle w:val="22"/>
        <w:spacing w:before="0" w:beforeAutospacing="0" w:after="0" w:afterAutospacing="0" w:line="360" w:lineRule="auto"/>
        <w:jc w:val="center"/>
        <w:outlineLvl w:val="0"/>
        <w:rPr>
          <w:rFonts w:hint="eastAsia" w:ascii="黑体" w:hAnsi="黑体" w:eastAsia="黑体"/>
          <w:snapToGrid w:val="0"/>
          <w:color w:val="auto"/>
          <w:sz w:val="30"/>
          <w:szCs w:val="30"/>
        </w:rPr>
      </w:pPr>
      <w:bookmarkStart w:id="16" w:name="_Toc10545"/>
      <w:r>
        <w:rPr>
          <w:rFonts w:hint="eastAsia" w:ascii="黑体" w:hAnsi="黑体" w:eastAsia="黑体"/>
          <w:snapToGrid w:val="0"/>
          <w:color w:val="auto"/>
          <w:sz w:val="30"/>
          <w:szCs w:val="30"/>
        </w:rPr>
        <w:t>二、建设项目工程分析</w:t>
      </w:r>
      <w:bookmarkEnd w:id="16"/>
    </w:p>
    <w:tbl>
      <w:tblPr>
        <w:tblStyle w:val="26"/>
        <w:tblW w:w="94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38"/>
      </w:tblGrid>
      <w:tr w14:paraId="331AD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456" w:type="dxa"/>
            <w:noWrap w:val="0"/>
            <w:vAlign w:val="center"/>
          </w:tcPr>
          <w:p w14:paraId="16C87A07">
            <w:pPr>
              <w:pStyle w:val="22"/>
              <w:keepNext w:val="0"/>
              <w:keepLines w:val="0"/>
              <w:suppressLineNumbers w:val="0"/>
              <w:adjustRightInd w:val="0"/>
              <w:snapToGrid w:val="0"/>
              <w:spacing w:before="0" w:beforeAutospacing="0" w:after="0" w:afterAutospacing="0"/>
              <w:ind w:left="0" w:right="0"/>
              <w:jc w:val="center"/>
              <w:rPr>
                <w:rFonts w:eastAsia="宋体" w:cs="宋体"/>
                <w:color w:val="auto"/>
                <w:szCs w:val="24"/>
              </w:rPr>
            </w:pPr>
            <w:r>
              <w:rPr>
                <w:rFonts w:hint="eastAsia" w:eastAsia="宋体" w:cs="宋体"/>
                <w:color w:val="auto"/>
                <w:szCs w:val="24"/>
              </w:rPr>
              <w:t>建设内容</w:t>
            </w:r>
          </w:p>
        </w:tc>
        <w:tc>
          <w:tcPr>
            <w:tcW w:w="9038" w:type="dxa"/>
            <w:noWrap w:val="0"/>
            <w:vAlign w:val="top"/>
          </w:tcPr>
          <w:p w14:paraId="16D2B038">
            <w:pPr>
              <w:keepNext w:val="0"/>
              <w:keepLines w:val="0"/>
              <w:suppressLineNumbers w:val="0"/>
              <w:tabs>
                <w:tab w:val="left" w:pos="312"/>
              </w:tabs>
              <w:spacing w:before="120" w:beforeLines="50" w:beforeAutospacing="0" w:after="0" w:afterAutospacing="0" w:line="360" w:lineRule="auto"/>
              <w:ind w:left="0" w:right="0" w:firstLine="482" w:firstLineChars="200"/>
              <w:rPr>
                <w:rFonts w:hint="eastAsia" w:ascii="Calibri" w:hAnsi="Calibri" w:eastAsia="宋体" w:cs="Times New Roman"/>
                <w:b/>
                <w:bCs/>
                <w:color w:val="auto"/>
                <w:sz w:val="24"/>
              </w:rPr>
            </w:pPr>
            <w:r>
              <w:rPr>
                <w:rFonts w:hint="eastAsia" w:ascii="Calibri" w:hAnsi="Calibri" w:eastAsia="宋体" w:cs="Times New Roman"/>
                <w:b/>
                <w:bCs/>
                <w:color w:val="auto"/>
                <w:sz w:val="24"/>
              </w:rPr>
              <w:t>1、</w:t>
            </w:r>
            <w:bookmarkStart w:id="17" w:name="OLE_LINK87"/>
            <w:r>
              <w:rPr>
                <w:rFonts w:hint="eastAsia" w:ascii="Calibri" w:hAnsi="Calibri" w:eastAsia="宋体" w:cs="Times New Roman"/>
                <w:b/>
                <w:bCs/>
                <w:color w:val="auto"/>
                <w:sz w:val="24"/>
              </w:rPr>
              <w:t>项目环评及排污许可判定情况</w:t>
            </w:r>
            <w:bookmarkEnd w:id="17"/>
          </w:p>
          <w:p w14:paraId="1F4F437F">
            <w:pPr>
              <w:pStyle w:val="107"/>
              <w:keepNext w:val="0"/>
              <w:keepLines w:val="0"/>
              <w:suppressLineNumbers w:val="0"/>
              <w:spacing w:before="0" w:beforeAutospacing="0" w:after="0" w:afterAutospacing="0" w:line="360" w:lineRule="auto"/>
              <w:ind w:left="0" w:right="0" w:firstLine="480"/>
              <w:rPr>
                <w:rFonts w:ascii="Calibri" w:hAnsi="Calibri" w:eastAsia="宋体" w:cs="Times New Roman"/>
                <w:color w:val="auto"/>
                <w:sz w:val="24"/>
              </w:rPr>
            </w:pPr>
            <w:r>
              <w:rPr>
                <w:rFonts w:hint="eastAsia" w:ascii="Calibri" w:hAnsi="Calibri" w:eastAsia="宋体" w:cs="Times New Roman"/>
                <w:color w:val="auto"/>
                <w:sz w:val="24"/>
              </w:rPr>
              <w:t>根据《建设项目环境影响评价分类管理名录（2021年版）》（生态环境部令第16号），属于名录中：“二十三、化学原料和化学制品制造业 26—45、肥料制造 262—其他”和“三十九、废弃资源综合利用业 42—85、金属废料和碎屑加工处理 421—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类别，应编制环境影响报告表</w:t>
            </w:r>
            <w:r>
              <w:rPr>
                <w:rFonts w:ascii="Calibri" w:hAnsi="Calibri" w:eastAsia="宋体" w:cs="Times New Roman"/>
                <w:color w:val="auto"/>
                <w:sz w:val="24"/>
              </w:rPr>
              <w:t>。</w:t>
            </w:r>
          </w:p>
          <w:p w14:paraId="2FE2633A">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根据对照《固定污染源排污许可分类管理名录》（2019年版），本项目属于其中的“二十一、化学原料和化学制品制造业 26—46、肥料制造 262—有机肥料及微生物肥料制造 2625”和“三十七、废弃资源综合利用业 42—93、金属废料和碎屑加工处理 421—其他”类别，应申请排污许可中的“简化管理”。</w:t>
            </w:r>
          </w:p>
          <w:p w14:paraId="76ED955C">
            <w:pPr>
              <w:keepNext w:val="0"/>
              <w:keepLines w:val="0"/>
              <w:suppressLineNumbers w:val="0"/>
              <w:tabs>
                <w:tab w:val="left" w:pos="312"/>
              </w:tabs>
              <w:spacing w:before="0" w:beforeAutospacing="0" w:after="0" w:afterAutospacing="0" w:line="360" w:lineRule="auto"/>
              <w:ind w:left="0" w:right="0" w:firstLine="482" w:firstLineChars="200"/>
              <w:rPr>
                <w:rFonts w:hint="eastAsia" w:ascii="Calibri" w:hAnsi="Calibri" w:eastAsia="宋体" w:cs="Times New Roman"/>
                <w:b/>
                <w:bCs/>
                <w:color w:val="auto"/>
                <w:sz w:val="24"/>
              </w:rPr>
            </w:pPr>
            <w:r>
              <w:rPr>
                <w:rFonts w:hint="eastAsia" w:ascii="Calibri" w:hAnsi="Calibri" w:eastAsia="宋体" w:cs="Times New Roman"/>
                <w:b/>
                <w:bCs/>
                <w:color w:val="auto"/>
                <w:sz w:val="24"/>
              </w:rPr>
              <w:t>2、项目基本概况</w:t>
            </w:r>
          </w:p>
          <w:p w14:paraId="37051E40">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项目名称：</w:t>
            </w:r>
            <w:r>
              <w:rPr>
                <w:rFonts w:hint="eastAsia" w:ascii="Calibri" w:hAnsi="Calibri" w:cs="Times New Roman"/>
                <w:color w:val="auto"/>
                <w:sz w:val="24"/>
                <w:lang w:eastAsia="zh-CN"/>
              </w:rPr>
              <w:t>年加工3万吨废弃资源综合利用项目</w:t>
            </w:r>
            <w:r>
              <w:rPr>
                <w:rFonts w:ascii="Calibri" w:hAnsi="Calibri" w:eastAsia="宋体" w:cs="Times New Roman"/>
                <w:color w:val="auto"/>
                <w:sz w:val="24"/>
              </w:rPr>
              <w:t>；</w:t>
            </w:r>
          </w:p>
          <w:p w14:paraId="3AC36017">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建设单位：</w:t>
            </w:r>
            <w:r>
              <w:rPr>
                <w:rFonts w:hint="eastAsia" w:ascii="Calibri" w:hAnsi="Calibri" w:eastAsia="宋体" w:cs="Times New Roman"/>
                <w:color w:val="auto"/>
                <w:sz w:val="24"/>
              </w:rPr>
              <w:t>广西鑫十五船舶科技发展有限公司</w:t>
            </w:r>
            <w:r>
              <w:rPr>
                <w:rFonts w:ascii="Calibri" w:hAnsi="Calibri" w:eastAsia="宋体" w:cs="Times New Roman"/>
                <w:color w:val="auto"/>
                <w:sz w:val="24"/>
              </w:rPr>
              <w:t>；</w:t>
            </w:r>
          </w:p>
          <w:p w14:paraId="459D1FC4">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建设地点：</w:t>
            </w:r>
            <w:r>
              <w:rPr>
                <w:rFonts w:hint="eastAsia" w:ascii="Times New Roman" w:hAnsi="Times New Roman" w:eastAsia="宋体" w:cs="Times New Roman"/>
                <w:color w:val="auto"/>
                <w:sz w:val="24"/>
              </w:rPr>
              <w:t>广西壮族自治区防城港市防城区江山镇利竹坪村</w:t>
            </w:r>
            <w:r>
              <w:rPr>
                <w:rFonts w:hint="eastAsia" w:ascii="Calibri" w:hAnsi="Calibri" w:eastAsia="宋体" w:cs="Times New Roman"/>
                <w:color w:val="auto"/>
                <w:sz w:val="24"/>
              </w:rPr>
              <w:t>，</w:t>
            </w:r>
            <w:r>
              <w:rPr>
                <w:rFonts w:ascii="Calibri" w:hAnsi="Calibri" w:eastAsia="宋体" w:cs="Times New Roman"/>
                <w:color w:val="auto"/>
                <w:sz w:val="24"/>
              </w:rPr>
              <w:t>厂址中心坐标：东经10</w:t>
            </w:r>
            <w:r>
              <w:rPr>
                <w:rFonts w:hint="eastAsia" w:ascii="Calibri" w:hAnsi="Calibri" w:eastAsia="宋体" w:cs="Times New Roman"/>
                <w:color w:val="auto"/>
                <w:sz w:val="24"/>
              </w:rPr>
              <w:t>8</w:t>
            </w:r>
            <w:r>
              <w:rPr>
                <w:rFonts w:ascii="Calibri" w:hAnsi="Calibri" w:eastAsia="宋体" w:cs="Times New Roman"/>
                <w:color w:val="auto"/>
                <w:sz w:val="24"/>
              </w:rPr>
              <w:t>°</w:t>
            </w:r>
            <w:r>
              <w:rPr>
                <w:rFonts w:hint="eastAsia" w:ascii="Calibri" w:hAnsi="Calibri" w:eastAsia="宋体" w:cs="Times New Roman"/>
                <w:color w:val="auto"/>
                <w:sz w:val="24"/>
              </w:rPr>
              <w:t>17</w:t>
            </w:r>
            <w:r>
              <w:rPr>
                <w:rFonts w:ascii="Calibri" w:hAnsi="Calibri" w:eastAsia="宋体" w:cs="Times New Roman"/>
                <w:color w:val="auto"/>
                <w:sz w:val="24"/>
              </w:rPr>
              <w:t>′</w:t>
            </w:r>
            <w:r>
              <w:rPr>
                <w:rFonts w:hint="eastAsia" w:ascii="Calibri" w:hAnsi="Calibri" w:eastAsia="宋体" w:cs="Times New Roman"/>
                <w:color w:val="auto"/>
                <w:sz w:val="24"/>
              </w:rPr>
              <w:t>10.377</w:t>
            </w:r>
            <w:r>
              <w:rPr>
                <w:rFonts w:ascii="Calibri" w:hAnsi="Calibri" w:eastAsia="宋体" w:cs="Times New Roman"/>
                <w:color w:val="auto"/>
                <w:sz w:val="24"/>
              </w:rPr>
              <w:t>″，北纬2</w:t>
            </w:r>
            <w:r>
              <w:rPr>
                <w:rFonts w:hint="eastAsia" w:ascii="Calibri" w:hAnsi="Calibri" w:eastAsia="宋体" w:cs="Times New Roman"/>
                <w:color w:val="auto"/>
                <w:sz w:val="24"/>
              </w:rPr>
              <w:t>1</w:t>
            </w:r>
            <w:r>
              <w:rPr>
                <w:rFonts w:ascii="Calibri" w:hAnsi="Calibri" w:eastAsia="宋体" w:cs="Times New Roman"/>
                <w:color w:val="auto"/>
                <w:sz w:val="24"/>
              </w:rPr>
              <w:t>°</w:t>
            </w:r>
            <w:r>
              <w:rPr>
                <w:rFonts w:hint="eastAsia" w:ascii="Calibri" w:hAnsi="Calibri" w:eastAsia="宋体" w:cs="Times New Roman"/>
                <w:color w:val="auto"/>
                <w:sz w:val="24"/>
              </w:rPr>
              <w:t>38</w:t>
            </w:r>
            <w:r>
              <w:rPr>
                <w:rFonts w:ascii="Calibri" w:hAnsi="Calibri" w:eastAsia="宋体" w:cs="Times New Roman"/>
                <w:color w:val="auto"/>
                <w:sz w:val="24"/>
              </w:rPr>
              <w:t>′</w:t>
            </w:r>
            <w:r>
              <w:rPr>
                <w:rFonts w:hint="eastAsia" w:ascii="Calibri" w:hAnsi="Calibri" w:eastAsia="宋体" w:cs="Times New Roman"/>
                <w:color w:val="auto"/>
                <w:sz w:val="24"/>
              </w:rPr>
              <w:t>17.504</w:t>
            </w:r>
            <w:r>
              <w:rPr>
                <w:rFonts w:ascii="Calibri" w:hAnsi="Calibri" w:eastAsia="宋体" w:cs="Times New Roman"/>
                <w:color w:val="auto"/>
                <w:sz w:val="24"/>
              </w:rPr>
              <w:t>″；</w:t>
            </w:r>
          </w:p>
          <w:p w14:paraId="3A46E1DA">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ascii="Calibri" w:hAnsi="Calibri" w:eastAsia="宋体" w:cs="Times New Roman"/>
                <w:color w:val="auto"/>
                <w:sz w:val="24"/>
              </w:rPr>
              <w:t>项目性质：新建</w:t>
            </w:r>
            <w:r>
              <w:rPr>
                <w:rFonts w:hint="eastAsia" w:ascii="Calibri" w:hAnsi="Calibri" w:eastAsia="宋体" w:cs="Times New Roman"/>
                <w:color w:val="auto"/>
                <w:sz w:val="24"/>
              </w:rPr>
              <w:t>；</w:t>
            </w:r>
          </w:p>
          <w:p w14:paraId="17E1FCC3">
            <w:pPr>
              <w:pStyle w:val="44"/>
              <w:keepNext w:val="0"/>
              <w:keepLines w:val="0"/>
              <w:suppressLineNumbers w:val="0"/>
              <w:spacing w:before="0" w:beforeAutospacing="0" w:after="0" w:afterAutospacing="0" w:line="360" w:lineRule="auto"/>
              <w:ind w:left="0" w:right="0" w:firstLine="480"/>
              <w:jc w:val="both"/>
              <w:rPr>
                <w:rFonts w:ascii="Calibri" w:hAnsi="Calibri" w:eastAsia="宋体" w:cs="Times New Roman"/>
                <w:color w:val="auto"/>
              </w:rPr>
            </w:pPr>
            <w:r>
              <w:rPr>
                <w:rFonts w:hint="eastAsia" w:ascii="Calibri" w:hAnsi="Calibri" w:eastAsia="宋体" w:cs="Times New Roman"/>
                <w:color w:val="auto"/>
              </w:rPr>
              <w:t>周边现状及环境情况：项目所在地块为荒地，周边主要是坑塘、山林地和企业，其南面为坑塘、山林地；西面为山林地，往西100m为防城港市垒石建材科技有限公司；北面和东面均为山林地。项目最近保护目标为西南面300m的黎竹坪村，地表水为3860m的西湾海域。</w:t>
            </w:r>
          </w:p>
          <w:p w14:paraId="4AAA2A84">
            <w:pPr>
              <w:pStyle w:val="44"/>
              <w:keepNext w:val="0"/>
              <w:keepLines w:val="0"/>
              <w:suppressLineNumbers w:val="0"/>
              <w:spacing w:before="0" w:beforeAutospacing="0" w:after="0" w:afterAutospacing="0" w:line="360" w:lineRule="auto"/>
              <w:ind w:left="0" w:right="0" w:firstLine="482"/>
              <w:rPr>
                <w:rFonts w:ascii="Calibri" w:hAnsi="Calibri" w:eastAsia="宋体" w:cs="Times New Roman"/>
                <w:b/>
                <w:bCs/>
                <w:color w:val="auto"/>
              </w:rPr>
            </w:pPr>
            <w:r>
              <w:rPr>
                <w:rFonts w:hint="eastAsia" w:ascii="Calibri" w:hAnsi="Calibri" w:eastAsia="宋体" w:cs="Times New Roman"/>
                <w:b/>
                <w:bCs/>
                <w:color w:val="auto"/>
              </w:rPr>
              <w:t>3、项目建设内容及规模</w:t>
            </w:r>
          </w:p>
          <w:p w14:paraId="7809505F">
            <w:pPr>
              <w:keepNext w:val="0"/>
              <w:keepLines w:val="0"/>
              <w:suppressLineNumbers w:val="0"/>
              <w:tabs>
                <w:tab w:val="left" w:pos="312"/>
              </w:tabs>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hint="eastAsia" w:ascii="Calibri" w:hAnsi="Calibri" w:eastAsia="宋体" w:cs="Times New Roman"/>
                <w:color w:val="auto"/>
                <w:sz w:val="24"/>
              </w:rPr>
              <w:t>项目总投资50万元，占地面积</w:t>
            </w:r>
            <w:r>
              <w:rPr>
                <w:rFonts w:hint="eastAsia" w:ascii="Times New Roman" w:hAnsi="Times New Roman" w:eastAsia="宋体" w:cs="Times New Roman"/>
                <w:color w:val="auto"/>
                <w:sz w:val="24"/>
              </w:rPr>
              <w:t>6666.67</w:t>
            </w:r>
            <w:r>
              <w:rPr>
                <w:rFonts w:hint="eastAsia" w:ascii="Calibri" w:hAnsi="Calibri" w:eastAsia="宋体" w:cs="Times New Roman"/>
                <w:color w:val="auto"/>
                <w:sz w:val="24"/>
              </w:rPr>
              <w:t>m</w:t>
            </w:r>
            <w:r>
              <w:rPr>
                <w:rFonts w:hint="eastAsia" w:ascii="Calibri" w:hAnsi="Calibri" w:eastAsia="宋体" w:cs="Times New Roman"/>
                <w:color w:val="auto"/>
                <w:sz w:val="24"/>
                <w:vertAlign w:val="superscript"/>
              </w:rPr>
              <w:t>2</w:t>
            </w:r>
            <w:r>
              <w:rPr>
                <w:rFonts w:hint="eastAsia" w:ascii="Times New Roman" w:hAnsi="Times New Roman" w:eastAsia="宋体" w:cs="Times New Roman"/>
                <w:color w:val="auto"/>
                <w:sz w:val="24"/>
              </w:rPr>
              <w:t>（10亩）</w:t>
            </w:r>
            <w:r>
              <w:rPr>
                <w:rFonts w:hint="eastAsia" w:ascii="Calibri" w:hAnsi="Calibri" w:eastAsia="宋体" w:cs="Times New Roman"/>
                <w:color w:val="auto"/>
                <w:sz w:val="24"/>
              </w:rPr>
              <w:t>，建成后设废弃资源分拣线1条，综合利用生产线1条，规模为年加工3万吨废金属材料，可年产废塑料约0.5万吨，废金属碎屑0.2万吨，生物肥料约2.2万吨。项目主要建设内容包括：分拣间、发酵间、原料库、产品堆场，以及配套建设供电、供水、环保治理等附属设施。项目主要工程内容，详见表2-1。</w:t>
            </w:r>
          </w:p>
          <w:p w14:paraId="04528F2F">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b/>
                <w:bCs/>
                <w:color w:val="auto"/>
              </w:rPr>
            </w:pPr>
            <w:r>
              <w:rPr>
                <w:rFonts w:hint="eastAsia" w:ascii="Calibri" w:hAnsi="Calibri" w:eastAsia="宋体" w:cs="Times New Roman"/>
                <w:b/>
                <w:bCs/>
                <w:color w:val="auto"/>
              </w:rPr>
              <w:t>表2-1  项目主要工程内容一览表</w:t>
            </w:r>
          </w:p>
          <w:tbl>
            <w:tblPr>
              <w:tblStyle w:val="26"/>
              <w:tblW w:w="497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80"/>
              <w:gridCol w:w="1459"/>
              <w:gridCol w:w="4501"/>
              <w:gridCol w:w="2035"/>
            </w:tblGrid>
            <w:tr w14:paraId="0F7D3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45" w:type="pct"/>
                  <w:noWrap w:val="0"/>
                  <w:vAlign w:val="center"/>
                </w:tcPr>
                <w:p w14:paraId="61381660">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b/>
                      <w:bCs/>
                      <w:color w:val="auto"/>
                    </w:rPr>
                  </w:pPr>
                  <w:r>
                    <w:rPr>
                      <w:rFonts w:ascii="Calibri" w:hAnsi="Calibri" w:eastAsia="宋体" w:cs="Times New Roman"/>
                      <w:b/>
                      <w:bCs/>
                      <w:color w:val="auto"/>
                    </w:rPr>
                    <w:t>工程</w:t>
                  </w:r>
                </w:p>
                <w:p w14:paraId="026DD9B8">
                  <w:pPr>
                    <w:keepNext w:val="0"/>
                    <w:keepLines w:val="0"/>
                    <w:suppressLineNumbers w:val="0"/>
                    <w:tabs>
                      <w:tab w:val="left" w:pos="3255"/>
                    </w:tabs>
                    <w:spacing w:before="0" w:beforeAutospacing="0" w:after="0" w:afterAutospacing="0"/>
                    <w:ind w:left="0" w:right="0"/>
                    <w:jc w:val="center"/>
                    <w:rPr>
                      <w:rFonts w:ascii="Calibri" w:hAnsi="Calibri" w:eastAsia="宋体" w:cs="Times New Roman"/>
                      <w:b/>
                      <w:bCs/>
                      <w:color w:val="auto"/>
                    </w:rPr>
                  </w:pPr>
                  <w:r>
                    <w:rPr>
                      <w:rFonts w:ascii="Calibri" w:hAnsi="Calibri" w:eastAsia="宋体" w:cs="Times New Roman"/>
                      <w:b/>
                      <w:bCs/>
                      <w:color w:val="auto"/>
                    </w:rPr>
                    <w:t>类别</w:t>
                  </w:r>
                </w:p>
              </w:tc>
              <w:tc>
                <w:tcPr>
                  <w:tcW w:w="831" w:type="pct"/>
                  <w:noWrap w:val="0"/>
                  <w:vAlign w:val="center"/>
                </w:tcPr>
                <w:p w14:paraId="0C5B8CCC">
                  <w:pPr>
                    <w:keepNext w:val="0"/>
                    <w:keepLines w:val="0"/>
                    <w:suppressLineNumbers w:val="0"/>
                    <w:tabs>
                      <w:tab w:val="left" w:pos="3255"/>
                    </w:tabs>
                    <w:spacing w:before="0" w:beforeAutospacing="0" w:after="0" w:afterAutospacing="0"/>
                    <w:ind w:left="0" w:right="0"/>
                    <w:jc w:val="center"/>
                    <w:rPr>
                      <w:rFonts w:ascii="Calibri" w:hAnsi="Calibri" w:eastAsia="宋体" w:cs="Times New Roman"/>
                      <w:b/>
                      <w:bCs/>
                      <w:color w:val="auto"/>
                    </w:rPr>
                  </w:pPr>
                  <w:r>
                    <w:rPr>
                      <w:rFonts w:ascii="Calibri" w:hAnsi="Calibri" w:eastAsia="宋体" w:cs="Times New Roman"/>
                      <w:b/>
                      <w:bCs/>
                      <w:color w:val="auto"/>
                    </w:rPr>
                    <w:t>工程名称</w:t>
                  </w:r>
                </w:p>
              </w:tc>
              <w:tc>
                <w:tcPr>
                  <w:tcW w:w="2564" w:type="pct"/>
                  <w:tcBorders>
                    <w:right w:val="single" w:color="auto" w:sz="4" w:space="0"/>
                  </w:tcBorders>
                  <w:noWrap w:val="0"/>
                  <w:vAlign w:val="center"/>
                </w:tcPr>
                <w:p w14:paraId="0AA4A246">
                  <w:pPr>
                    <w:keepNext w:val="0"/>
                    <w:keepLines w:val="0"/>
                    <w:suppressLineNumbers w:val="0"/>
                    <w:tabs>
                      <w:tab w:val="left" w:pos="3255"/>
                    </w:tabs>
                    <w:spacing w:before="0" w:beforeAutospacing="0" w:after="0" w:afterAutospacing="0"/>
                    <w:ind w:left="0" w:right="0"/>
                    <w:jc w:val="center"/>
                    <w:rPr>
                      <w:rFonts w:ascii="Calibri" w:hAnsi="Calibri" w:eastAsia="宋体" w:cs="Times New Roman"/>
                      <w:b/>
                      <w:bCs/>
                      <w:color w:val="auto"/>
                    </w:rPr>
                  </w:pPr>
                  <w:r>
                    <w:rPr>
                      <w:rFonts w:ascii="Calibri" w:hAnsi="Calibri" w:eastAsia="宋体" w:cs="Times New Roman"/>
                      <w:b/>
                      <w:bCs/>
                      <w:color w:val="auto"/>
                    </w:rPr>
                    <w:t>工程规模</w:t>
                  </w:r>
                </w:p>
              </w:tc>
              <w:tc>
                <w:tcPr>
                  <w:tcW w:w="1158" w:type="pct"/>
                  <w:tcBorders>
                    <w:left w:val="single" w:color="auto" w:sz="4" w:space="0"/>
                  </w:tcBorders>
                  <w:noWrap w:val="0"/>
                  <w:vAlign w:val="center"/>
                </w:tcPr>
                <w:p w14:paraId="434C3E69">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b/>
                      <w:bCs/>
                      <w:color w:val="auto"/>
                    </w:rPr>
                  </w:pPr>
                  <w:r>
                    <w:rPr>
                      <w:rFonts w:hint="eastAsia" w:ascii="Calibri" w:hAnsi="Calibri" w:eastAsia="宋体" w:cs="Times New Roman"/>
                      <w:b/>
                      <w:bCs/>
                      <w:color w:val="auto"/>
                    </w:rPr>
                    <w:t>备注</w:t>
                  </w:r>
                </w:p>
              </w:tc>
            </w:tr>
            <w:tr w14:paraId="18DA95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4" w:hRule="atLeast"/>
                <w:jc w:val="center"/>
              </w:trPr>
              <w:tc>
                <w:tcPr>
                  <w:tcW w:w="445" w:type="pct"/>
                  <w:vMerge w:val="restart"/>
                  <w:noWrap w:val="0"/>
                  <w:vAlign w:val="center"/>
                </w:tcPr>
                <w:p w14:paraId="4C60F85D">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ascii="Calibri" w:hAnsi="Calibri" w:eastAsia="宋体" w:cs="Times New Roman"/>
                      <w:color w:val="auto"/>
                    </w:rPr>
                    <w:t>主体</w:t>
                  </w:r>
                </w:p>
                <w:p w14:paraId="422A5AD5">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工程</w:t>
                  </w:r>
                </w:p>
              </w:tc>
              <w:tc>
                <w:tcPr>
                  <w:tcW w:w="831" w:type="pct"/>
                  <w:noWrap w:val="0"/>
                  <w:vAlign w:val="center"/>
                </w:tcPr>
                <w:p w14:paraId="4BD7029E">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分拣间</w:t>
                  </w:r>
                </w:p>
              </w:tc>
              <w:tc>
                <w:tcPr>
                  <w:tcW w:w="2564" w:type="pct"/>
                  <w:tcBorders>
                    <w:right w:val="single" w:color="auto" w:sz="4" w:space="0"/>
                  </w:tcBorders>
                  <w:noWrap w:val="0"/>
                  <w:vAlign w:val="center"/>
                </w:tcPr>
                <w:p w14:paraId="3D88CB4D">
                  <w:pPr>
                    <w:keepNext w:val="0"/>
                    <w:keepLines w:val="0"/>
                    <w:suppressLineNumbers w:val="0"/>
                    <w:tabs>
                      <w:tab w:val="left" w:pos="3255"/>
                    </w:tabs>
                    <w:spacing w:before="0" w:beforeAutospacing="0" w:after="0" w:afterAutospacing="0"/>
                    <w:ind w:left="0" w:right="0"/>
                    <w:jc w:val="left"/>
                    <w:rPr>
                      <w:rFonts w:ascii="Calibri" w:hAnsi="Calibri" w:eastAsia="宋体" w:cs="Times New Roman"/>
                      <w:color w:val="auto"/>
                    </w:rPr>
                  </w:pPr>
                  <w:r>
                    <w:rPr>
                      <w:rFonts w:hint="eastAsia" w:ascii="Calibri" w:hAnsi="Calibri" w:eastAsia="宋体" w:cs="Times New Roman"/>
                      <w:color w:val="auto"/>
                    </w:rPr>
                    <w:t>位于厂区北面地块，占地面积500</w:t>
                  </w:r>
                  <w:r>
                    <w:rPr>
                      <w:rFonts w:ascii="Calibri" w:hAnsi="Calibri" w:eastAsia="宋体" w:cs="Times New Roman"/>
                      <w:color w:val="auto"/>
                    </w:rPr>
                    <w:t>m</w:t>
                  </w:r>
                  <w:r>
                    <w:rPr>
                      <w:rFonts w:ascii="Calibri" w:hAnsi="Calibri" w:eastAsia="宋体" w:cs="Times New Roman"/>
                      <w:color w:val="auto"/>
                      <w:vertAlign w:val="superscript"/>
                    </w:rPr>
                    <w:t>2</w:t>
                  </w:r>
                  <w:r>
                    <w:rPr>
                      <w:rFonts w:ascii="Calibri" w:hAnsi="Calibri" w:eastAsia="宋体" w:cs="Times New Roman"/>
                      <w:color w:val="auto"/>
                    </w:rPr>
                    <w:t>，</w:t>
                  </w:r>
                  <w:r>
                    <w:rPr>
                      <w:rFonts w:hint="eastAsia" w:ascii="Calibri" w:hAnsi="Calibri" w:eastAsia="宋体" w:cs="Times New Roman"/>
                      <w:color w:val="auto"/>
                    </w:rPr>
                    <w:t>封闭式钢架结构（</w:t>
                  </w:r>
                  <w:r>
                    <w:rPr>
                      <w:rFonts w:hint="eastAsia" w:ascii="Times New Roman" w:hAnsi="Times New Roman" w:eastAsia="宋体" w:cs="Times New Roman"/>
                      <w:color w:val="auto"/>
                      <w:szCs w:val="21"/>
                      <w:lang w:bidi="ar"/>
                    </w:rPr>
                    <w:t>进出口采用卷门遮挡）</w:t>
                  </w:r>
                  <w:r>
                    <w:rPr>
                      <w:rFonts w:hint="eastAsia" w:ascii="Calibri" w:hAnsi="Calibri" w:eastAsia="宋体" w:cs="Times New Roman"/>
                      <w:color w:val="auto"/>
                    </w:rPr>
                    <w:t>，设置1条废弃资源分拣线，主要对生活垃圾进行人工分拣出废塑料、废金属碎屑、木块、玻璃等，剩下餐厨垃圾（如剩饭菜、果皮、菜叶）采用铲车</w:t>
                  </w:r>
                  <w:r>
                    <w:rPr>
                      <w:rFonts w:hint="eastAsia" w:ascii="Calibri" w:hAnsi="Calibri" w:eastAsia="宋体" w:cs="Times New Roman"/>
                      <w:bCs/>
                      <w:color w:val="auto"/>
                    </w:rPr>
                    <w:t>封闭式</w:t>
                  </w:r>
                  <w:r>
                    <w:rPr>
                      <w:rFonts w:hint="eastAsia" w:ascii="Calibri" w:hAnsi="Calibri" w:eastAsia="宋体" w:cs="Times New Roman"/>
                      <w:color w:val="auto"/>
                    </w:rPr>
                    <w:t>运至发酵间。</w:t>
                  </w:r>
                </w:p>
              </w:tc>
              <w:tc>
                <w:tcPr>
                  <w:tcW w:w="1158" w:type="pct"/>
                  <w:vMerge w:val="restart"/>
                  <w:tcBorders>
                    <w:left w:val="single" w:color="auto" w:sz="4" w:space="0"/>
                  </w:tcBorders>
                  <w:noWrap w:val="0"/>
                  <w:vAlign w:val="center"/>
                </w:tcPr>
                <w:p w14:paraId="70FFFD5F">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r>
                    <w:rPr>
                      <w:rFonts w:hint="eastAsia" w:ascii="Calibri" w:hAnsi="Calibri" w:eastAsia="宋体" w:cs="Times New Roman"/>
                      <w:color w:val="auto"/>
                    </w:rPr>
                    <w:t>年加工3万吨废金属材料，可年产约废塑料0.5万吨，废金属碎屑0.2万吨，生物肥料约2.2万吨。</w:t>
                  </w:r>
                </w:p>
              </w:tc>
            </w:tr>
            <w:tr w14:paraId="57B126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445" w:type="pct"/>
                  <w:vMerge w:val="continue"/>
                  <w:noWrap w:val="0"/>
                  <w:vAlign w:val="center"/>
                </w:tcPr>
                <w:p w14:paraId="23CCFEC1">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p>
              </w:tc>
              <w:tc>
                <w:tcPr>
                  <w:tcW w:w="831" w:type="pct"/>
                  <w:noWrap w:val="0"/>
                  <w:vAlign w:val="center"/>
                </w:tcPr>
                <w:p w14:paraId="3767D6E2">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发酵间</w:t>
                  </w:r>
                </w:p>
              </w:tc>
              <w:tc>
                <w:tcPr>
                  <w:tcW w:w="2564" w:type="pct"/>
                  <w:tcBorders>
                    <w:right w:val="single" w:color="auto" w:sz="4" w:space="0"/>
                  </w:tcBorders>
                  <w:noWrap w:val="0"/>
                  <w:vAlign w:val="center"/>
                </w:tcPr>
                <w:p w14:paraId="28379579">
                  <w:pPr>
                    <w:keepNext w:val="0"/>
                    <w:keepLines w:val="0"/>
                    <w:suppressLineNumbers w:val="0"/>
                    <w:tabs>
                      <w:tab w:val="left" w:pos="3255"/>
                    </w:tabs>
                    <w:spacing w:before="0" w:beforeAutospacing="0" w:after="0" w:afterAutospacing="0"/>
                    <w:ind w:left="0" w:right="0"/>
                    <w:jc w:val="left"/>
                    <w:rPr>
                      <w:rFonts w:ascii="Calibri" w:hAnsi="Calibri" w:eastAsia="宋体" w:cs="Times New Roman"/>
                      <w:color w:val="auto"/>
                    </w:rPr>
                  </w:pPr>
                  <w:r>
                    <w:rPr>
                      <w:rFonts w:hint="eastAsia" w:ascii="Calibri" w:hAnsi="Calibri" w:eastAsia="宋体" w:cs="Times New Roman"/>
                      <w:color w:val="auto"/>
                    </w:rPr>
                    <w:t>位于厂区东面地块，占地面积2000</w:t>
                  </w:r>
                  <w:r>
                    <w:rPr>
                      <w:rFonts w:ascii="Calibri" w:hAnsi="Calibri" w:eastAsia="宋体" w:cs="Times New Roman"/>
                      <w:color w:val="auto"/>
                    </w:rPr>
                    <w:t>m</w:t>
                  </w:r>
                  <w:r>
                    <w:rPr>
                      <w:rFonts w:ascii="Calibri" w:hAnsi="Calibri" w:eastAsia="宋体" w:cs="Times New Roman"/>
                      <w:color w:val="auto"/>
                      <w:vertAlign w:val="superscript"/>
                    </w:rPr>
                    <w:t>2</w:t>
                  </w:r>
                  <w:r>
                    <w:rPr>
                      <w:rFonts w:ascii="Calibri" w:hAnsi="Calibri" w:eastAsia="宋体" w:cs="Times New Roman"/>
                      <w:color w:val="auto"/>
                    </w:rPr>
                    <w:t>，</w:t>
                  </w:r>
                  <w:r>
                    <w:rPr>
                      <w:rFonts w:hint="eastAsia" w:ascii="Calibri" w:hAnsi="Calibri" w:eastAsia="宋体" w:cs="Times New Roman"/>
                      <w:color w:val="auto"/>
                    </w:rPr>
                    <w:t>封闭式钢架结构（</w:t>
                  </w:r>
                  <w:r>
                    <w:rPr>
                      <w:rFonts w:hint="eastAsia" w:ascii="Times New Roman" w:hAnsi="Times New Roman" w:eastAsia="宋体" w:cs="Times New Roman"/>
                      <w:color w:val="auto"/>
                      <w:szCs w:val="21"/>
                      <w:lang w:bidi="ar"/>
                    </w:rPr>
                    <w:t>进出口采用卷门遮挡）</w:t>
                  </w:r>
                  <w:r>
                    <w:rPr>
                      <w:rFonts w:hint="eastAsia" w:ascii="Calibri" w:hAnsi="Calibri" w:eastAsia="宋体" w:cs="Times New Roman"/>
                      <w:color w:val="auto"/>
                    </w:rPr>
                    <w:t>，设置综合利用生产线1条，主要将废豆粕和分拣后剩下的餐厨垃圾进行高温好氧发酵。</w:t>
                  </w:r>
                </w:p>
              </w:tc>
              <w:tc>
                <w:tcPr>
                  <w:tcW w:w="1158" w:type="pct"/>
                  <w:vMerge w:val="continue"/>
                  <w:tcBorders>
                    <w:left w:val="single" w:color="auto" w:sz="4" w:space="0"/>
                  </w:tcBorders>
                  <w:noWrap w:val="0"/>
                  <w:vAlign w:val="center"/>
                </w:tcPr>
                <w:p w14:paraId="7B79A016">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p>
              </w:tc>
            </w:tr>
            <w:tr w14:paraId="02BC90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445" w:type="pct"/>
                  <w:vMerge w:val="restart"/>
                  <w:noWrap w:val="0"/>
                  <w:vAlign w:val="center"/>
                </w:tcPr>
                <w:p w14:paraId="385E8D93">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ascii="Calibri" w:hAnsi="Calibri" w:eastAsia="宋体" w:cs="Times New Roman"/>
                      <w:color w:val="auto"/>
                    </w:rPr>
                    <w:t>储运</w:t>
                  </w:r>
                </w:p>
                <w:p w14:paraId="1F4241FF">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工程</w:t>
                  </w:r>
                </w:p>
              </w:tc>
              <w:tc>
                <w:tcPr>
                  <w:tcW w:w="831" w:type="pct"/>
                  <w:noWrap w:val="0"/>
                  <w:vAlign w:val="center"/>
                </w:tcPr>
                <w:p w14:paraId="0BC90152">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原料库</w:t>
                  </w:r>
                </w:p>
              </w:tc>
              <w:tc>
                <w:tcPr>
                  <w:tcW w:w="3723" w:type="pct"/>
                  <w:gridSpan w:val="2"/>
                  <w:noWrap w:val="0"/>
                  <w:vAlign w:val="center"/>
                </w:tcPr>
                <w:p w14:paraId="5E2C8A99">
                  <w:pPr>
                    <w:keepNext w:val="0"/>
                    <w:keepLines w:val="0"/>
                    <w:suppressLineNumbers w:val="0"/>
                    <w:tabs>
                      <w:tab w:val="left" w:pos="3255"/>
                    </w:tabs>
                    <w:spacing w:before="0" w:beforeAutospacing="0" w:after="0" w:afterAutospacing="0"/>
                    <w:ind w:left="0" w:right="0"/>
                    <w:jc w:val="left"/>
                    <w:rPr>
                      <w:rFonts w:ascii="Calibri" w:hAnsi="Calibri" w:eastAsia="宋体" w:cs="Times New Roman"/>
                      <w:color w:val="auto"/>
                    </w:rPr>
                  </w:pPr>
                  <w:r>
                    <w:rPr>
                      <w:rFonts w:hint="eastAsia" w:ascii="Calibri" w:hAnsi="Calibri" w:eastAsia="宋体" w:cs="Times New Roman"/>
                      <w:color w:val="auto"/>
                    </w:rPr>
                    <w:t>位于厂区北面地块，占地面积1000</w:t>
                  </w:r>
                  <w:r>
                    <w:rPr>
                      <w:rFonts w:ascii="Calibri" w:hAnsi="Calibri" w:eastAsia="宋体" w:cs="Times New Roman"/>
                      <w:color w:val="auto"/>
                    </w:rPr>
                    <w:t>m</w:t>
                  </w:r>
                  <w:r>
                    <w:rPr>
                      <w:rFonts w:ascii="Calibri" w:hAnsi="Calibri" w:eastAsia="宋体" w:cs="Times New Roman"/>
                      <w:color w:val="auto"/>
                      <w:vertAlign w:val="superscript"/>
                    </w:rPr>
                    <w:t>2</w:t>
                  </w:r>
                  <w:r>
                    <w:rPr>
                      <w:rFonts w:ascii="Calibri" w:hAnsi="Calibri" w:eastAsia="宋体" w:cs="Times New Roman"/>
                      <w:color w:val="auto"/>
                    </w:rPr>
                    <w:t>，</w:t>
                  </w:r>
                  <w:r>
                    <w:rPr>
                      <w:rFonts w:hint="eastAsia" w:ascii="Calibri" w:hAnsi="Calibri" w:eastAsia="宋体" w:cs="Times New Roman"/>
                      <w:color w:val="auto"/>
                    </w:rPr>
                    <w:t>封闭式钢架结构（</w:t>
                  </w:r>
                  <w:r>
                    <w:rPr>
                      <w:rFonts w:hint="eastAsia" w:ascii="Times New Roman" w:hAnsi="Times New Roman" w:eastAsia="宋体" w:cs="Times New Roman"/>
                      <w:color w:val="auto"/>
                      <w:szCs w:val="21"/>
                      <w:lang w:bidi="ar"/>
                    </w:rPr>
                    <w:t>进出口采用卷门遮挡）</w:t>
                  </w:r>
                  <w:r>
                    <w:rPr>
                      <w:rFonts w:hint="eastAsia" w:ascii="Calibri" w:hAnsi="Calibri" w:eastAsia="宋体" w:cs="Times New Roman"/>
                      <w:color w:val="auto"/>
                    </w:rPr>
                    <w:t>，地面一般防渗，设计最大堆料为400吨，分区域堆放袋装的生活垃圾、废豆粕。</w:t>
                  </w:r>
                </w:p>
              </w:tc>
            </w:tr>
            <w:tr w14:paraId="70AF5D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445" w:type="pct"/>
                  <w:vMerge w:val="continue"/>
                  <w:noWrap w:val="0"/>
                  <w:vAlign w:val="center"/>
                </w:tcPr>
                <w:p w14:paraId="54529A1A">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p>
              </w:tc>
              <w:tc>
                <w:tcPr>
                  <w:tcW w:w="831" w:type="pct"/>
                  <w:noWrap w:val="0"/>
                  <w:vAlign w:val="center"/>
                </w:tcPr>
                <w:p w14:paraId="51FA25DD">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产品堆场</w:t>
                  </w:r>
                </w:p>
              </w:tc>
              <w:tc>
                <w:tcPr>
                  <w:tcW w:w="3723" w:type="pct"/>
                  <w:gridSpan w:val="2"/>
                  <w:noWrap w:val="0"/>
                  <w:vAlign w:val="center"/>
                </w:tcPr>
                <w:p w14:paraId="31EC8B9F">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r>
                    <w:rPr>
                      <w:rFonts w:hint="eastAsia" w:ascii="Calibri" w:hAnsi="Calibri" w:eastAsia="宋体" w:cs="Times New Roman"/>
                      <w:color w:val="auto"/>
                    </w:rPr>
                    <w:t>位于厂区西面地块，占地面积3000</w:t>
                  </w:r>
                  <w:r>
                    <w:rPr>
                      <w:rFonts w:ascii="Calibri" w:hAnsi="Calibri" w:eastAsia="宋体" w:cs="Times New Roman"/>
                      <w:color w:val="auto"/>
                    </w:rPr>
                    <w:t>m</w:t>
                  </w:r>
                  <w:r>
                    <w:rPr>
                      <w:rFonts w:ascii="Calibri" w:hAnsi="Calibri" w:eastAsia="宋体" w:cs="Times New Roman"/>
                      <w:color w:val="auto"/>
                      <w:vertAlign w:val="superscript"/>
                    </w:rPr>
                    <w:t>2</w:t>
                  </w:r>
                  <w:r>
                    <w:rPr>
                      <w:rFonts w:ascii="Calibri" w:hAnsi="Calibri" w:eastAsia="宋体" w:cs="Times New Roman"/>
                      <w:color w:val="auto"/>
                    </w:rPr>
                    <w:t>，</w:t>
                  </w:r>
                  <w:r>
                    <w:rPr>
                      <w:rFonts w:hint="eastAsia" w:ascii="Calibri" w:hAnsi="Calibri" w:eastAsia="宋体" w:cs="Times New Roman"/>
                      <w:color w:val="auto"/>
                    </w:rPr>
                    <w:t>封闭式钢架结构（</w:t>
                  </w:r>
                  <w:r>
                    <w:rPr>
                      <w:rFonts w:hint="eastAsia" w:ascii="Times New Roman" w:hAnsi="Times New Roman" w:eastAsia="宋体" w:cs="Times New Roman"/>
                      <w:color w:val="auto"/>
                      <w:szCs w:val="21"/>
                      <w:lang w:bidi="ar"/>
                    </w:rPr>
                    <w:t>进出口采用卷门遮挡）</w:t>
                  </w:r>
                  <w:r>
                    <w:rPr>
                      <w:rFonts w:hint="eastAsia" w:ascii="Calibri" w:hAnsi="Calibri" w:eastAsia="宋体" w:cs="Times New Roman"/>
                      <w:color w:val="auto"/>
                    </w:rPr>
                    <w:t>，地面一般防渗，设计最大堆料为1000吨，分区域堆放废塑料、废金属碎屑、生物肥料，均采用袋装。</w:t>
                  </w:r>
                </w:p>
              </w:tc>
            </w:tr>
            <w:tr w14:paraId="27A4DF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 w:hRule="atLeast"/>
                <w:jc w:val="center"/>
              </w:trPr>
              <w:tc>
                <w:tcPr>
                  <w:tcW w:w="445" w:type="pct"/>
                  <w:vMerge w:val="continue"/>
                  <w:noWrap w:val="0"/>
                  <w:vAlign w:val="center"/>
                </w:tcPr>
                <w:p w14:paraId="65D4EE77">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p>
              </w:tc>
              <w:tc>
                <w:tcPr>
                  <w:tcW w:w="831" w:type="pct"/>
                  <w:noWrap w:val="0"/>
                  <w:vAlign w:val="center"/>
                </w:tcPr>
                <w:p w14:paraId="11AC2678">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运输方式</w:t>
                  </w:r>
                </w:p>
              </w:tc>
              <w:tc>
                <w:tcPr>
                  <w:tcW w:w="3723" w:type="pct"/>
                  <w:gridSpan w:val="2"/>
                  <w:noWrap w:val="0"/>
                  <w:vAlign w:val="center"/>
                </w:tcPr>
                <w:p w14:paraId="57A0889E">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r>
                    <w:rPr>
                      <w:rFonts w:hint="eastAsia" w:ascii="Calibri" w:hAnsi="Calibri" w:eastAsia="宋体" w:cs="Times New Roman"/>
                      <w:bCs/>
                      <w:color w:val="auto"/>
                    </w:rPr>
                    <w:t>废豆粕采用吨袋包装，采用叉车运输至发酵间；经人工分拣后的生活垃圾（如剩饭菜、果皮、菜叶等）采用铲车封闭式运输至发酵间。</w:t>
                  </w:r>
                </w:p>
              </w:tc>
            </w:tr>
            <w:tr w14:paraId="1DF34A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45" w:type="pct"/>
                  <w:noWrap w:val="0"/>
                  <w:vAlign w:val="center"/>
                </w:tcPr>
                <w:p w14:paraId="24389E2A">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ascii="Calibri" w:hAnsi="Calibri" w:eastAsia="宋体" w:cs="Times New Roman"/>
                      <w:color w:val="auto"/>
                    </w:rPr>
                    <w:t>辅助</w:t>
                  </w:r>
                </w:p>
                <w:p w14:paraId="2B902962">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工程</w:t>
                  </w:r>
                </w:p>
              </w:tc>
              <w:tc>
                <w:tcPr>
                  <w:tcW w:w="831" w:type="pct"/>
                  <w:noWrap w:val="0"/>
                  <w:vAlign w:val="center"/>
                </w:tcPr>
                <w:p w14:paraId="10C6A9AA">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办公生活区</w:t>
                  </w:r>
                </w:p>
              </w:tc>
              <w:tc>
                <w:tcPr>
                  <w:tcW w:w="3723" w:type="pct"/>
                  <w:gridSpan w:val="2"/>
                  <w:noWrap w:val="0"/>
                  <w:vAlign w:val="center"/>
                </w:tcPr>
                <w:p w14:paraId="62137B9E">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r>
                    <w:rPr>
                      <w:rFonts w:hint="eastAsia" w:ascii="Calibri" w:hAnsi="Calibri" w:eastAsia="宋体" w:cs="Times New Roman"/>
                      <w:color w:val="auto"/>
                    </w:rPr>
                    <w:t>1</w:t>
                  </w:r>
                  <w:r>
                    <w:rPr>
                      <w:rFonts w:ascii="Calibri" w:hAnsi="Calibri" w:eastAsia="宋体" w:cs="Times New Roman"/>
                      <w:color w:val="auto"/>
                    </w:rPr>
                    <w:t>F，</w:t>
                  </w:r>
                  <w:r>
                    <w:rPr>
                      <w:rFonts w:hint="eastAsia" w:ascii="Calibri" w:hAnsi="Calibri" w:eastAsia="宋体" w:cs="Times New Roman"/>
                      <w:color w:val="auto"/>
                    </w:rPr>
                    <w:t>位于厂区南面地块，</w:t>
                  </w:r>
                  <w:r>
                    <w:rPr>
                      <w:rFonts w:ascii="Calibri" w:hAnsi="Calibri" w:eastAsia="宋体" w:cs="Times New Roman"/>
                      <w:color w:val="auto"/>
                    </w:rPr>
                    <w:t>建筑面积约</w:t>
                  </w:r>
                  <w:r>
                    <w:rPr>
                      <w:rFonts w:hint="eastAsia" w:ascii="Calibri" w:hAnsi="Calibri" w:eastAsia="宋体" w:cs="Times New Roman"/>
                      <w:color w:val="auto"/>
                    </w:rPr>
                    <w:t>50</w:t>
                  </w:r>
                  <w:r>
                    <w:rPr>
                      <w:rFonts w:ascii="Calibri" w:hAnsi="Calibri" w:eastAsia="宋体" w:cs="Times New Roman"/>
                      <w:color w:val="auto"/>
                    </w:rPr>
                    <w:t>m</w:t>
                  </w:r>
                  <w:r>
                    <w:rPr>
                      <w:rFonts w:ascii="Calibri" w:hAnsi="Calibri" w:eastAsia="宋体" w:cs="Times New Roman"/>
                      <w:color w:val="auto"/>
                      <w:vertAlign w:val="superscript"/>
                    </w:rPr>
                    <w:t>2</w:t>
                  </w:r>
                  <w:r>
                    <w:rPr>
                      <w:rFonts w:hint="eastAsia" w:ascii="Calibri" w:hAnsi="Calibri" w:eastAsia="宋体" w:cs="Times New Roman"/>
                      <w:color w:val="auto"/>
                    </w:rPr>
                    <w:t>，钢混</w:t>
                  </w:r>
                  <w:r>
                    <w:rPr>
                      <w:rFonts w:ascii="Calibri" w:hAnsi="Calibri" w:eastAsia="宋体" w:cs="Times New Roman"/>
                      <w:color w:val="auto"/>
                    </w:rPr>
                    <w:t>结构</w:t>
                  </w:r>
                  <w:r>
                    <w:rPr>
                      <w:rFonts w:hint="eastAsia" w:ascii="Calibri" w:hAnsi="Calibri" w:eastAsia="宋体" w:cs="Times New Roman"/>
                      <w:color w:val="auto"/>
                    </w:rPr>
                    <w:t>。</w:t>
                  </w:r>
                </w:p>
              </w:tc>
            </w:tr>
            <w:tr w14:paraId="2B326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45" w:type="pct"/>
                  <w:vMerge w:val="restart"/>
                  <w:noWrap w:val="0"/>
                  <w:vAlign w:val="center"/>
                </w:tcPr>
                <w:p w14:paraId="0D83C3BE">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ascii="Calibri" w:hAnsi="Calibri" w:eastAsia="宋体" w:cs="Times New Roman"/>
                      <w:color w:val="auto"/>
                    </w:rPr>
                    <w:t>公用</w:t>
                  </w:r>
                </w:p>
                <w:p w14:paraId="3E795F2A">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工程</w:t>
                  </w:r>
                </w:p>
              </w:tc>
              <w:tc>
                <w:tcPr>
                  <w:tcW w:w="831" w:type="pct"/>
                  <w:noWrap w:val="0"/>
                  <w:vAlign w:val="center"/>
                </w:tcPr>
                <w:p w14:paraId="31DF0441">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供水</w:t>
                  </w:r>
                </w:p>
              </w:tc>
              <w:tc>
                <w:tcPr>
                  <w:tcW w:w="3723" w:type="pct"/>
                  <w:gridSpan w:val="2"/>
                  <w:noWrap w:val="0"/>
                  <w:vAlign w:val="center"/>
                </w:tcPr>
                <w:p w14:paraId="50D4DC08">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r>
                    <w:rPr>
                      <w:rFonts w:hint="eastAsia" w:ascii="Calibri" w:hAnsi="Calibri" w:eastAsia="宋体" w:cs="Times New Roman"/>
                      <w:color w:val="auto"/>
                    </w:rPr>
                    <w:t>自打水井提供。</w:t>
                  </w:r>
                </w:p>
              </w:tc>
            </w:tr>
            <w:tr w14:paraId="77234F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5" w:type="pct"/>
                  <w:vMerge w:val="continue"/>
                  <w:noWrap w:val="0"/>
                  <w:vAlign w:val="center"/>
                </w:tcPr>
                <w:p w14:paraId="322FB84F">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831" w:type="pct"/>
                  <w:noWrap w:val="0"/>
                  <w:vAlign w:val="center"/>
                </w:tcPr>
                <w:p w14:paraId="01D21784">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供电</w:t>
                  </w:r>
                </w:p>
              </w:tc>
              <w:tc>
                <w:tcPr>
                  <w:tcW w:w="3723" w:type="pct"/>
                  <w:gridSpan w:val="2"/>
                  <w:noWrap w:val="0"/>
                  <w:vAlign w:val="center"/>
                </w:tcPr>
                <w:p w14:paraId="096824BD">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r>
                    <w:rPr>
                      <w:rFonts w:hint="eastAsia" w:ascii="Calibri" w:hAnsi="Calibri" w:eastAsia="宋体" w:cs="Times New Roman"/>
                      <w:color w:val="auto"/>
                    </w:rPr>
                    <w:t>由防城区江山镇供电系统供给</w:t>
                  </w:r>
                  <w:r>
                    <w:rPr>
                      <w:rFonts w:hint="eastAsia" w:ascii="宋体" w:hAnsi="宋体" w:eastAsia="宋体" w:cs="宋体"/>
                      <w:color w:val="auto"/>
                    </w:rPr>
                    <w:t>。</w:t>
                  </w:r>
                </w:p>
              </w:tc>
            </w:tr>
            <w:tr w14:paraId="7B8DE0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45" w:type="pct"/>
                  <w:vMerge w:val="continue"/>
                  <w:noWrap w:val="0"/>
                  <w:vAlign w:val="center"/>
                </w:tcPr>
                <w:p w14:paraId="2B3F83AD">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831" w:type="pct"/>
                  <w:noWrap w:val="0"/>
                  <w:vAlign w:val="center"/>
                </w:tcPr>
                <w:p w14:paraId="5D712A72">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排水</w:t>
                  </w:r>
                </w:p>
              </w:tc>
              <w:tc>
                <w:tcPr>
                  <w:tcW w:w="3723" w:type="pct"/>
                  <w:gridSpan w:val="2"/>
                  <w:noWrap w:val="0"/>
                  <w:vAlign w:val="center"/>
                </w:tcPr>
                <w:p w14:paraId="3B543614">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r>
                    <w:rPr>
                      <w:rFonts w:hint="eastAsia" w:ascii="Calibri" w:hAnsi="Calibri" w:eastAsia="宋体" w:cs="Times New Roman"/>
                      <w:color w:val="auto"/>
                    </w:rPr>
                    <w:t>项目生物除臭塔除臭用水循环使用，不外排；生活污水经防渗旱厕处理后用于桉树林施肥。</w:t>
                  </w:r>
                </w:p>
                <w:p w14:paraId="0415851C">
                  <w:pPr>
                    <w:pStyle w:val="3"/>
                    <w:suppressLineNumbers w:val="0"/>
                    <w:spacing w:before="0" w:beforeAutospacing="0" w:after="0" w:afterAutospacing="0"/>
                    <w:ind w:left="0" w:right="0"/>
                    <w:outlineLvl w:val="1"/>
                    <w:rPr>
                      <w:rFonts w:ascii="Calibri" w:hAnsi="Calibri" w:eastAsia="宋体" w:cs="Times New Roman"/>
                      <w:color w:val="auto"/>
                    </w:rPr>
                  </w:pPr>
                  <w:r>
                    <w:rPr>
                      <w:rFonts w:hint="eastAsia" w:ascii="Calibri" w:hAnsi="Calibri" w:eastAsia="宋体" w:cs="Times New Roman"/>
                      <w:color w:val="auto"/>
                    </w:rPr>
                    <w:t>15分钟前初期雨水经初期雨水沉淀池处理后批次进入防渗旱厕，15分钟后雨水排入南面坑塘。</w:t>
                  </w:r>
                </w:p>
              </w:tc>
            </w:tr>
            <w:tr w14:paraId="2AE6C0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445" w:type="pct"/>
                  <w:vMerge w:val="restart"/>
                  <w:noWrap w:val="0"/>
                  <w:vAlign w:val="center"/>
                </w:tcPr>
                <w:p w14:paraId="57CE14C5">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ascii="Calibri" w:hAnsi="Calibri" w:eastAsia="宋体" w:cs="Times New Roman"/>
                      <w:color w:val="auto"/>
                    </w:rPr>
                    <w:t>环保</w:t>
                  </w:r>
                </w:p>
                <w:p w14:paraId="7C0C065E">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工程</w:t>
                  </w:r>
                </w:p>
              </w:tc>
              <w:tc>
                <w:tcPr>
                  <w:tcW w:w="831" w:type="pct"/>
                  <w:noWrap w:val="0"/>
                  <w:vAlign w:val="center"/>
                </w:tcPr>
                <w:p w14:paraId="2D133DF5">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废水治理</w:t>
                  </w:r>
                </w:p>
              </w:tc>
              <w:tc>
                <w:tcPr>
                  <w:tcW w:w="3723" w:type="pct"/>
                  <w:gridSpan w:val="2"/>
                  <w:noWrap w:val="0"/>
                  <w:vAlign w:val="center"/>
                </w:tcPr>
                <w:p w14:paraId="1385F684">
                  <w:pPr>
                    <w:keepNext w:val="0"/>
                    <w:keepLines w:val="0"/>
                    <w:suppressLineNumbers w:val="0"/>
                    <w:tabs>
                      <w:tab w:val="left" w:pos="3255"/>
                    </w:tabs>
                    <w:spacing w:before="0" w:beforeAutospacing="0" w:after="0" w:afterAutospacing="0"/>
                    <w:ind w:left="0" w:right="0"/>
                    <w:jc w:val="left"/>
                    <w:rPr>
                      <w:rFonts w:ascii="Calibri" w:hAnsi="Calibri" w:eastAsia="宋体" w:cs="Times New Roman"/>
                      <w:color w:val="auto"/>
                    </w:rPr>
                  </w:pPr>
                  <w:r>
                    <w:rPr>
                      <w:rFonts w:hint="eastAsia" w:ascii="Calibri" w:hAnsi="Calibri" w:eastAsia="宋体" w:cs="Times New Roman"/>
                      <w:color w:val="auto"/>
                    </w:rPr>
                    <w:t>防渗旱厕</w:t>
                  </w:r>
                  <w:r>
                    <w:rPr>
                      <w:rFonts w:ascii="Calibri" w:hAnsi="Calibri" w:eastAsia="宋体" w:cs="Times New Roman"/>
                      <w:color w:val="auto"/>
                    </w:rPr>
                    <w:t>（</w:t>
                  </w:r>
                  <w:r>
                    <w:rPr>
                      <w:rFonts w:hint="eastAsia" w:ascii="Calibri" w:hAnsi="Calibri" w:eastAsia="宋体" w:cs="Times New Roman"/>
                      <w:color w:val="auto"/>
                    </w:rPr>
                    <w:t>1</w:t>
                  </w:r>
                  <w:r>
                    <w:rPr>
                      <w:rFonts w:ascii="Calibri" w:hAnsi="Calibri" w:eastAsia="宋体" w:cs="Times New Roman"/>
                      <w:color w:val="auto"/>
                    </w:rPr>
                    <w:t>个，</w:t>
                  </w:r>
                  <w:r>
                    <w:rPr>
                      <w:rFonts w:hint="eastAsia" w:ascii="Calibri" w:hAnsi="Calibri" w:eastAsia="宋体" w:cs="Times New Roman"/>
                      <w:color w:val="auto"/>
                    </w:rPr>
                    <w:t>10</w:t>
                  </w:r>
                  <w:r>
                    <w:rPr>
                      <w:rFonts w:ascii="Calibri" w:hAnsi="Calibri" w:eastAsia="宋体" w:cs="Times New Roman"/>
                      <w:color w:val="auto"/>
                    </w:rPr>
                    <w:t>m</w:t>
                  </w:r>
                  <w:r>
                    <w:rPr>
                      <w:rFonts w:ascii="Calibri" w:hAnsi="Calibri" w:eastAsia="宋体" w:cs="Times New Roman"/>
                      <w:color w:val="auto"/>
                      <w:vertAlign w:val="superscript"/>
                    </w:rPr>
                    <w:t>3</w:t>
                  </w:r>
                  <w:r>
                    <w:rPr>
                      <w:rFonts w:hint="eastAsia" w:ascii="Calibri" w:hAnsi="Calibri" w:eastAsia="宋体" w:cs="Times New Roman"/>
                      <w:color w:val="auto"/>
                    </w:rPr>
                    <w:t>）、初期雨水沉淀池（1个，5</w:t>
                  </w:r>
                  <w:r>
                    <w:rPr>
                      <w:rFonts w:ascii="Calibri" w:hAnsi="Calibri" w:eastAsia="宋体" w:cs="Times New Roman"/>
                      <w:color w:val="auto"/>
                    </w:rPr>
                    <w:t>m</w:t>
                  </w:r>
                  <w:r>
                    <w:rPr>
                      <w:rFonts w:ascii="Calibri" w:hAnsi="Calibri" w:eastAsia="宋体" w:cs="Times New Roman"/>
                      <w:color w:val="auto"/>
                      <w:vertAlign w:val="superscript"/>
                    </w:rPr>
                    <w:t>3</w:t>
                  </w:r>
                  <w:r>
                    <w:rPr>
                      <w:rFonts w:hint="eastAsia" w:ascii="Calibri" w:hAnsi="Calibri" w:eastAsia="宋体" w:cs="Times New Roman"/>
                      <w:color w:val="auto"/>
                    </w:rPr>
                    <w:t>）</w:t>
                  </w:r>
                </w:p>
              </w:tc>
            </w:tr>
            <w:tr w14:paraId="1C771D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45" w:type="pct"/>
                  <w:vMerge w:val="continue"/>
                  <w:noWrap w:val="0"/>
                  <w:vAlign w:val="center"/>
                </w:tcPr>
                <w:p w14:paraId="724F9EE5">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831" w:type="pct"/>
                  <w:noWrap w:val="0"/>
                  <w:vAlign w:val="center"/>
                </w:tcPr>
                <w:p w14:paraId="46402011">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废气治理</w:t>
                  </w:r>
                </w:p>
              </w:tc>
              <w:tc>
                <w:tcPr>
                  <w:tcW w:w="3723" w:type="pct"/>
                  <w:gridSpan w:val="2"/>
                  <w:noWrap w:val="0"/>
                  <w:vAlign w:val="center"/>
                </w:tcPr>
                <w:p w14:paraId="1BE70290">
                  <w:pPr>
                    <w:keepNext w:val="0"/>
                    <w:keepLines w:val="0"/>
                    <w:suppressLineNumbers w:val="0"/>
                    <w:tabs>
                      <w:tab w:val="left" w:pos="3255"/>
                    </w:tabs>
                    <w:spacing w:before="0" w:beforeAutospacing="0" w:after="0" w:afterAutospacing="0"/>
                    <w:ind w:left="0" w:right="0"/>
                    <w:jc w:val="left"/>
                    <w:rPr>
                      <w:rFonts w:ascii="Calibri" w:hAnsi="Calibri" w:eastAsia="宋体" w:cs="Times New Roman"/>
                      <w:color w:val="auto"/>
                    </w:rPr>
                  </w:pPr>
                  <w:r>
                    <w:rPr>
                      <w:rFonts w:hint="eastAsia" w:ascii="Calibri" w:hAnsi="Calibri" w:eastAsia="宋体" w:cs="Times New Roman"/>
                      <w:color w:val="auto"/>
                    </w:rPr>
                    <w:t>发酵间恶臭：项目发酵间为封闭式（即四面围挡，上设顶棚，仅留进出口，进出口设置卷门），</w:t>
                  </w:r>
                  <w:r>
                    <w:rPr>
                      <w:rFonts w:hint="eastAsia" w:ascii="Times New Roman" w:hAnsi="Times New Roman" w:eastAsia="宋体" w:cs="Times New Roman"/>
                      <w:color w:val="auto"/>
                      <w:szCs w:val="21"/>
                      <w:lang w:bidi="ar"/>
                    </w:rPr>
                    <w:t>发酵工序产生的恶臭经微负压收集后，经生物除臭塔处理后，经15m高排气筒DA001排放；未能收集的废气在车间外围喷洒除臭剂</w:t>
                  </w:r>
                  <w:r>
                    <w:rPr>
                      <w:rFonts w:hint="eastAsia" w:ascii="Calibri" w:hAnsi="Calibri" w:eastAsia="宋体" w:cs="Times New Roman"/>
                      <w:color w:val="auto"/>
                    </w:rPr>
                    <w:t>。</w:t>
                  </w:r>
                </w:p>
              </w:tc>
            </w:tr>
            <w:tr w14:paraId="03CC59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45" w:type="pct"/>
                  <w:vMerge w:val="continue"/>
                  <w:noWrap w:val="0"/>
                  <w:vAlign w:val="center"/>
                </w:tcPr>
                <w:p w14:paraId="21C4008C">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831" w:type="pct"/>
                  <w:noWrap w:val="0"/>
                  <w:vAlign w:val="center"/>
                </w:tcPr>
                <w:p w14:paraId="2F714CEA">
                  <w:pPr>
                    <w:keepNext w:val="0"/>
                    <w:keepLines w:val="0"/>
                    <w:suppressLineNumbers w:val="0"/>
                    <w:tabs>
                      <w:tab w:val="left" w:pos="3255"/>
                    </w:tabs>
                    <w:spacing w:before="0" w:beforeAutospacing="0" w:after="0" w:afterAutospacing="0"/>
                    <w:ind w:left="0" w:right="0"/>
                    <w:jc w:val="center"/>
                    <w:rPr>
                      <w:rFonts w:hint="eastAsia" w:ascii="Calibri" w:hAnsi="Calibri" w:eastAsia="宋体" w:cs="Times New Roman"/>
                      <w:color w:val="auto"/>
                    </w:rPr>
                  </w:pPr>
                  <w:r>
                    <w:rPr>
                      <w:rFonts w:ascii="Calibri" w:hAnsi="Calibri" w:eastAsia="宋体" w:cs="Times New Roman"/>
                      <w:color w:val="auto"/>
                    </w:rPr>
                    <w:t>噪声</w:t>
                  </w:r>
                  <w:r>
                    <w:rPr>
                      <w:rFonts w:hint="eastAsia" w:ascii="Calibri" w:hAnsi="Calibri" w:eastAsia="宋体" w:cs="Times New Roman"/>
                      <w:color w:val="auto"/>
                    </w:rPr>
                    <w:t>治理</w:t>
                  </w:r>
                </w:p>
              </w:tc>
              <w:tc>
                <w:tcPr>
                  <w:tcW w:w="3723" w:type="pct"/>
                  <w:gridSpan w:val="2"/>
                  <w:noWrap w:val="0"/>
                  <w:vAlign w:val="center"/>
                </w:tcPr>
                <w:p w14:paraId="32B91B74">
                  <w:pPr>
                    <w:keepNext w:val="0"/>
                    <w:keepLines w:val="0"/>
                    <w:suppressLineNumbers w:val="0"/>
                    <w:tabs>
                      <w:tab w:val="left" w:pos="3255"/>
                    </w:tabs>
                    <w:spacing w:before="0" w:beforeAutospacing="0" w:after="0" w:afterAutospacing="0"/>
                    <w:ind w:left="0" w:right="0"/>
                    <w:jc w:val="left"/>
                    <w:rPr>
                      <w:rFonts w:ascii="Calibri" w:hAnsi="Calibri" w:eastAsia="宋体" w:cs="Times New Roman"/>
                      <w:color w:val="auto"/>
                    </w:rPr>
                  </w:pPr>
                  <w:r>
                    <w:rPr>
                      <w:rFonts w:ascii="Calibri" w:hAnsi="Calibri" w:eastAsia="宋体" w:cs="Times New Roman"/>
                      <w:color w:val="auto"/>
                    </w:rPr>
                    <w:t>优选设备、优化布局，降噪减震措施</w:t>
                  </w:r>
                </w:p>
              </w:tc>
            </w:tr>
            <w:tr w14:paraId="27DD18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45" w:type="pct"/>
                  <w:vMerge w:val="continue"/>
                  <w:noWrap w:val="0"/>
                  <w:vAlign w:val="center"/>
                </w:tcPr>
                <w:p w14:paraId="1373DC78">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831" w:type="pct"/>
                  <w:noWrap w:val="0"/>
                  <w:vAlign w:val="center"/>
                </w:tcPr>
                <w:p w14:paraId="33BC3C2A">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固废处置</w:t>
                  </w:r>
                </w:p>
              </w:tc>
              <w:tc>
                <w:tcPr>
                  <w:tcW w:w="3723" w:type="pct"/>
                  <w:gridSpan w:val="2"/>
                  <w:noWrap w:val="0"/>
                  <w:vAlign w:val="center"/>
                </w:tcPr>
                <w:p w14:paraId="636348F3">
                  <w:pPr>
                    <w:keepNext w:val="0"/>
                    <w:keepLines w:val="0"/>
                    <w:suppressLineNumbers w:val="0"/>
                    <w:tabs>
                      <w:tab w:val="left" w:pos="3255"/>
                    </w:tabs>
                    <w:spacing w:before="0" w:beforeAutospacing="0" w:after="0" w:afterAutospacing="0"/>
                    <w:ind w:left="0" w:right="0"/>
                    <w:jc w:val="left"/>
                    <w:rPr>
                      <w:rFonts w:ascii="Calibri" w:hAnsi="Calibri" w:eastAsia="宋体" w:cs="Times New Roman"/>
                      <w:color w:val="auto"/>
                    </w:rPr>
                  </w:pPr>
                  <w:r>
                    <w:rPr>
                      <w:rFonts w:ascii="Calibri" w:hAnsi="Calibri" w:eastAsia="宋体" w:cs="Times New Roman"/>
                      <w:color w:val="auto"/>
                    </w:rPr>
                    <w:t>垃圾收集装置</w:t>
                  </w:r>
                  <w:r>
                    <w:rPr>
                      <w:rFonts w:hint="eastAsia" w:ascii="Calibri" w:hAnsi="Calibri" w:eastAsia="宋体" w:cs="Times New Roman"/>
                      <w:color w:val="auto"/>
                    </w:rPr>
                    <w:t>、危废贮存点（1个，5m</w:t>
                  </w:r>
                  <w:r>
                    <w:rPr>
                      <w:rFonts w:hint="eastAsia" w:ascii="Calibri" w:hAnsi="Calibri" w:eastAsia="宋体" w:cs="Times New Roman"/>
                      <w:color w:val="auto"/>
                      <w:vertAlign w:val="superscript"/>
                    </w:rPr>
                    <w:t>2</w:t>
                  </w:r>
                  <w:r>
                    <w:rPr>
                      <w:rFonts w:hint="eastAsia" w:ascii="Calibri" w:hAnsi="Calibri" w:eastAsia="宋体" w:cs="Times New Roman"/>
                      <w:color w:val="auto"/>
                    </w:rPr>
                    <w:t>）、一般固废暂存间（1个，20m</w:t>
                  </w:r>
                  <w:r>
                    <w:rPr>
                      <w:rFonts w:hint="eastAsia" w:ascii="Calibri" w:hAnsi="Calibri" w:eastAsia="宋体" w:cs="Times New Roman"/>
                      <w:color w:val="auto"/>
                      <w:vertAlign w:val="superscript"/>
                    </w:rPr>
                    <w:t>2</w:t>
                  </w:r>
                  <w:r>
                    <w:rPr>
                      <w:rFonts w:hint="eastAsia" w:ascii="Calibri" w:hAnsi="Calibri" w:eastAsia="宋体" w:cs="Times New Roman"/>
                      <w:color w:val="auto"/>
                    </w:rPr>
                    <w:t>）</w:t>
                  </w:r>
                </w:p>
              </w:tc>
            </w:tr>
            <w:tr w14:paraId="6D8838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45" w:type="pct"/>
                  <w:vMerge w:val="continue"/>
                  <w:noWrap w:val="0"/>
                  <w:vAlign w:val="center"/>
                </w:tcPr>
                <w:p w14:paraId="30EDBB1B">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831" w:type="pct"/>
                  <w:noWrap w:val="0"/>
                  <w:vAlign w:val="center"/>
                </w:tcPr>
                <w:p w14:paraId="12051516">
                  <w:pPr>
                    <w:keepNext w:val="0"/>
                    <w:keepLines w:val="0"/>
                    <w:suppressLineNumbers w:val="0"/>
                    <w:tabs>
                      <w:tab w:val="left" w:pos="3255"/>
                    </w:tabs>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地下水防渗措施</w:t>
                  </w:r>
                </w:p>
              </w:tc>
              <w:tc>
                <w:tcPr>
                  <w:tcW w:w="3723" w:type="pct"/>
                  <w:gridSpan w:val="2"/>
                  <w:noWrap w:val="0"/>
                  <w:vAlign w:val="center"/>
                </w:tcPr>
                <w:p w14:paraId="746B004B">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rPr>
                  </w:pPr>
                  <w:r>
                    <w:rPr>
                      <w:rFonts w:hint="eastAsia" w:ascii="Calibri" w:hAnsi="Calibri" w:eastAsia="宋体" w:cs="Times New Roman"/>
                      <w:color w:val="auto"/>
                    </w:rPr>
                    <w:t>生活办公区、厂区地面做简单防渗，采用水泥硬化；原料库、产品堆场、发酵间地面采用一般防渗，防渗性能等效黏土防渗层Mb≥1.5m，K≤1×10</w:t>
                  </w:r>
                  <w:r>
                    <w:rPr>
                      <w:rFonts w:hint="eastAsia" w:ascii="Calibri" w:hAnsi="Calibri" w:eastAsia="宋体" w:cs="Times New Roman"/>
                      <w:color w:val="auto"/>
                      <w:vertAlign w:val="superscript"/>
                    </w:rPr>
                    <w:t>-7</w:t>
                  </w:r>
                  <w:r>
                    <w:rPr>
                      <w:rFonts w:hint="eastAsia" w:ascii="Calibri" w:hAnsi="Calibri" w:eastAsia="宋体" w:cs="Times New Roman"/>
                      <w:color w:val="auto"/>
                    </w:rPr>
                    <w:t>cm/s；危废贮存点做重点防渗，参照《危险废物贮存污染控制标准》(GB18597-2023)设计，采用防渗水泥硬化，内表面涂覆防渗涂料，防渗性能等效黏土防渗层Mb≥6.0m，K≤1×10</w:t>
                  </w:r>
                  <w:r>
                    <w:rPr>
                      <w:rFonts w:hint="eastAsia" w:ascii="Calibri" w:hAnsi="Calibri" w:eastAsia="宋体" w:cs="Times New Roman"/>
                      <w:color w:val="auto"/>
                      <w:vertAlign w:val="superscript"/>
                    </w:rPr>
                    <w:t>-7</w:t>
                  </w:r>
                  <w:r>
                    <w:rPr>
                      <w:rFonts w:hint="eastAsia" w:ascii="Calibri" w:hAnsi="Calibri" w:eastAsia="宋体" w:cs="Times New Roman"/>
                      <w:color w:val="auto"/>
                    </w:rPr>
                    <w:t>cm/s。</w:t>
                  </w:r>
                </w:p>
              </w:tc>
            </w:tr>
          </w:tbl>
          <w:p w14:paraId="70907CFD">
            <w:pPr>
              <w:keepNext w:val="0"/>
              <w:keepLines w:val="0"/>
              <w:suppressLineNumbers w:val="0"/>
              <w:adjustRightInd w:val="0"/>
              <w:spacing w:before="120" w:beforeLines="50" w:beforeAutospacing="0" w:after="0" w:afterAutospacing="0" w:line="360" w:lineRule="auto"/>
              <w:ind w:left="0" w:right="0" w:firstLine="482" w:firstLineChars="200"/>
              <w:contextualSpacing/>
              <w:rPr>
                <w:rFonts w:hint="eastAsia" w:ascii="Calibri" w:hAnsi="Calibri" w:eastAsia="宋体" w:cs="Times New Roman"/>
                <w:b/>
                <w:bCs/>
                <w:color w:val="auto"/>
                <w:sz w:val="24"/>
              </w:rPr>
            </w:pPr>
            <w:r>
              <w:rPr>
                <w:rFonts w:hint="eastAsia" w:ascii="Calibri" w:hAnsi="Calibri" w:eastAsia="宋体" w:cs="Times New Roman"/>
                <w:b/>
                <w:bCs/>
                <w:color w:val="auto"/>
                <w:sz w:val="24"/>
              </w:rPr>
              <w:t>4</w:t>
            </w:r>
            <w:r>
              <w:rPr>
                <w:rFonts w:ascii="Calibri" w:hAnsi="Calibri" w:eastAsia="宋体" w:cs="Times New Roman"/>
                <w:b/>
                <w:bCs/>
                <w:color w:val="auto"/>
                <w:sz w:val="24"/>
              </w:rPr>
              <w:t>、</w:t>
            </w:r>
            <w:r>
              <w:rPr>
                <w:rFonts w:hint="eastAsia" w:ascii="Calibri" w:hAnsi="Calibri" w:eastAsia="宋体" w:cs="Times New Roman"/>
                <w:b/>
                <w:bCs/>
                <w:color w:val="auto"/>
                <w:sz w:val="24"/>
              </w:rPr>
              <w:t>产品方案</w:t>
            </w:r>
          </w:p>
          <w:p w14:paraId="3D6DDB3B">
            <w:pPr>
              <w:keepNext w:val="0"/>
              <w:keepLines w:val="0"/>
              <w:suppressLineNumbers w:val="0"/>
              <w:adjustRightInd w:val="0"/>
              <w:spacing w:before="120" w:beforeLines="50" w:beforeAutospacing="0" w:after="0" w:afterAutospacing="0" w:line="360" w:lineRule="auto"/>
              <w:ind w:left="0" w:right="0" w:firstLine="480" w:firstLineChars="200"/>
              <w:contextualSpacing/>
              <w:rPr>
                <w:rFonts w:hint="eastAsia" w:ascii="Calibri" w:hAnsi="Calibri" w:eastAsia="宋体" w:cs="Times New Roman"/>
                <w:b/>
                <w:bCs/>
                <w:color w:val="auto"/>
                <w:sz w:val="24"/>
              </w:rPr>
            </w:pPr>
            <w:r>
              <w:rPr>
                <w:rFonts w:hint="eastAsia" w:ascii="Calibri" w:hAnsi="Calibri" w:eastAsia="宋体" w:cs="Times New Roman"/>
                <w:color w:val="auto"/>
                <w:sz w:val="24"/>
              </w:rPr>
              <w:t>项目设废弃资源分拣线1条，综合利用生产线1条，规模为年加工3万吨废金属材料，可年产约废塑料0.5万吨，废金属碎屑0.2万吨，生物肥料约2.2万吨。产品方案，详见表2-2。</w:t>
            </w:r>
          </w:p>
          <w:p w14:paraId="6CC3E2A3">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
                <w:bCs/>
                <w:color w:val="auto"/>
              </w:rPr>
            </w:pPr>
            <w:r>
              <w:rPr>
                <w:rFonts w:hint="eastAsia" w:ascii="Calibri" w:hAnsi="Calibri" w:eastAsia="宋体" w:cs="Times New Roman"/>
                <w:b/>
                <w:bCs/>
                <w:color w:val="auto"/>
              </w:rPr>
              <w:t>表2-2  项目产品方案</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6"/>
              <w:gridCol w:w="2296"/>
              <w:gridCol w:w="3406"/>
            </w:tblGrid>
            <w:tr w14:paraId="6910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763" w:type="pct"/>
                  <w:noWrap w:val="0"/>
                  <w:vAlign w:val="center"/>
                </w:tcPr>
                <w:p w14:paraId="23103A08">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b/>
                      <w:bCs/>
                      <w:color w:val="auto"/>
                      <w:sz w:val="21"/>
                      <w:szCs w:val="21"/>
                    </w:rPr>
                  </w:pPr>
                  <w:r>
                    <w:rPr>
                      <w:rFonts w:hint="eastAsia" w:ascii="Calibri" w:hAnsi="Calibri" w:eastAsia="宋体" w:cs="Times New Roman"/>
                      <w:b/>
                      <w:bCs/>
                      <w:color w:val="auto"/>
                      <w:sz w:val="21"/>
                      <w:szCs w:val="21"/>
                    </w:rPr>
                    <w:t>产品</w:t>
                  </w:r>
                </w:p>
              </w:tc>
              <w:tc>
                <w:tcPr>
                  <w:tcW w:w="1303" w:type="pct"/>
                  <w:noWrap w:val="0"/>
                  <w:vAlign w:val="center"/>
                </w:tcPr>
                <w:p w14:paraId="5D96F886">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
                      <w:bCs/>
                      <w:color w:val="auto"/>
                      <w:sz w:val="21"/>
                      <w:szCs w:val="21"/>
                    </w:rPr>
                  </w:pPr>
                  <w:r>
                    <w:rPr>
                      <w:rFonts w:hint="eastAsia" w:ascii="Calibri" w:hAnsi="Calibri" w:eastAsia="宋体" w:cs="Times New Roman"/>
                      <w:b/>
                      <w:bCs/>
                      <w:color w:val="auto"/>
                      <w:sz w:val="21"/>
                      <w:szCs w:val="21"/>
                    </w:rPr>
                    <w:t>年产量</w:t>
                  </w:r>
                </w:p>
              </w:tc>
              <w:tc>
                <w:tcPr>
                  <w:tcW w:w="1933" w:type="pct"/>
                  <w:noWrap w:val="0"/>
                  <w:vAlign w:val="top"/>
                </w:tcPr>
                <w:p w14:paraId="4B24315A">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szCs w:val="21"/>
                    </w:rPr>
                  </w:pPr>
                  <w:r>
                    <w:rPr>
                      <w:rFonts w:hint="eastAsia" w:ascii="Calibri" w:hAnsi="Calibri" w:eastAsia="宋体" w:cs="Times New Roman"/>
                      <w:b/>
                      <w:bCs/>
                      <w:color w:val="auto"/>
                      <w:szCs w:val="21"/>
                    </w:rPr>
                    <w:t>备注</w:t>
                  </w:r>
                </w:p>
              </w:tc>
            </w:tr>
            <w:tr w14:paraId="6D93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63" w:type="pct"/>
                  <w:noWrap w:val="0"/>
                  <w:vAlign w:val="center"/>
                </w:tcPr>
                <w:p w14:paraId="23B68DA8">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废塑料</w:t>
                  </w:r>
                </w:p>
              </w:tc>
              <w:tc>
                <w:tcPr>
                  <w:tcW w:w="1303" w:type="pct"/>
                  <w:noWrap w:val="0"/>
                  <w:vAlign w:val="center"/>
                </w:tcPr>
                <w:p w14:paraId="09EFB156">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0.5万吨</w:t>
                  </w:r>
                </w:p>
              </w:tc>
              <w:tc>
                <w:tcPr>
                  <w:tcW w:w="1933" w:type="pct"/>
                  <w:noWrap w:val="0"/>
                  <w:vAlign w:val="center"/>
                </w:tcPr>
                <w:p w14:paraId="4BFD708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占总废弃资源的16.7%，不在厂区内清洗，不进行破碎，袋装外售</w:t>
                  </w:r>
                </w:p>
              </w:tc>
            </w:tr>
            <w:tr w14:paraId="021B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63" w:type="pct"/>
                  <w:noWrap w:val="0"/>
                  <w:vAlign w:val="center"/>
                </w:tcPr>
                <w:p w14:paraId="36BFF945">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废金属碎屑</w:t>
                  </w:r>
                </w:p>
              </w:tc>
              <w:tc>
                <w:tcPr>
                  <w:tcW w:w="1303" w:type="pct"/>
                  <w:noWrap w:val="0"/>
                  <w:vAlign w:val="center"/>
                </w:tcPr>
                <w:p w14:paraId="493BE244">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0.2万吨</w:t>
                  </w:r>
                </w:p>
              </w:tc>
              <w:tc>
                <w:tcPr>
                  <w:tcW w:w="1933" w:type="pct"/>
                  <w:noWrap w:val="0"/>
                  <w:vAlign w:val="center"/>
                </w:tcPr>
                <w:p w14:paraId="4B619AD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占总废弃资源的6.7%，不在厂区内清洗，不进行破碎，袋装外售</w:t>
                  </w:r>
                </w:p>
              </w:tc>
            </w:tr>
            <w:tr w14:paraId="5022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63" w:type="pct"/>
                  <w:noWrap w:val="0"/>
                  <w:vAlign w:val="center"/>
                </w:tcPr>
                <w:p w14:paraId="5A432DEE">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生物肥料</w:t>
                  </w:r>
                </w:p>
              </w:tc>
              <w:tc>
                <w:tcPr>
                  <w:tcW w:w="1303" w:type="pct"/>
                  <w:noWrap w:val="0"/>
                  <w:vAlign w:val="center"/>
                </w:tcPr>
                <w:p w14:paraId="7E60543F">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2.2万吨</w:t>
                  </w:r>
                </w:p>
              </w:tc>
              <w:tc>
                <w:tcPr>
                  <w:tcW w:w="1933" w:type="pct"/>
                  <w:noWrap w:val="0"/>
                  <w:vAlign w:val="center"/>
                </w:tcPr>
                <w:p w14:paraId="3D2E9C96">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占总废弃资源的66.7%，袋装外售</w:t>
                  </w:r>
                </w:p>
              </w:tc>
            </w:tr>
          </w:tbl>
          <w:p w14:paraId="6D905060">
            <w:pPr>
              <w:keepNext w:val="0"/>
              <w:keepLines w:val="0"/>
              <w:suppressLineNumbers w:val="0"/>
              <w:adjustRightInd w:val="0"/>
              <w:spacing w:before="120" w:beforeLines="50" w:beforeAutospacing="0" w:after="0" w:afterAutospacing="0" w:line="360" w:lineRule="auto"/>
              <w:ind w:left="0" w:right="0" w:firstLine="480" w:firstLineChars="200"/>
              <w:contextualSpacing/>
              <w:rPr>
                <w:rFonts w:hint="eastAsia" w:ascii="Calibri" w:hAnsi="Calibri" w:eastAsia="宋体" w:cs="Times New Roman"/>
                <w:color w:val="auto"/>
                <w:sz w:val="24"/>
              </w:rPr>
            </w:pPr>
            <w:r>
              <w:rPr>
                <w:rFonts w:hint="eastAsia" w:ascii="Calibri" w:hAnsi="Calibri" w:eastAsia="宋体" w:cs="Times New Roman"/>
                <w:color w:val="auto"/>
                <w:sz w:val="24"/>
              </w:rPr>
              <w:t>项目生物肥料主要从粮油企业外购废弃物（主要是废豆粕、生活垃圾等），将生活垃圾进行分拣塑料、废金属碎屑等后，将剩下餐厨垃圾（剩饭菜、果皮、菜叶等厨余）和原料废豆粕用于高温好氧发酵得到，其产品要求满足《有机肥料》（NY/T 525-2021），技术指标见表2-3。</w:t>
            </w:r>
          </w:p>
          <w:p w14:paraId="07FED7DD">
            <w:pPr>
              <w:keepNext w:val="0"/>
              <w:keepLines w:val="0"/>
              <w:suppressLineNumbers w:val="0"/>
              <w:adjustRightInd w:val="0"/>
              <w:spacing w:before="120" w:beforeLines="50" w:beforeAutospacing="0" w:after="0" w:afterAutospacing="0"/>
              <w:ind w:left="0" w:right="0"/>
              <w:contextualSpacing/>
              <w:jc w:val="center"/>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表2-3 生物肥料技术指标一览表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7"/>
              <w:gridCol w:w="4405"/>
            </w:tblGrid>
            <w:tr w14:paraId="6971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noWrap w:val="0"/>
                  <w:vAlign w:val="top"/>
                </w:tcPr>
                <w:p w14:paraId="781CA2FA">
                  <w:pPr>
                    <w:keepNext w:val="0"/>
                    <w:keepLines w:val="0"/>
                    <w:suppressLineNumbers w:val="0"/>
                    <w:spacing w:before="0" w:beforeAutospacing="0" w:after="0" w:afterAutospacing="0"/>
                    <w:ind w:left="0" w:right="0"/>
                    <w:jc w:val="center"/>
                    <w:rPr>
                      <w:rFonts w:ascii="Calibri" w:hAnsi="Calibri" w:eastAsia="宋体" w:cs="Times New Roman"/>
                      <w:b/>
                      <w:bCs/>
                      <w:color w:val="auto"/>
                      <w:szCs w:val="21"/>
                    </w:rPr>
                  </w:pPr>
                  <w:r>
                    <w:rPr>
                      <w:rFonts w:hint="eastAsia" w:ascii="Calibri" w:hAnsi="Calibri" w:eastAsia="宋体" w:cs="Times New Roman"/>
                      <w:b/>
                      <w:bCs/>
                      <w:color w:val="auto"/>
                      <w:szCs w:val="21"/>
                    </w:rPr>
                    <w:t>指标项</w:t>
                  </w:r>
                </w:p>
              </w:tc>
              <w:tc>
                <w:tcPr>
                  <w:tcW w:w="4411" w:type="dxa"/>
                  <w:shd w:val="clear" w:color="auto" w:fill="auto"/>
                  <w:noWrap w:val="0"/>
                  <w:vAlign w:val="top"/>
                </w:tcPr>
                <w:p w14:paraId="5FBB7F43">
                  <w:pPr>
                    <w:keepNext w:val="0"/>
                    <w:keepLines w:val="0"/>
                    <w:suppressLineNumbers w:val="0"/>
                    <w:spacing w:before="0" w:beforeAutospacing="0" w:after="0" w:afterAutospacing="0"/>
                    <w:ind w:left="0" w:right="0"/>
                    <w:jc w:val="center"/>
                    <w:rPr>
                      <w:rFonts w:ascii="Calibri" w:hAnsi="Calibri" w:eastAsia="宋体" w:cs="Times New Roman"/>
                      <w:b/>
                      <w:bCs/>
                      <w:color w:val="auto"/>
                      <w:szCs w:val="21"/>
                    </w:rPr>
                  </w:pPr>
                  <w:r>
                    <w:rPr>
                      <w:rFonts w:hint="eastAsia" w:ascii="Calibri" w:hAnsi="Calibri" w:eastAsia="宋体" w:cs="Times New Roman"/>
                      <w:b/>
                      <w:bCs/>
                      <w:color w:val="auto"/>
                      <w:szCs w:val="21"/>
                    </w:rPr>
                    <w:t>限值（干基/实测）</w:t>
                  </w:r>
                </w:p>
              </w:tc>
            </w:tr>
            <w:tr w14:paraId="2910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noWrap w:val="0"/>
                  <w:vAlign w:val="top"/>
                </w:tcPr>
                <w:p w14:paraId="5A1CB61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有机质含量</w:t>
                  </w:r>
                </w:p>
              </w:tc>
              <w:tc>
                <w:tcPr>
                  <w:tcW w:w="4411" w:type="dxa"/>
                  <w:shd w:val="clear" w:color="auto" w:fill="auto"/>
                  <w:noWrap w:val="0"/>
                  <w:vAlign w:val="top"/>
                </w:tcPr>
                <w:p w14:paraId="5518C3E4">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≥30.0%（干基）</w:t>
                  </w:r>
                </w:p>
              </w:tc>
            </w:tr>
            <w:tr w14:paraId="0D7D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noWrap w:val="0"/>
                  <w:vAlign w:val="top"/>
                </w:tcPr>
                <w:p w14:paraId="5B38E82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总养分</w:t>
                  </w:r>
                  <w:r>
                    <w:rPr>
                      <w:rFonts w:ascii="Times New Roman" w:hAnsi="Times New Roman" w:eastAsia="宋体" w:cs="Times New Roman"/>
                      <w:color w:val="auto"/>
                      <w:szCs w:val="21"/>
                    </w:rPr>
                    <w:t>（N+P₂O₅+K₂O）</w:t>
                  </w:r>
                </w:p>
              </w:tc>
              <w:tc>
                <w:tcPr>
                  <w:tcW w:w="4411" w:type="dxa"/>
                  <w:shd w:val="clear" w:color="auto" w:fill="auto"/>
                  <w:noWrap w:val="0"/>
                  <w:vAlign w:val="top"/>
                </w:tcPr>
                <w:p w14:paraId="38EBE4D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≥4.0%（干基）</w:t>
                  </w:r>
                </w:p>
              </w:tc>
            </w:tr>
            <w:tr w14:paraId="7494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noWrap w:val="0"/>
                  <w:vAlign w:val="top"/>
                </w:tcPr>
                <w:p w14:paraId="2468058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水分（游离水）</w:t>
                  </w:r>
                </w:p>
              </w:tc>
              <w:tc>
                <w:tcPr>
                  <w:tcW w:w="4411" w:type="dxa"/>
                  <w:shd w:val="clear" w:color="auto" w:fill="auto"/>
                  <w:noWrap w:val="0"/>
                  <w:vAlign w:val="top"/>
                </w:tcPr>
                <w:p w14:paraId="4CF67B6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≤30.0%</w:t>
                  </w:r>
                </w:p>
              </w:tc>
            </w:tr>
            <w:tr w14:paraId="2935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noWrap w:val="0"/>
                  <w:vAlign w:val="top"/>
                </w:tcPr>
                <w:p w14:paraId="75F1DC34">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pH 值</w:t>
                  </w:r>
                </w:p>
              </w:tc>
              <w:tc>
                <w:tcPr>
                  <w:tcW w:w="4411" w:type="dxa"/>
                  <w:shd w:val="clear" w:color="auto" w:fill="auto"/>
                  <w:noWrap w:val="0"/>
                  <w:vAlign w:val="top"/>
                </w:tcPr>
                <w:p w14:paraId="60E978A2">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5.5~8.5</w:t>
                  </w:r>
                </w:p>
              </w:tc>
            </w:tr>
            <w:tr w14:paraId="0167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noWrap w:val="0"/>
                  <w:vAlign w:val="top"/>
                </w:tcPr>
                <w:p w14:paraId="269A298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种子发芽指数</w:t>
                  </w:r>
                </w:p>
              </w:tc>
              <w:tc>
                <w:tcPr>
                  <w:tcW w:w="4411" w:type="dxa"/>
                  <w:shd w:val="clear" w:color="auto" w:fill="auto"/>
                  <w:noWrap w:val="0"/>
                  <w:vAlign w:val="top"/>
                </w:tcPr>
                <w:p w14:paraId="1D66F76E">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≥70%</w:t>
                  </w:r>
                </w:p>
              </w:tc>
            </w:tr>
            <w:tr w14:paraId="449A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noWrap w:val="0"/>
                  <w:vAlign w:val="top"/>
                </w:tcPr>
                <w:p w14:paraId="041300A0">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外观</w:t>
                  </w:r>
                </w:p>
              </w:tc>
              <w:tc>
                <w:tcPr>
                  <w:tcW w:w="4411" w:type="dxa"/>
                  <w:shd w:val="clear" w:color="auto" w:fill="auto"/>
                  <w:noWrap w:val="0"/>
                  <w:vAlign w:val="top"/>
                </w:tcPr>
                <w:p w14:paraId="0AE5D74C">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均匀粉状 / 颗粒状，无恶臭</w:t>
                  </w:r>
                </w:p>
              </w:tc>
            </w:tr>
          </w:tbl>
          <w:p w14:paraId="186EE89C">
            <w:pPr>
              <w:keepNext w:val="0"/>
              <w:keepLines w:val="0"/>
              <w:suppressLineNumbers w:val="0"/>
              <w:adjustRightInd w:val="0"/>
              <w:spacing w:before="120" w:beforeLines="50" w:beforeAutospacing="0" w:after="0" w:afterAutospacing="0" w:line="360" w:lineRule="auto"/>
              <w:ind w:left="0" w:right="0" w:firstLine="482" w:firstLineChars="200"/>
              <w:contextualSpacing/>
              <w:rPr>
                <w:rFonts w:hint="eastAsia" w:ascii="Calibri" w:hAnsi="Calibri" w:eastAsia="宋体" w:cs="Times New Roman"/>
                <w:b/>
                <w:bCs/>
                <w:color w:val="auto"/>
                <w:sz w:val="24"/>
              </w:rPr>
            </w:pPr>
            <w:r>
              <w:rPr>
                <w:rFonts w:hint="eastAsia" w:ascii="Calibri" w:hAnsi="Calibri" w:eastAsia="宋体" w:cs="Times New Roman"/>
                <w:b/>
                <w:bCs/>
                <w:color w:val="auto"/>
                <w:sz w:val="24"/>
              </w:rPr>
              <w:t>5、项目主要原辅材料</w:t>
            </w:r>
          </w:p>
          <w:p w14:paraId="2709E29F">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项目主要原辅材料及用量</w:t>
            </w:r>
            <w:r>
              <w:rPr>
                <w:rFonts w:hint="eastAsia" w:ascii="Calibri" w:hAnsi="Calibri" w:eastAsia="宋体" w:cs="Times New Roman"/>
                <w:color w:val="auto"/>
                <w:sz w:val="24"/>
              </w:rPr>
              <w:t>，</w:t>
            </w:r>
            <w:r>
              <w:rPr>
                <w:rFonts w:ascii="Calibri" w:hAnsi="Calibri" w:eastAsia="宋体" w:cs="Times New Roman"/>
                <w:color w:val="auto"/>
                <w:sz w:val="24"/>
              </w:rPr>
              <w:t>详见表</w:t>
            </w:r>
            <w:r>
              <w:rPr>
                <w:rFonts w:hint="eastAsia" w:ascii="Calibri" w:hAnsi="Calibri" w:eastAsia="宋体" w:cs="Times New Roman"/>
                <w:color w:val="auto"/>
                <w:sz w:val="24"/>
              </w:rPr>
              <w:t>2-3</w:t>
            </w:r>
            <w:r>
              <w:rPr>
                <w:rFonts w:ascii="Calibri" w:hAnsi="Calibri" w:eastAsia="宋体" w:cs="Times New Roman"/>
                <w:color w:val="auto"/>
                <w:sz w:val="24"/>
              </w:rPr>
              <w:t>。</w:t>
            </w:r>
          </w:p>
          <w:p w14:paraId="16DD0310">
            <w:pPr>
              <w:keepNext w:val="0"/>
              <w:keepLines w:val="0"/>
              <w:suppressLineNumbers w:val="0"/>
              <w:adjustRightInd w:val="0"/>
              <w:spacing w:before="120" w:beforeLines="50" w:beforeAutospacing="0" w:after="0" w:afterAutospacing="0"/>
              <w:ind w:left="0" w:right="0"/>
              <w:contextualSpacing/>
              <w:jc w:val="center"/>
              <w:rPr>
                <w:rFonts w:hint="eastAsia" w:ascii="Calibri" w:hAnsi="Calibri" w:eastAsia="宋体" w:cs="Times New Roman"/>
                <w:b/>
                <w:bCs/>
                <w:color w:val="auto"/>
                <w:sz w:val="24"/>
              </w:rPr>
            </w:pPr>
            <w:r>
              <w:rPr>
                <w:rFonts w:hint="eastAsia" w:ascii="Calibri" w:hAnsi="Calibri" w:eastAsia="宋体" w:cs="Times New Roman"/>
                <w:b/>
                <w:bCs/>
                <w:color w:val="auto"/>
                <w:sz w:val="24"/>
              </w:rPr>
              <w:t xml:space="preserve">表2-3  </w:t>
            </w:r>
            <w:r>
              <w:rPr>
                <w:rFonts w:ascii="Calibri" w:hAnsi="Calibri" w:eastAsia="宋体" w:cs="Times New Roman"/>
                <w:b/>
                <w:bCs/>
                <w:color w:val="auto"/>
                <w:sz w:val="24"/>
              </w:rPr>
              <w:t>项目主要原辅材料及用量</w:t>
            </w:r>
            <w:r>
              <w:rPr>
                <w:rFonts w:hint="eastAsia" w:ascii="Calibri" w:hAnsi="Calibri" w:eastAsia="宋体" w:cs="Times New Roman"/>
                <w:b/>
                <w:bCs/>
                <w:color w:val="auto"/>
                <w:sz w:val="24"/>
              </w:rPr>
              <w:t>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552"/>
              <w:gridCol w:w="800"/>
              <w:gridCol w:w="1570"/>
              <w:gridCol w:w="1413"/>
              <w:gridCol w:w="1367"/>
              <w:gridCol w:w="2370"/>
            </w:tblGrid>
            <w:tr w14:paraId="0066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17" w:type="pct"/>
                  <w:noWrap w:val="0"/>
                  <w:vAlign w:val="top"/>
                </w:tcPr>
                <w:p w14:paraId="2478D6E0">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序号</w:t>
                  </w:r>
                </w:p>
              </w:tc>
              <w:tc>
                <w:tcPr>
                  <w:tcW w:w="767" w:type="pct"/>
                  <w:gridSpan w:val="2"/>
                  <w:noWrap w:val="0"/>
                  <w:vAlign w:val="top"/>
                </w:tcPr>
                <w:p w14:paraId="758F5AFA">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名称</w:t>
                  </w:r>
                </w:p>
              </w:tc>
              <w:tc>
                <w:tcPr>
                  <w:tcW w:w="891" w:type="pct"/>
                  <w:noWrap w:val="0"/>
                  <w:vAlign w:val="top"/>
                </w:tcPr>
                <w:p w14:paraId="03AAD879">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年消耗量</w:t>
                  </w:r>
                </w:p>
              </w:tc>
              <w:tc>
                <w:tcPr>
                  <w:tcW w:w="802" w:type="pct"/>
                  <w:noWrap w:val="0"/>
                  <w:vAlign w:val="top"/>
                </w:tcPr>
                <w:p w14:paraId="21E92990">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储存方式</w:t>
                  </w:r>
                </w:p>
              </w:tc>
              <w:tc>
                <w:tcPr>
                  <w:tcW w:w="776" w:type="pct"/>
                  <w:noWrap w:val="0"/>
                  <w:vAlign w:val="top"/>
                </w:tcPr>
                <w:p w14:paraId="431C6155">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最大储存量</w:t>
                  </w:r>
                </w:p>
              </w:tc>
              <w:tc>
                <w:tcPr>
                  <w:tcW w:w="1345" w:type="pct"/>
                  <w:noWrap w:val="0"/>
                  <w:vAlign w:val="top"/>
                </w:tcPr>
                <w:p w14:paraId="7124B32B">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备注</w:t>
                  </w:r>
                </w:p>
              </w:tc>
            </w:tr>
            <w:tr w14:paraId="3833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17" w:type="pct"/>
                  <w:noWrap w:val="0"/>
                  <w:vAlign w:val="center"/>
                </w:tcPr>
                <w:p w14:paraId="4AD6B20E">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1</w:t>
                  </w:r>
                </w:p>
              </w:tc>
              <w:tc>
                <w:tcPr>
                  <w:tcW w:w="313" w:type="pct"/>
                  <w:vMerge w:val="restart"/>
                  <w:noWrap w:val="0"/>
                  <w:vAlign w:val="center"/>
                </w:tcPr>
                <w:p w14:paraId="7FB8FE84">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废弃资源</w:t>
                  </w:r>
                </w:p>
              </w:tc>
              <w:tc>
                <w:tcPr>
                  <w:tcW w:w="454" w:type="pct"/>
                  <w:noWrap w:val="0"/>
                  <w:vAlign w:val="center"/>
                </w:tcPr>
                <w:p w14:paraId="518CF147">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废豆粕</w:t>
                  </w:r>
                </w:p>
              </w:tc>
              <w:tc>
                <w:tcPr>
                  <w:tcW w:w="891" w:type="pct"/>
                  <w:noWrap w:val="0"/>
                  <w:vAlign w:val="center"/>
                </w:tcPr>
                <w:p w14:paraId="25E90678">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15000t</w:t>
                  </w:r>
                </w:p>
              </w:tc>
              <w:tc>
                <w:tcPr>
                  <w:tcW w:w="802" w:type="pct"/>
                  <w:noWrap w:val="0"/>
                  <w:vAlign w:val="center"/>
                </w:tcPr>
                <w:p w14:paraId="04AD5FD1">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袋装</w:t>
                  </w:r>
                </w:p>
              </w:tc>
              <w:tc>
                <w:tcPr>
                  <w:tcW w:w="776" w:type="pct"/>
                  <w:noWrap w:val="0"/>
                  <w:vAlign w:val="center"/>
                </w:tcPr>
                <w:p w14:paraId="27E27A49">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200t</w:t>
                  </w:r>
                </w:p>
              </w:tc>
              <w:tc>
                <w:tcPr>
                  <w:tcW w:w="1345" w:type="pct"/>
                  <w:vMerge w:val="restart"/>
                  <w:noWrap w:val="0"/>
                  <w:vAlign w:val="center"/>
                </w:tcPr>
                <w:p w14:paraId="0F9420FC">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外购粮油企业的废弃物</w:t>
                  </w:r>
                </w:p>
              </w:tc>
            </w:tr>
            <w:tr w14:paraId="2A2C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17" w:type="pct"/>
                  <w:noWrap w:val="0"/>
                  <w:vAlign w:val="center"/>
                </w:tcPr>
                <w:p w14:paraId="1D6A0A22">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2</w:t>
                  </w:r>
                </w:p>
              </w:tc>
              <w:tc>
                <w:tcPr>
                  <w:tcW w:w="313" w:type="pct"/>
                  <w:vMerge w:val="continue"/>
                  <w:noWrap w:val="0"/>
                  <w:vAlign w:val="center"/>
                </w:tcPr>
                <w:p w14:paraId="2A227A50">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p>
              </w:tc>
              <w:tc>
                <w:tcPr>
                  <w:tcW w:w="454" w:type="pct"/>
                  <w:noWrap w:val="0"/>
                  <w:vAlign w:val="center"/>
                </w:tcPr>
                <w:p w14:paraId="134B7A7A">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生活垃圾</w:t>
                  </w:r>
                </w:p>
              </w:tc>
              <w:tc>
                <w:tcPr>
                  <w:tcW w:w="891" w:type="pct"/>
                  <w:noWrap w:val="0"/>
                  <w:vAlign w:val="center"/>
                </w:tcPr>
                <w:p w14:paraId="4883AF1B">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15000t</w:t>
                  </w:r>
                </w:p>
              </w:tc>
              <w:tc>
                <w:tcPr>
                  <w:tcW w:w="802" w:type="pct"/>
                  <w:noWrap w:val="0"/>
                  <w:vAlign w:val="center"/>
                </w:tcPr>
                <w:p w14:paraId="4BBFB8B6">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袋装</w:t>
                  </w:r>
                </w:p>
              </w:tc>
              <w:tc>
                <w:tcPr>
                  <w:tcW w:w="776" w:type="pct"/>
                  <w:noWrap w:val="0"/>
                  <w:vAlign w:val="center"/>
                </w:tcPr>
                <w:p w14:paraId="029A8AAF">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200t</w:t>
                  </w:r>
                </w:p>
              </w:tc>
              <w:tc>
                <w:tcPr>
                  <w:tcW w:w="1345" w:type="pct"/>
                  <w:vMerge w:val="continue"/>
                  <w:noWrap w:val="0"/>
                  <w:vAlign w:val="center"/>
                </w:tcPr>
                <w:p w14:paraId="468F7837">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p>
              </w:tc>
            </w:tr>
            <w:tr w14:paraId="59AD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17" w:type="pct"/>
                  <w:noWrap w:val="0"/>
                  <w:vAlign w:val="center"/>
                </w:tcPr>
                <w:p w14:paraId="5E22E564">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3</w:t>
                  </w:r>
                </w:p>
              </w:tc>
              <w:tc>
                <w:tcPr>
                  <w:tcW w:w="767" w:type="pct"/>
                  <w:gridSpan w:val="2"/>
                  <w:noWrap w:val="0"/>
                  <w:vAlign w:val="center"/>
                </w:tcPr>
                <w:p w14:paraId="05602751">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生物除臭剂</w:t>
                  </w:r>
                </w:p>
              </w:tc>
              <w:tc>
                <w:tcPr>
                  <w:tcW w:w="891" w:type="pct"/>
                  <w:noWrap w:val="0"/>
                  <w:vAlign w:val="center"/>
                </w:tcPr>
                <w:p w14:paraId="21FDBAC1">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2t</w:t>
                  </w:r>
                </w:p>
              </w:tc>
              <w:tc>
                <w:tcPr>
                  <w:tcW w:w="802" w:type="pct"/>
                  <w:noWrap w:val="0"/>
                  <w:vAlign w:val="center"/>
                </w:tcPr>
                <w:p w14:paraId="7F833999">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桶装</w:t>
                  </w:r>
                </w:p>
              </w:tc>
              <w:tc>
                <w:tcPr>
                  <w:tcW w:w="776" w:type="pct"/>
                  <w:noWrap w:val="0"/>
                  <w:vAlign w:val="center"/>
                </w:tcPr>
                <w:p w14:paraId="0FED7F01">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0.2t</w:t>
                  </w:r>
                </w:p>
              </w:tc>
              <w:tc>
                <w:tcPr>
                  <w:tcW w:w="1345" w:type="pct"/>
                  <w:noWrap w:val="0"/>
                  <w:vAlign w:val="center"/>
                </w:tcPr>
                <w:p w14:paraId="2A46E94D">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外购</w:t>
                  </w:r>
                </w:p>
              </w:tc>
            </w:tr>
            <w:tr w14:paraId="20F6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17" w:type="pct"/>
                  <w:noWrap w:val="0"/>
                  <w:vAlign w:val="top"/>
                </w:tcPr>
                <w:p w14:paraId="2B3C38E1">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4</w:t>
                  </w:r>
                </w:p>
              </w:tc>
              <w:tc>
                <w:tcPr>
                  <w:tcW w:w="767" w:type="pct"/>
                  <w:gridSpan w:val="2"/>
                  <w:noWrap w:val="0"/>
                  <w:vAlign w:val="center"/>
                </w:tcPr>
                <w:p w14:paraId="36B7EF11">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包装材料</w:t>
                  </w:r>
                </w:p>
              </w:tc>
              <w:tc>
                <w:tcPr>
                  <w:tcW w:w="891" w:type="pct"/>
                  <w:noWrap w:val="0"/>
                  <w:vAlign w:val="center"/>
                </w:tcPr>
                <w:p w14:paraId="5679A9BD">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1t</w:t>
                  </w:r>
                </w:p>
              </w:tc>
              <w:tc>
                <w:tcPr>
                  <w:tcW w:w="802" w:type="pct"/>
                  <w:noWrap w:val="0"/>
                  <w:vAlign w:val="center"/>
                </w:tcPr>
                <w:p w14:paraId="71270621">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袋装</w:t>
                  </w:r>
                </w:p>
              </w:tc>
              <w:tc>
                <w:tcPr>
                  <w:tcW w:w="776" w:type="pct"/>
                  <w:noWrap w:val="0"/>
                  <w:vAlign w:val="center"/>
                </w:tcPr>
                <w:p w14:paraId="1DDF936C">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0.1t</w:t>
                  </w:r>
                </w:p>
              </w:tc>
              <w:tc>
                <w:tcPr>
                  <w:tcW w:w="1345" w:type="pct"/>
                  <w:noWrap w:val="0"/>
                  <w:vAlign w:val="center"/>
                </w:tcPr>
                <w:p w14:paraId="20F46E3F">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外购</w:t>
                  </w:r>
                </w:p>
              </w:tc>
            </w:tr>
            <w:tr w14:paraId="32BB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17" w:type="pct"/>
                  <w:noWrap w:val="0"/>
                  <w:vAlign w:val="top"/>
                </w:tcPr>
                <w:p w14:paraId="1A4CBD2C">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5</w:t>
                  </w:r>
                </w:p>
              </w:tc>
              <w:tc>
                <w:tcPr>
                  <w:tcW w:w="767" w:type="pct"/>
                  <w:gridSpan w:val="2"/>
                  <w:noWrap w:val="0"/>
                  <w:vAlign w:val="center"/>
                </w:tcPr>
                <w:p w14:paraId="0F51B4A6">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水</w:t>
                  </w:r>
                </w:p>
              </w:tc>
              <w:tc>
                <w:tcPr>
                  <w:tcW w:w="891" w:type="pct"/>
                  <w:noWrap w:val="0"/>
                  <w:vAlign w:val="center"/>
                </w:tcPr>
                <w:p w14:paraId="7C305C88">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480m</w:t>
                  </w:r>
                  <w:r>
                    <w:rPr>
                      <w:rFonts w:hint="eastAsia" w:ascii="Calibri" w:hAnsi="Calibri" w:eastAsia="宋体" w:cs="Times New Roman"/>
                      <w:color w:val="auto"/>
                      <w:sz w:val="21"/>
                      <w:szCs w:val="21"/>
                      <w:vertAlign w:val="superscript"/>
                    </w:rPr>
                    <w:t>3</w:t>
                  </w:r>
                </w:p>
              </w:tc>
              <w:tc>
                <w:tcPr>
                  <w:tcW w:w="2923" w:type="pct"/>
                  <w:gridSpan w:val="3"/>
                  <w:noWrap w:val="0"/>
                  <w:vAlign w:val="center"/>
                </w:tcPr>
                <w:p w14:paraId="156E29BD">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szCs w:val="21"/>
                    </w:rPr>
                  </w:pPr>
                  <w:r>
                    <w:rPr>
                      <w:rFonts w:hint="eastAsia" w:ascii="Calibri" w:hAnsi="Calibri" w:eastAsia="宋体" w:cs="Times New Roman"/>
                      <w:color w:val="auto"/>
                    </w:rPr>
                    <w:t>自打水井提供。</w:t>
                  </w:r>
                </w:p>
              </w:tc>
            </w:tr>
            <w:tr w14:paraId="47F5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top"/>
                </w:tcPr>
                <w:p w14:paraId="62561594">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6</w:t>
                  </w:r>
                </w:p>
              </w:tc>
              <w:tc>
                <w:tcPr>
                  <w:tcW w:w="767" w:type="pct"/>
                  <w:gridSpan w:val="2"/>
                  <w:noWrap w:val="0"/>
                  <w:vAlign w:val="top"/>
                </w:tcPr>
                <w:p w14:paraId="64789E9D">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电</w:t>
                  </w:r>
                </w:p>
              </w:tc>
              <w:tc>
                <w:tcPr>
                  <w:tcW w:w="891" w:type="pct"/>
                  <w:noWrap w:val="0"/>
                  <w:vAlign w:val="top"/>
                </w:tcPr>
                <w:p w14:paraId="58B263D2">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20万kW·h</w:t>
                  </w:r>
                </w:p>
              </w:tc>
              <w:tc>
                <w:tcPr>
                  <w:tcW w:w="2923" w:type="pct"/>
                  <w:gridSpan w:val="3"/>
                  <w:noWrap w:val="0"/>
                  <w:vAlign w:val="center"/>
                </w:tcPr>
                <w:p w14:paraId="294A8181">
                  <w:pPr>
                    <w:keepNext w:val="0"/>
                    <w:keepLines w:val="0"/>
                    <w:suppressLineNumbers w:val="0"/>
                    <w:tabs>
                      <w:tab w:val="left" w:pos="3255"/>
                    </w:tabs>
                    <w:spacing w:before="0" w:beforeAutospacing="0" w:after="0" w:afterAutospacing="0"/>
                    <w:ind w:left="0" w:right="0"/>
                    <w:jc w:val="left"/>
                    <w:rPr>
                      <w:rFonts w:hint="eastAsia" w:ascii="Calibri" w:hAnsi="Calibri" w:eastAsia="宋体" w:cs="Times New Roman"/>
                      <w:color w:val="auto"/>
                      <w:szCs w:val="21"/>
                    </w:rPr>
                  </w:pPr>
                  <w:r>
                    <w:rPr>
                      <w:rFonts w:hint="eastAsia" w:ascii="Calibri" w:hAnsi="Calibri" w:eastAsia="宋体" w:cs="Times New Roman"/>
                      <w:color w:val="auto"/>
                    </w:rPr>
                    <w:t>由防城区江山镇供电系统供给</w:t>
                  </w:r>
                  <w:r>
                    <w:rPr>
                      <w:rFonts w:hint="eastAsia" w:ascii="宋体" w:hAnsi="宋体" w:eastAsia="宋体" w:cs="宋体"/>
                      <w:color w:val="auto"/>
                    </w:rPr>
                    <w:t>。</w:t>
                  </w:r>
                </w:p>
              </w:tc>
            </w:tr>
          </w:tbl>
          <w:p w14:paraId="4115778B">
            <w:pPr>
              <w:pStyle w:val="44"/>
              <w:keepNext w:val="0"/>
              <w:keepLines w:val="0"/>
              <w:suppressLineNumbers w:val="0"/>
              <w:spacing w:before="120" w:beforeLines="50" w:beforeAutospacing="0" w:after="0" w:afterAutospacing="0" w:line="360" w:lineRule="auto"/>
              <w:ind w:left="0" w:right="0" w:firstLine="482"/>
              <w:rPr>
                <w:rFonts w:ascii="Calibri" w:hAnsi="Calibri" w:eastAsia="宋体" w:cs="Times New Roman"/>
                <w:b/>
                <w:bCs/>
                <w:color w:val="auto"/>
              </w:rPr>
            </w:pPr>
            <w:r>
              <w:rPr>
                <w:rFonts w:hint="eastAsia" w:ascii="Calibri" w:hAnsi="Calibri" w:eastAsia="宋体" w:cs="Times New Roman"/>
                <w:b/>
                <w:bCs/>
                <w:color w:val="auto"/>
              </w:rPr>
              <w:t>6、主要生产设备</w:t>
            </w:r>
          </w:p>
          <w:p w14:paraId="44D0C4F6">
            <w:pPr>
              <w:pStyle w:val="24"/>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szCs w:val="24"/>
              </w:rPr>
            </w:pPr>
            <w:r>
              <w:rPr>
                <w:rFonts w:hint="eastAsia" w:ascii="Calibri" w:hAnsi="Calibri" w:eastAsia="宋体" w:cs="Times New Roman"/>
                <w:color w:val="auto"/>
                <w:sz w:val="24"/>
                <w:szCs w:val="24"/>
              </w:rPr>
              <w:t>项目主要生产设备，详见表2-4。</w:t>
            </w:r>
          </w:p>
          <w:p w14:paraId="574D28CB">
            <w:pPr>
              <w:keepNext w:val="0"/>
              <w:keepLines w:val="0"/>
              <w:suppressLineNumbers w:val="0"/>
              <w:adjustRightInd w:val="0"/>
              <w:snapToGrid w:val="0"/>
              <w:spacing w:before="0" w:beforeAutospacing="0" w:after="0" w:afterAutospacing="0" w:line="320" w:lineRule="exact"/>
              <w:ind w:left="0" w:right="0"/>
              <w:jc w:val="center"/>
              <w:rPr>
                <w:rFonts w:hint="eastAsia" w:ascii="Calibri" w:hAnsi="Calibri" w:eastAsia="宋体" w:cs="Times New Roman"/>
                <w:b/>
                <w:bCs/>
                <w:color w:val="auto"/>
                <w:sz w:val="24"/>
              </w:rPr>
            </w:pPr>
            <w:r>
              <w:rPr>
                <w:rFonts w:ascii="Calibri" w:hAnsi="Calibri" w:eastAsia="宋体" w:cs="Times New Roman"/>
                <w:b/>
                <w:bCs/>
                <w:color w:val="auto"/>
                <w:sz w:val="24"/>
              </w:rPr>
              <w:t>表</w:t>
            </w:r>
            <w:r>
              <w:rPr>
                <w:rFonts w:hint="eastAsia" w:ascii="Calibri" w:hAnsi="Calibri" w:eastAsia="宋体" w:cs="Times New Roman"/>
                <w:b/>
                <w:bCs/>
                <w:color w:val="auto"/>
                <w:sz w:val="24"/>
              </w:rPr>
              <w:t>2-4   项目主要生产</w:t>
            </w:r>
            <w:r>
              <w:rPr>
                <w:rFonts w:ascii="Calibri" w:hAnsi="Calibri" w:eastAsia="宋体" w:cs="Times New Roman"/>
                <w:b/>
                <w:bCs/>
                <w:color w:val="auto"/>
                <w:sz w:val="24"/>
              </w:rPr>
              <w:t>设备</w:t>
            </w:r>
            <w:r>
              <w:rPr>
                <w:rFonts w:hint="eastAsia" w:ascii="Calibri" w:hAnsi="Calibri" w:eastAsia="宋体" w:cs="Times New Roman"/>
                <w:b/>
                <w:bCs/>
                <w:color w:val="auto"/>
                <w:sz w:val="24"/>
              </w:rPr>
              <w:t>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560"/>
              <w:gridCol w:w="3720"/>
              <w:gridCol w:w="959"/>
              <w:gridCol w:w="1278"/>
            </w:tblGrid>
            <w:tr w14:paraId="0CDA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732" w:type="pct"/>
                  <w:tcBorders>
                    <w:right w:val="single" w:color="000000" w:sz="2" w:space="0"/>
                  </w:tcBorders>
                  <w:noWrap w:val="0"/>
                  <w:vAlign w:val="center"/>
                </w:tcPr>
                <w:p w14:paraId="3806265C">
                  <w:pPr>
                    <w:keepNext w:val="0"/>
                    <w:keepLines w:val="0"/>
                    <w:suppressLineNumbers w:val="0"/>
                    <w:adjustRightInd w:val="0"/>
                    <w:snapToGrid w:val="0"/>
                    <w:spacing w:before="0" w:beforeAutospacing="0" w:after="0" w:afterAutospacing="0" w:line="320" w:lineRule="exact"/>
                    <w:ind w:left="0" w:right="0"/>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885" w:type="pct"/>
                  <w:tcBorders>
                    <w:left w:val="single" w:color="000000" w:sz="2" w:space="0"/>
                  </w:tcBorders>
                  <w:noWrap w:val="0"/>
                  <w:vAlign w:val="center"/>
                </w:tcPr>
                <w:p w14:paraId="09D53BD2">
                  <w:pPr>
                    <w:keepNext w:val="0"/>
                    <w:keepLines w:val="0"/>
                    <w:suppressLineNumbers w:val="0"/>
                    <w:adjustRightInd w:val="0"/>
                    <w:snapToGrid w:val="0"/>
                    <w:spacing w:before="0" w:beforeAutospacing="0" w:after="0" w:afterAutospacing="0"/>
                    <w:ind w:left="0" w:right="0"/>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设备名称</w:t>
                  </w:r>
                </w:p>
              </w:tc>
              <w:tc>
                <w:tcPr>
                  <w:tcW w:w="2111" w:type="pct"/>
                  <w:noWrap w:val="0"/>
                  <w:vAlign w:val="center"/>
                </w:tcPr>
                <w:p w14:paraId="4EF2D1F4">
                  <w:pPr>
                    <w:keepNext w:val="0"/>
                    <w:keepLines w:val="0"/>
                    <w:suppressLineNumbers w:val="0"/>
                    <w:adjustRightInd w:val="0"/>
                    <w:snapToGrid w:val="0"/>
                    <w:spacing w:before="0" w:beforeAutospacing="0" w:after="0" w:afterAutospacing="0"/>
                    <w:ind w:left="0" w:right="0"/>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位置</w:t>
                  </w:r>
                </w:p>
              </w:tc>
              <w:tc>
                <w:tcPr>
                  <w:tcW w:w="544" w:type="pct"/>
                  <w:tcBorders>
                    <w:right w:val="single" w:color="000000" w:sz="2" w:space="0"/>
                  </w:tcBorders>
                  <w:noWrap w:val="0"/>
                  <w:vAlign w:val="center"/>
                </w:tcPr>
                <w:p w14:paraId="54D2C15B">
                  <w:pPr>
                    <w:keepNext w:val="0"/>
                    <w:keepLines w:val="0"/>
                    <w:suppressLineNumbers w:val="0"/>
                    <w:adjustRightInd w:val="0"/>
                    <w:snapToGrid w:val="0"/>
                    <w:spacing w:before="0" w:beforeAutospacing="0" w:after="0" w:afterAutospacing="0"/>
                    <w:ind w:left="0" w:right="0"/>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单位</w:t>
                  </w:r>
                </w:p>
              </w:tc>
              <w:tc>
                <w:tcPr>
                  <w:tcW w:w="725" w:type="pct"/>
                  <w:tcBorders>
                    <w:left w:val="single" w:color="000000" w:sz="2" w:space="0"/>
                  </w:tcBorders>
                  <w:noWrap w:val="0"/>
                  <w:vAlign w:val="center"/>
                </w:tcPr>
                <w:p w14:paraId="4D612515">
                  <w:pPr>
                    <w:keepNext w:val="0"/>
                    <w:keepLines w:val="0"/>
                    <w:suppressLineNumbers w:val="0"/>
                    <w:adjustRightInd w:val="0"/>
                    <w:snapToGrid w:val="0"/>
                    <w:spacing w:before="0" w:beforeAutospacing="0" w:after="0" w:afterAutospacing="0"/>
                    <w:ind w:left="0" w:right="0"/>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数量</w:t>
                  </w:r>
                </w:p>
              </w:tc>
            </w:tr>
            <w:tr w14:paraId="1B6F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732" w:type="pct"/>
                  <w:tcBorders>
                    <w:right w:val="single" w:color="000000" w:sz="2" w:space="0"/>
                  </w:tcBorders>
                  <w:noWrap w:val="0"/>
                  <w:vAlign w:val="center"/>
                </w:tcPr>
                <w:p w14:paraId="11740FC7">
                  <w:pPr>
                    <w:pStyle w:val="65"/>
                    <w:keepNext w:val="0"/>
                    <w:keepLines w:val="0"/>
                    <w:suppressLineNumbers w:val="0"/>
                    <w:kinsoku w:val="0"/>
                    <w:overflowPunct w:val="0"/>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885" w:type="pct"/>
                  <w:tcBorders>
                    <w:left w:val="single" w:color="000000" w:sz="2" w:space="0"/>
                  </w:tcBorders>
                  <w:noWrap w:val="0"/>
                  <w:vAlign w:val="center"/>
                </w:tcPr>
                <w:p w14:paraId="3EAE2224">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翻抛机</w:t>
                  </w:r>
                </w:p>
              </w:tc>
              <w:tc>
                <w:tcPr>
                  <w:tcW w:w="2111" w:type="pct"/>
                  <w:vMerge w:val="restart"/>
                  <w:noWrap w:val="0"/>
                  <w:vAlign w:val="center"/>
                </w:tcPr>
                <w:p w14:paraId="11FDB10A">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发酵间</w:t>
                  </w:r>
                </w:p>
              </w:tc>
              <w:tc>
                <w:tcPr>
                  <w:tcW w:w="544" w:type="pct"/>
                  <w:tcBorders>
                    <w:right w:val="single" w:color="000000" w:sz="2" w:space="0"/>
                  </w:tcBorders>
                  <w:noWrap w:val="0"/>
                  <w:vAlign w:val="center"/>
                </w:tcPr>
                <w:p w14:paraId="39E83FFA">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台</w:t>
                  </w:r>
                </w:p>
              </w:tc>
              <w:tc>
                <w:tcPr>
                  <w:tcW w:w="725" w:type="pct"/>
                  <w:tcBorders>
                    <w:left w:val="single" w:color="000000" w:sz="2" w:space="0"/>
                  </w:tcBorders>
                  <w:noWrap w:val="0"/>
                  <w:vAlign w:val="center"/>
                </w:tcPr>
                <w:p w14:paraId="3991C5A9">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r>
            <w:tr w14:paraId="7EDC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732" w:type="pct"/>
                  <w:tcBorders>
                    <w:right w:val="single" w:color="000000" w:sz="2" w:space="0"/>
                  </w:tcBorders>
                  <w:noWrap w:val="0"/>
                  <w:vAlign w:val="center"/>
                </w:tcPr>
                <w:p w14:paraId="3D9AD185">
                  <w:pPr>
                    <w:pStyle w:val="65"/>
                    <w:keepNext w:val="0"/>
                    <w:keepLines w:val="0"/>
                    <w:suppressLineNumbers w:val="0"/>
                    <w:kinsoku w:val="0"/>
                    <w:overflowPunct w:val="0"/>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885" w:type="pct"/>
                  <w:tcBorders>
                    <w:left w:val="single" w:color="000000" w:sz="2" w:space="0"/>
                  </w:tcBorders>
                  <w:noWrap w:val="0"/>
                  <w:vAlign w:val="center"/>
                </w:tcPr>
                <w:p w14:paraId="0C6C9165">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r>
                    <w:rPr>
                      <w:rFonts w:ascii="Times New Roman" w:hAnsi="Times New Roman" w:eastAsia="宋体" w:cs="Times New Roman"/>
                      <w:color w:val="auto"/>
                      <w:szCs w:val="21"/>
                    </w:rPr>
                    <w:t>铲车</w:t>
                  </w:r>
                </w:p>
              </w:tc>
              <w:tc>
                <w:tcPr>
                  <w:tcW w:w="2111" w:type="pct"/>
                  <w:vMerge w:val="continue"/>
                  <w:noWrap w:val="0"/>
                  <w:vAlign w:val="center"/>
                </w:tcPr>
                <w:p w14:paraId="2A97765F">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p>
              </w:tc>
              <w:tc>
                <w:tcPr>
                  <w:tcW w:w="544" w:type="pct"/>
                  <w:tcBorders>
                    <w:right w:val="single" w:color="000000" w:sz="2" w:space="0"/>
                  </w:tcBorders>
                  <w:noWrap w:val="0"/>
                  <w:vAlign w:val="center"/>
                </w:tcPr>
                <w:p w14:paraId="0891900C">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辆</w:t>
                  </w:r>
                </w:p>
              </w:tc>
              <w:tc>
                <w:tcPr>
                  <w:tcW w:w="725" w:type="pct"/>
                  <w:tcBorders>
                    <w:left w:val="single" w:color="000000" w:sz="2" w:space="0"/>
                  </w:tcBorders>
                  <w:noWrap w:val="0"/>
                  <w:vAlign w:val="center"/>
                </w:tcPr>
                <w:p w14:paraId="1ECAEFFF">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r>
            <w:tr w14:paraId="6D0B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732" w:type="pct"/>
                  <w:tcBorders>
                    <w:right w:val="single" w:color="000000" w:sz="2" w:space="0"/>
                  </w:tcBorders>
                  <w:noWrap w:val="0"/>
                  <w:vAlign w:val="center"/>
                </w:tcPr>
                <w:p w14:paraId="7C63B19B">
                  <w:pPr>
                    <w:pStyle w:val="65"/>
                    <w:keepNext w:val="0"/>
                    <w:keepLines w:val="0"/>
                    <w:suppressLineNumbers w:val="0"/>
                    <w:kinsoku w:val="0"/>
                    <w:overflowPunct w:val="0"/>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885" w:type="pct"/>
                  <w:tcBorders>
                    <w:left w:val="single" w:color="000000" w:sz="2" w:space="0"/>
                  </w:tcBorders>
                  <w:noWrap w:val="0"/>
                  <w:vAlign w:val="center"/>
                </w:tcPr>
                <w:p w14:paraId="451DAE73">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喷淋除臭装置</w:t>
                  </w:r>
                </w:p>
              </w:tc>
              <w:tc>
                <w:tcPr>
                  <w:tcW w:w="2111" w:type="pct"/>
                  <w:vMerge w:val="continue"/>
                  <w:noWrap w:val="0"/>
                  <w:vAlign w:val="center"/>
                </w:tcPr>
                <w:p w14:paraId="3E9E6C5E">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p>
              </w:tc>
              <w:tc>
                <w:tcPr>
                  <w:tcW w:w="544" w:type="pct"/>
                  <w:tcBorders>
                    <w:right w:val="single" w:color="000000" w:sz="2" w:space="0"/>
                  </w:tcBorders>
                  <w:noWrap w:val="0"/>
                  <w:vAlign w:val="center"/>
                </w:tcPr>
                <w:p w14:paraId="13AAC63C">
                  <w:pPr>
                    <w:pStyle w:val="65"/>
                    <w:keepNext w:val="0"/>
                    <w:keepLines w:val="0"/>
                    <w:suppressLineNumbers w:val="0"/>
                    <w:autoSpaceDE/>
                    <w:autoSpaceDN/>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套</w:t>
                  </w:r>
                </w:p>
              </w:tc>
              <w:tc>
                <w:tcPr>
                  <w:tcW w:w="725" w:type="pct"/>
                  <w:tcBorders>
                    <w:left w:val="single" w:color="000000" w:sz="2" w:space="0"/>
                  </w:tcBorders>
                  <w:noWrap w:val="0"/>
                  <w:vAlign w:val="center"/>
                </w:tcPr>
                <w:p w14:paraId="4E2B61C7">
                  <w:pPr>
                    <w:pStyle w:val="65"/>
                    <w:keepNext w:val="0"/>
                    <w:keepLines w:val="0"/>
                    <w:suppressLineNumbers w:val="0"/>
                    <w:autoSpaceDE/>
                    <w:autoSpaceDN/>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r>
            <w:tr w14:paraId="10F3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tcBorders>
                    <w:right w:val="single" w:color="000000" w:sz="2" w:space="0"/>
                  </w:tcBorders>
                  <w:noWrap w:val="0"/>
                  <w:vAlign w:val="center"/>
                </w:tcPr>
                <w:p w14:paraId="59C14771">
                  <w:pPr>
                    <w:pStyle w:val="65"/>
                    <w:keepNext w:val="0"/>
                    <w:keepLines w:val="0"/>
                    <w:suppressLineNumbers w:val="0"/>
                    <w:kinsoku w:val="0"/>
                    <w:overflowPunct w:val="0"/>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885" w:type="pct"/>
                  <w:tcBorders>
                    <w:left w:val="single" w:color="000000" w:sz="2" w:space="0"/>
                  </w:tcBorders>
                  <w:noWrap w:val="0"/>
                  <w:vAlign w:val="center"/>
                </w:tcPr>
                <w:p w14:paraId="5F9D15DC">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分拣输送带</w:t>
                  </w:r>
                </w:p>
              </w:tc>
              <w:tc>
                <w:tcPr>
                  <w:tcW w:w="2111" w:type="pct"/>
                  <w:noWrap w:val="0"/>
                  <w:vAlign w:val="center"/>
                </w:tcPr>
                <w:p w14:paraId="416EBF6C">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分拣间</w:t>
                  </w:r>
                </w:p>
              </w:tc>
              <w:tc>
                <w:tcPr>
                  <w:tcW w:w="544" w:type="pct"/>
                  <w:tcBorders>
                    <w:right w:val="single" w:color="000000" w:sz="2" w:space="0"/>
                  </w:tcBorders>
                  <w:noWrap w:val="0"/>
                  <w:vAlign w:val="center"/>
                </w:tcPr>
                <w:p w14:paraId="6033C487">
                  <w:pPr>
                    <w:pStyle w:val="65"/>
                    <w:keepNext w:val="0"/>
                    <w:keepLines w:val="0"/>
                    <w:suppressLineNumbers w:val="0"/>
                    <w:autoSpaceDE/>
                    <w:autoSpaceDN/>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台</w:t>
                  </w:r>
                </w:p>
              </w:tc>
              <w:tc>
                <w:tcPr>
                  <w:tcW w:w="725" w:type="pct"/>
                  <w:tcBorders>
                    <w:left w:val="single" w:color="000000" w:sz="2" w:space="0"/>
                  </w:tcBorders>
                  <w:noWrap w:val="0"/>
                  <w:vAlign w:val="center"/>
                </w:tcPr>
                <w:p w14:paraId="1CACBD05">
                  <w:pPr>
                    <w:pStyle w:val="65"/>
                    <w:keepNext w:val="0"/>
                    <w:keepLines w:val="0"/>
                    <w:suppressLineNumbers w:val="0"/>
                    <w:autoSpaceDE/>
                    <w:autoSpaceDN/>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r>
            <w:tr w14:paraId="7A79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tcBorders>
                    <w:right w:val="single" w:color="000000" w:sz="2" w:space="0"/>
                  </w:tcBorders>
                  <w:noWrap w:val="0"/>
                  <w:vAlign w:val="center"/>
                </w:tcPr>
                <w:p w14:paraId="0AC82F5A">
                  <w:pPr>
                    <w:pStyle w:val="65"/>
                    <w:keepNext w:val="0"/>
                    <w:keepLines w:val="0"/>
                    <w:suppressLineNumbers w:val="0"/>
                    <w:kinsoku w:val="0"/>
                    <w:overflowPunct w:val="0"/>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w:t>
                  </w:r>
                </w:p>
              </w:tc>
              <w:tc>
                <w:tcPr>
                  <w:tcW w:w="885" w:type="pct"/>
                  <w:tcBorders>
                    <w:left w:val="single" w:color="000000" w:sz="2" w:space="0"/>
                  </w:tcBorders>
                  <w:noWrap w:val="0"/>
                  <w:vAlign w:val="center"/>
                </w:tcPr>
                <w:p w14:paraId="3C5F8765">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叉车</w:t>
                  </w:r>
                </w:p>
              </w:tc>
              <w:tc>
                <w:tcPr>
                  <w:tcW w:w="2111" w:type="pct"/>
                  <w:noWrap w:val="0"/>
                  <w:vAlign w:val="center"/>
                </w:tcPr>
                <w:p w14:paraId="001202A9">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原料库</w:t>
                  </w:r>
                </w:p>
              </w:tc>
              <w:tc>
                <w:tcPr>
                  <w:tcW w:w="544" w:type="pct"/>
                  <w:tcBorders>
                    <w:right w:val="single" w:color="000000" w:sz="2" w:space="0"/>
                  </w:tcBorders>
                  <w:noWrap w:val="0"/>
                  <w:vAlign w:val="center"/>
                </w:tcPr>
                <w:p w14:paraId="13126F90">
                  <w:pPr>
                    <w:pStyle w:val="65"/>
                    <w:keepNext w:val="0"/>
                    <w:keepLines w:val="0"/>
                    <w:suppressLineNumbers w:val="0"/>
                    <w:autoSpaceDE/>
                    <w:autoSpaceDN/>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辆</w:t>
                  </w:r>
                </w:p>
              </w:tc>
              <w:tc>
                <w:tcPr>
                  <w:tcW w:w="725" w:type="pct"/>
                  <w:tcBorders>
                    <w:left w:val="single" w:color="000000" w:sz="2" w:space="0"/>
                  </w:tcBorders>
                  <w:noWrap w:val="0"/>
                  <w:vAlign w:val="center"/>
                </w:tcPr>
                <w:p w14:paraId="5827092A">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r>
            <w:tr w14:paraId="34AF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tcBorders>
                    <w:right w:val="single" w:color="000000" w:sz="2" w:space="0"/>
                  </w:tcBorders>
                  <w:noWrap w:val="0"/>
                  <w:vAlign w:val="center"/>
                </w:tcPr>
                <w:p w14:paraId="79D0D06C">
                  <w:pPr>
                    <w:pStyle w:val="65"/>
                    <w:keepNext w:val="0"/>
                    <w:keepLines w:val="0"/>
                    <w:suppressLineNumbers w:val="0"/>
                    <w:kinsoku w:val="0"/>
                    <w:overflowPunct w:val="0"/>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w:t>
                  </w:r>
                </w:p>
              </w:tc>
              <w:tc>
                <w:tcPr>
                  <w:tcW w:w="885" w:type="pct"/>
                  <w:tcBorders>
                    <w:left w:val="single" w:color="000000" w:sz="2" w:space="0"/>
                  </w:tcBorders>
                  <w:noWrap w:val="0"/>
                  <w:vAlign w:val="center"/>
                </w:tcPr>
                <w:p w14:paraId="65F4835F">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打包机</w:t>
                  </w:r>
                </w:p>
              </w:tc>
              <w:tc>
                <w:tcPr>
                  <w:tcW w:w="2111" w:type="pct"/>
                  <w:noWrap w:val="0"/>
                  <w:vAlign w:val="center"/>
                </w:tcPr>
                <w:p w14:paraId="42B24470">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产品堆场</w:t>
                  </w:r>
                </w:p>
              </w:tc>
              <w:tc>
                <w:tcPr>
                  <w:tcW w:w="544" w:type="pct"/>
                  <w:tcBorders>
                    <w:right w:val="single" w:color="000000" w:sz="2" w:space="0"/>
                  </w:tcBorders>
                  <w:noWrap w:val="0"/>
                  <w:vAlign w:val="center"/>
                </w:tcPr>
                <w:p w14:paraId="77978C7D">
                  <w:pPr>
                    <w:pStyle w:val="65"/>
                    <w:keepNext w:val="0"/>
                    <w:keepLines w:val="0"/>
                    <w:suppressLineNumbers w:val="0"/>
                    <w:autoSpaceDE/>
                    <w:autoSpaceDN/>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台</w:t>
                  </w:r>
                </w:p>
              </w:tc>
              <w:tc>
                <w:tcPr>
                  <w:tcW w:w="725" w:type="pct"/>
                  <w:tcBorders>
                    <w:left w:val="single" w:color="000000" w:sz="2" w:space="0"/>
                  </w:tcBorders>
                  <w:noWrap w:val="0"/>
                  <w:vAlign w:val="center"/>
                </w:tcPr>
                <w:p w14:paraId="34FE728C">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r>
          </w:tbl>
          <w:p w14:paraId="49DEC3F2">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Calibri" w:hAnsi="Calibri" w:eastAsia="宋体" w:cs="Times New Roman"/>
                <w:b/>
                <w:bCs/>
                <w:color w:val="auto"/>
                <w:sz w:val="24"/>
              </w:rPr>
            </w:pPr>
            <w:r>
              <w:rPr>
                <w:rFonts w:hint="eastAsia" w:ascii="Calibri" w:hAnsi="Calibri" w:eastAsia="宋体" w:cs="Times New Roman"/>
                <w:b/>
                <w:bCs/>
                <w:color w:val="auto"/>
                <w:sz w:val="24"/>
              </w:rPr>
              <w:t>7、公共工程</w:t>
            </w:r>
          </w:p>
          <w:p w14:paraId="2F90B2DA">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（1）</w:t>
            </w:r>
            <w:r>
              <w:rPr>
                <w:rFonts w:ascii="Calibri" w:hAnsi="Calibri" w:eastAsia="宋体" w:cs="Times New Roman"/>
                <w:color w:val="auto"/>
                <w:sz w:val="24"/>
              </w:rPr>
              <w:t>给水</w:t>
            </w:r>
          </w:p>
          <w:p w14:paraId="12D2D83D">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项目用水主要是生物除臭塔除臭用水、生活用水，由自打水井提供，用水有保障</w:t>
            </w:r>
            <w:r>
              <w:rPr>
                <w:rFonts w:ascii="Calibri" w:hAnsi="Calibri" w:eastAsia="宋体" w:cs="Times New Roman"/>
                <w:color w:val="auto"/>
                <w:sz w:val="24"/>
              </w:rPr>
              <w:t>。</w:t>
            </w:r>
          </w:p>
          <w:p w14:paraId="525B99A4">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①生物除臭塔除臭用水</w:t>
            </w:r>
          </w:p>
          <w:p w14:paraId="1FB2ED5C">
            <w:pPr>
              <w:keepNext w:val="0"/>
              <w:keepLines w:val="0"/>
              <w:suppressLineNumbers w:val="0"/>
              <w:tabs>
                <w:tab w:val="left" w:pos="5410"/>
              </w:tabs>
              <w:topLinePunct/>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Calibri"/>
                <w:color w:val="auto"/>
                <w:sz w:val="24"/>
                <w:szCs w:val="28"/>
              </w:rPr>
              <w:t>项目</w:t>
            </w:r>
            <w:r>
              <w:rPr>
                <w:rFonts w:hint="eastAsia" w:ascii="Calibri" w:hAnsi="Calibri" w:eastAsia="宋体" w:cs="Calibri"/>
                <w:color w:val="auto"/>
                <w:sz w:val="24"/>
                <w:szCs w:val="28"/>
              </w:rPr>
              <w:t>设置1套</w:t>
            </w:r>
            <w:r>
              <w:rPr>
                <w:rFonts w:ascii="Calibri" w:hAnsi="Calibri" w:eastAsia="宋体" w:cs="Calibri"/>
                <w:color w:val="auto"/>
                <w:sz w:val="24"/>
                <w:szCs w:val="28"/>
              </w:rPr>
              <w:t>生物除臭</w:t>
            </w:r>
            <w:r>
              <w:rPr>
                <w:rFonts w:hint="eastAsia" w:ascii="Calibri" w:hAnsi="Calibri" w:eastAsia="宋体" w:cs="Calibri"/>
                <w:color w:val="auto"/>
                <w:sz w:val="24"/>
                <w:szCs w:val="28"/>
              </w:rPr>
              <w:t>塔</w:t>
            </w:r>
            <w:r>
              <w:rPr>
                <w:rFonts w:ascii="Calibri" w:hAnsi="Calibri" w:eastAsia="宋体" w:cs="Calibri"/>
                <w:color w:val="auto"/>
                <w:sz w:val="24"/>
                <w:szCs w:val="28"/>
              </w:rPr>
              <w:t>对恶臭气体进行处理，生物除臭</w:t>
            </w:r>
            <w:r>
              <w:rPr>
                <w:rFonts w:hint="eastAsia" w:ascii="Calibri" w:hAnsi="Calibri" w:eastAsia="宋体" w:cs="Calibri"/>
                <w:color w:val="auto"/>
                <w:sz w:val="24"/>
                <w:szCs w:val="28"/>
              </w:rPr>
              <w:t>塔</w:t>
            </w:r>
            <w:r>
              <w:rPr>
                <w:rFonts w:ascii="Calibri" w:hAnsi="Calibri" w:eastAsia="宋体" w:cs="Calibri"/>
                <w:color w:val="auto"/>
                <w:sz w:val="24"/>
                <w:szCs w:val="28"/>
              </w:rPr>
              <w:t>配有滤池（</w:t>
            </w:r>
            <w:r>
              <w:rPr>
                <w:rFonts w:hint="eastAsia" w:ascii="Calibri" w:hAnsi="Calibri" w:eastAsia="宋体" w:cs="Calibri"/>
                <w:color w:val="auto"/>
                <w:sz w:val="24"/>
                <w:szCs w:val="28"/>
              </w:rPr>
              <w:t>1</w:t>
            </w:r>
            <w:r>
              <w:rPr>
                <w:rFonts w:ascii="Calibri" w:hAnsi="Calibri" w:eastAsia="宋体" w:cs="Calibri"/>
                <w:color w:val="auto"/>
                <w:sz w:val="24"/>
                <w:szCs w:val="28"/>
              </w:rPr>
              <w:t>m</w:t>
            </w:r>
            <w:r>
              <w:rPr>
                <w:rFonts w:ascii="Calibri" w:hAnsi="Calibri" w:eastAsia="宋体" w:cs="Calibri"/>
                <w:color w:val="auto"/>
                <w:sz w:val="24"/>
                <w:szCs w:val="28"/>
                <w:vertAlign w:val="superscript"/>
              </w:rPr>
              <w:t>3</w:t>
            </w:r>
            <w:r>
              <w:rPr>
                <w:rFonts w:ascii="Calibri" w:hAnsi="Calibri" w:eastAsia="宋体" w:cs="Calibri"/>
                <w:color w:val="auto"/>
                <w:sz w:val="24"/>
                <w:szCs w:val="28"/>
              </w:rPr>
              <w:t>）、循环喷淋系统和循环水泵，循环水泵将循环水喷淋至填料层表面</w:t>
            </w:r>
            <w:r>
              <w:rPr>
                <w:rFonts w:hint="eastAsia" w:ascii="Calibri" w:hAnsi="Calibri" w:eastAsia="宋体" w:cs="Calibri"/>
                <w:color w:val="auto"/>
                <w:sz w:val="24"/>
                <w:szCs w:val="28"/>
              </w:rPr>
              <w:t>。</w:t>
            </w:r>
            <w:r>
              <w:rPr>
                <w:rFonts w:ascii="Calibri" w:hAnsi="Calibri" w:eastAsia="宋体" w:cs="Calibri"/>
                <w:color w:val="auto"/>
                <w:sz w:val="24"/>
                <w:szCs w:val="28"/>
              </w:rPr>
              <w:t>生物除臭</w:t>
            </w:r>
            <w:r>
              <w:rPr>
                <w:rFonts w:hint="eastAsia" w:ascii="Calibri" w:hAnsi="Calibri" w:eastAsia="宋体" w:cs="Calibri"/>
                <w:color w:val="auto"/>
                <w:sz w:val="24"/>
                <w:szCs w:val="28"/>
              </w:rPr>
              <w:t>塔</w:t>
            </w:r>
            <w:r>
              <w:rPr>
                <w:rFonts w:ascii="Calibri" w:hAnsi="Calibri" w:eastAsia="宋体" w:cs="Calibri"/>
                <w:color w:val="auto"/>
                <w:sz w:val="24"/>
                <w:szCs w:val="28"/>
              </w:rPr>
              <w:t>运行过程中水量损失约为用水量的</w:t>
            </w:r>
            <w:r>
              <w:rPr>
                <w:rFonts w:hint="eastAsia" w:ascii="Calibri" w:hAnsi="Calibri" w:eastAsia="宋体" w:cs="Calibri"/>
                <w:color w:val="auto"/>
                <w:sz w:val="24"/>
                <w:szCs w:val="28"/>
              </w:rPr>
              <w:t>10</w:t>
            </w:r>
            <w:r>
              <w:rPr>
                <w:rFonts w:ascii="Calibri" w:hAnsi="Calibri" w:eastAsia="宋体" w:cs="Calibri"/>
                <w:color w:val="auto"/>
                <w:sz w:val="24"/>
                <w:szCs w:val="28"/>
              </w:rPr>
              <w:t>%，需新鲜补充水量为</w:t>
            </w:r>
            <w:r>
              <w:rPr>
                <w:rFonts w:hint="eastAsia" w:ascii="Calibri" w:hAnsi="Calibri" w:eastAsia="宋体" w:cs="Calibri"/>
                <w:color w:val="auto"/>
                <w:sz w:val="24"/>
                <w:szCs w:val="28"/>
              </w:rPr>
              <w:t>0.1</w:t>
            </w:r>
            <w:r>
              <w:rPr>
                <w:rFonts w:ascii="Calibri" w:hAnsi="Calibri" w:eastAsia="宋体" w:cs="Calibri"/>
                <w:color w:val="auto"/>
                <w:sz w:val="24"/>
                <w:szCs w:val="28"/>
              </w:rPr>
              <w:t>m</w:t>
            </w:r>
            <w:r>
              <w:rPr>
                <w:rFonts w:ascii="Calibri" w:hAnsi="Calibri" w:eastAsia="宋体" w:cs="Calibri"/>
                <w:color w:val="auto"/>
                <w:sz w:val="24"/>
                <w:szCs w:val="28"/>
                <w:vertAlign w:val="superscript"/>
              </w:rPr>
              <w:t>3</w:t>
            </w:r>
            <w:r>
              <w:rPr>
                <w:rFonts w:ascii="Calibri" w:hAnsi="Calibri" w:eastAsia="宋体" w:cs="Calibri"/>
                <w:color w:val="auto"/>
                <w:sz w:val="24"/>
                <w:szCs w:val="28"/>
              </w:rPr>
              <w:t>/</w:t>
            </w:r>
            <w:r>
              <w:rPr>
                <w:rFonts w:hint="eastAsia" w:ascii="Calibri" w:hAnsi="Calibri" w:eastAsia="宋体" w:cs="Calibri"/>
                <w:color w:val="auto"/>
                <w:sz w:val="24"/>
                <w:szCs w:val="28"/>
              </w:rPr>
              <w:t>d、30</w:t>
            </w:r>
            <w:r>
              <w:rPr>
                <w:rFonts w:ascii="Calibri" w:hAnsi="Calibri" w:eastAsia="宋体" w:cs="Calibri"/>
                <w:color w:val="auto"/>
                <w:sz w:val="24"/>
                <w:szCs w:val="28"/>
              </w:rPr>
              <w:t>m</w:t>
            </w:r>
            <w:r>
              <w:rPr>
                <w:rFonts w:ascii="Calibri" w:hAnsi="Calibri" w:eastAsia="宋体" w:cs="Calibri"/>
                <w:color w:val="auto"/>
                <w:sz w:val="24"/>
                <w:szCs w:val="28"/>
                <w:vertAlign w:val="superscript"/>
              </w:rPr>
              <w:t>3</w:t>
            </w:r>
            <w:r>
              <w:rPr>
                <w:rFonts w:ascii="Calibri" w:hAnsi="Calibri" w:eastAsia="宋体" w:cs="Calibri"/>
                <w:color w:val="auto"/>
                <w:sz w:val="24"/>
                <w:szCs w:val="28"/>
              </w:rPr>
              <w:t>/a，喷淋水循环使用</w:t>
            </w:r>
            <w:r>
              <w:rPr>
                <w:rFonts w:hint="eastAsia" w:ascii="Calibri" w:hAnsi="Calibri" w:eastAsia="宋体" w:cs="Calibri"/>
                <w:color w:val="auto"/>
                <w:sz w:val="24"/>
                <w:szCs w:val="28"/>
              </w:rPr>
              <w:t>量为0.9</w:t>
            </w:r>
            <w:r>
              <w:rPr>
                <w:rFonts w:ascii="Calibri" w:hAnsi="Calibri" w:eastAsia="宋体" w:cs="Calibri"/>
                <w:color w:val="auto"/>
                <w:sz w:val="24"/>
                <w:szCs w:val="28"/>
              </w:rPr>
              <w:t>m</w:t>
            </w:r>
            <w:r>
              <w:rPr>
                <w:rFonts w:ascii="Calibri" w:hAnsi="Calibri" w:eastAsia="宋体" w:cs="Calibri"/>
                <w:color w:val="auto"/>
                <w:sz w:val="24"/>
                <w:szCs w:val="28"/>
                <w:vertAlign w:val="superscript"/>
              </w:rPr>
              <w:t>3</w:t>
            </w:r>
            <w:r>
              <w:rPr>
                <w:rFonts w:ascii="Calibri" w:hAnsi="Calibri" w:eastAsia="宋体" w:cs="Calibri"/>
                <w:color w:val="auto"/>
                <w:sz w:val="24"/>
                <w:szCs w:val="28"/>
              </w:rPr>
              <w:t>/</w:t>
            </w:r>
            <w:r>
              <w:rPr>
                <w:rFonts w:hint="eastAsia" w:ascii="Calibri" w:hAnsi="Calibri" w:eastAsia="宋体" w:cs="Calibri"/>
                <w:color w:val="auto"/>
                <w:sz w:val="24"/>
                <w:szCs w:val="28"/>
              </w:rPr>
              <w:t>d、270</w:t>
            </w:r>
            <w:r>
              <w:rPr>
                <w:rFonts w:ascii="Calibri" w:hAnsi="Calibri" w:eastAsia="宋体" w:cs="Calibri"/>
                <w:color w:val="auto"/>
                <w:sz w:val="24"/>
                <w:szCs w:val="28"/>
              </w:rPr>
              <w:t>m</w:t>
            </w:r>
            <w:r>
              <w:rPr>
                <w:rFonts w:ascii="Calibri" w:hAnsi="Calibri" w:eastAsia="宋体" w:cs="Calibri"/>
                <w:color w:val="auto"/>
                <w:sz w:val="24"/>
                <w:szCs w:val="28"/>
                <w:vertAlign w:val="superscript"/>
              </w:rPr>
              <w:t>3</w:t>
            </w:r>
            <w:r>
              <w:rPr>
                <w:rFonts w:ascii="Calibri" w:hAnsi="Calibri" w:eastAsia="宋体" w:cs="Calibri"/>
                <w:color w:val="auto"/>
                <w:sz w:val="24"/>
                <w:szCs w:val="28"/>
              </w:rPr>
              <w:t>/a</w:t>
            </w:r>
            <w:r>
              <w:rPr>
                <w:rFonts w:hint="eastAsia" w:ascii="Calibri" w:hAnsi="Calibri" w:eastAsia="宋体" w:cs="Calibri"/>
                <w:color w:val="auto"/>
                <w:sz w:val="24"/>
                <w:szCs w:val="28"/>
              </w:rPr>
              <w:t>。</w:t>
            </w:r>
          </w:p>
          <w:p w14:paraId="3BF4941C">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②生活用水</w:t>
            </w:r>
          </w:p>
          <w:p w14:paraId="211A9AAB">
            <w:pPr>
              <w:pStyle w:val="44"/>
              <w:keepNext w:val="0"/>
              <w:keepLines w:val="0"/>
              <w:suppressLineNumbers w:val="0"/>
              <w:spacing w:before="0" w:beforeAutospacing="0" w:after="0" w:afterAutospacing="0" w:line="360" w:lineRule="auto"/>
              <w:ind w:left="0" w:right="0" w:firstLine="480"/>
              <w:jc w:val="both"/>
              <w:rPr>
                <w:rFonts w:ascii="Calibri" w:hAnsi="Calibri" w:eastAsia="宋体" w:cs="Times New Roman"/>
                <w:color w:val="auto"/>
              </w:rPr>
            </w:pPr>
            <w:r>
              <w:rPr>
                <w:rFonts w:ascii="Calibri" w:hAnsi="Calibri" w:eastAsia="宋体" w:cs="Times New Roman"/>
                <w:color w:val="auto"/>
              </w:rPr>
              <w:t>项目员工为</w:t>
            </w:r>
            <w:r>
              <w:rPr>
                <w:rFonts w:hint="eastAsia" w:ascii="Calibri" w:hAnsi="Calibri" w:eastAsia="宋体" w:cs="Times New Roman"/>
                <w:color w:val="auto"/>
              </w:rPr>
              <w:t>1</w:t>
            </w:r>
            <w:r>
              <w:rPr>
                <w:rFonts w:ascii="Calibri" w:hAnsi="Calibri" w:eastAsia="宋体" w:cs="Times New Roman"/>
                <w:color w:val="auto"/>
              </w:rPr>
              <w:t>0人，均</w:t>
            </w:r>
            <w:r>
              <w:rPr>
                <w:rFonts w:hint="eastAsia" w:ascii="Calibri" w:hAnsi="Calibri" w:eastAsia="宋体" w:cs="Times New Roman"/>
                <w:color w:val="auto"/>
              </w:rPr>
              <w:t>不</w:t>
            </w:r>
            <w:r>
              <w:rPr>
                <w:rFonts w:ascii="Calibri" w:hAnsi="Calibri" w:eastAsia="宋体" w:cs="Times New Roman"/>
                <w:color w:val="auto"/>
              </w:rPr>
              <w:t>在厂内居住，</w:t>
            </w:r>
            <w:r>
              <w:rPr>
                <w:rFonts w:hint="eastAsia" w:ascii="Calibri" w:hAnsi="Calibri" w:eastAsia="宋体" w:cs="Times New Roman"/>
                <w:color w:val="auto"/>
              </w:rPr>
              <w:t>根据</w:t>
            </w:r>
            <w:r>
              <w:rPr>
                <w:rFonts w:ascii="Calibri" w:hAnsi="Calibri" w:eastAsia="宋体" w:cs="Times New Roman"/>
                <w:color w:val="auto"/>
              </w:rPr>
              <w:t>广西壮族自治区地方标准《城镇生活用水定额》（DB45/T 679-20</w:t>
            </w:r>
            <w:r>
              <w:rPr>
                <w:rFonts w:hint="eastAsia" w:ascii="Calibri" w:hAnsi="Calibri" w:eastAsia="宋体" w:cs="Times New Roman"/>
                <w:color w:val="auto"/>
              </w:rPr>
              <w:t>23</w:t>
            </w:r>
            <w:r>
              <w:rPr>
                <w:rFonts w:ascii="Calibri" w:hAnsi="Calibri" w:eastAsia="宋体" w:cs="Times New Roman"/>
                <w:color w:val="auto"/>
              </w:rPr>
              <w:t>），工作人员</w:t>
            </w:r>
            <w:r>
              <w:rPr>
                <w:rFonts w:hint="eastAsia" w:ascii="Calibri" w:hAnsi="Calibri" w:eastAsia="宋体" w:cs="Times New Roman"/>
                <w:color w:val="auto"/>
              </w:rPr>
              <w:t>不</w:t>
            </w:r>
            <w:r>
              <w:rPr>
                <w:rFonts w:ascii="Calibri" w:hAnsi="Calibri" w:eastAsia="宋体" w:cs="Times New Roman"/>
                <w:color w:val="auto"/>
              </w:rPr>
              <w:t>在</w:t>
            </w:r>
            <w:r>
              <w:rPr>
                <w:rFonts w:hint="eastAsia" w:ascii="Calibri" w:hAnsi="Calibri" w:eastAsia="宋体" w:cs="Times New Roman"/>
                <w:color w:val="auto"/>
              </w:rPr>
              <w:t>厂区</w:t>
            </w:r>
            <w:r>
              <w:rPr>
                <w:rFonts w:ascii="Calibri" w:hAnsi="Calibri" w:eastAsia="宋体" w:cs="Times New Roman"/>
                <w:color w:val="auto"/>
              </w:rPr>
              <w:t>住宿的用水量按</w:t>
            </w:r>
            <w:r>
              <w:rPr>
                <w:rFonts w:hint="eastAsia" w:ascii="Calibri" w:hAnsi="Calibri" w:eastAsia="宋体" w:cs="Times New Roman"/>
                <w:color w:val="auto"/>
              </w:rPr>
              <w:t>15</w:t>
            </w:r>
            <w:r>
              <w:rPr>
                <w:rFonts w:ascii="Calibri" w:hAnsi="Calibri" w:eastAsia="宋体" w:cs="Times New Roman"/>
                <w:color w:val="auto"/>
              </w:rPr>
              <w:t>0L/(人·d)</w:t>
            </w:r>
            <w:r>
              <w:rPr>
                <w:rFonts w:hint="eastAsia" w:ascii="Calibri" w:hAnsi="Calibri" w:eastAsia="宋体" w:cs="Times New Roman"/>
                <w:color w:val="auto"/>
              </w:rPr>
              <w:t>计，则项目职工生活用水量为1.5</w:t>
            </w:r>
            <w:r>
              <w:rPr>
                <w:rFonts w:ascii="Calibri" w:hAnsi="Calibri" w:eastAsia="宋体" w:cs="Times New Roman"/>
                <w:color w:val="auto"/>
              </w:rPr>
              <w:t>m</w:t>
            </w:r>
            <w:r>
              <w:rPr>
                <w:rFonts w:ascii="Calibri" w:hAnsi="Calibri" w:eastAsia="宋体" w:cs="Times New Roman"/>
                <w:color w:val="auto"/>
                <w:vertAlign w:val="superscript"/>
              </w:rPr>
              <w:t>3</w:t>
            </w:r>
            <w:r>
              <w:rPr>
                <w:rFonts w:ascii="Calibri" w:hAnsi="Calibri" w:eastAsia="宋体" w:cs="Times New Roman"/>
                <w:color w:val="auto"/>
              </w:rPr>
              <w:t>/d</w:t>
            </w:r>
            <w:r>
              <w:rPr>
                <w:rFonts w:hint="eastAsia" w:ascii="Calibri" w:hAnsi="Calibri" w:eastAsia="宋体" w:cs="Times New Roman"/>
                <w:color w:val="auto"/>
              </w:rPr>
              <w:t>、450</w:t>
            </w:r>
            <w:r>
              <w:rPr>
                <w:rFonts w:ascii="Calibri" w:hAnsi="Calibri" w:eastAsia="宋体" w:cs="Times New Roman"/>
                <w:color w:val="auto"/>
              </w:rPr>
              <w:t>m</w:t>
            </w:r>
            <w:r>
              <w:rPr>
                <w:rFonts w:ascii="Calibri" w:hAnsi="Calibri" w:eastAsia="宋体" w:cs="Times New Roman"/>
                <w:color w:val="auto"/>
                <w:vertAlign w:val="superscript"/>
              </w:rPr>
              <w:t>3</w:t>
            </w:r>
            <w:r>
              <w:rPr>
                <w:rFonts w:ascii="Calibri" w:hAnsi="Calibri" w:eastAsia="宋体" w:cs="Times New Roman"/>
                <w:color w:val="auto"/>
              </w:rPr>
              <w:t>/a</w:t>
            </w:r>
            <w:r>
              <w:rPr>
                <w:rFonts w:hint="eastAsia" w:ascii="Calibri" w:hAnsi="Calibri" w:eastAsia="宋体" w:cs="Times New Roman"/>
                <w:color w:val="auto"/>
              </w:rPr>
              <w:t>。</w:t>
            </w:r>
          </w:p>
          <w:p w14:paraId="505DE612">
            <w:pPr>
              <w:keepNext w:val="0"/>
              <w:keepLines w:val="0"/>
              <w:numPr>
                <w:ilvl w:val="0"/>
                <w:numId w:val="2"/>
              </w:numPr>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排水</w:t>
            </w:r>
          </w:p>
          <w:p w14:paraId="165C7A19">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项目生物除臭塔除臭用水循环使用，不外排；生活污水经防渗旱厕处理后用于桉树林施肥。</w:t>
            </w:r>
          </w:p>
          <w:p w14:paraId="3BE4D3A3">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项目生活污水排放系数取0.8，则污水总产生量约为1.2m</w:t>
            </w:r>
            <w:r>
              <w:rPr>
                <w:rFonts w:hint="eastAsia" w:ascii="Calibri" w:hAnsi="Calibri" w:eastAsia="宋体" w:cs="Times New Roman"/>
                <w:color w:val="auto"/>
                <w:vertAlign w:val="superscript"/>
              </w:rPr>
              <w:t>3</w:t>
            </w:r>
            <w:r>
              <w:rPr>
                <w:rFonts w:hint="eastAsia" w:ascii="Calibri" w:hAnsi="Calibri" w:eastAsia="宋体" w:cs="Times New Roman"/>
                <w:color w:val="auto"/>
              </w:rPr>
              <w:t>/d、360m</w:t>
            </w:r>
            <w:r>
              <w:rPr>
                <w:rFonts w:hint="eastAsia" w:ascii="Calibri" w:hAnsi="Calibri" w:eastAsia="宋体" w:cs="Times New Roman"/>
                <w:color w:val="auto"/>
                <w:vertAlign w:val="superscript"/>
              </w:rPr>
              <w:t>3</w:t>
            </w:r>
            <w:r>
              <w:rPr>
                <w:rFonts w:hint="eastAsia" w:ascii="Calibri" w:hAnsi="Calibri" w:eastAsia="宋体" w:cs="Times New Roman"/>
                <w:color w:val="auto"/>
              </w:rPr>
              <w:t>/a。</w:t>
            </w:r>
          </w:p>
          <w:p w14:paraId="033FFBA4">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项目水平衡表和水平衡图，详见表2-5和图2-1。</w:t>
            </w:r>
          </w:p>
          <w:p w14:paraId="4BD75EE3">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
                <w:bCs/>
                <w:color w:val="auto"/>
              </w:rPr>
            </w:pPr>
            <w:r>
              <w:rPr>
                <w:rFonts w:hint="eastAsia" w:ascii="Calibri" w:hAnsi="Calibri" w:eastAsia="宋体" w:cs="Times New Roman"/>
                <w:b/>
                <w:bCs/>
                <w:color w:val="auto"/>
              </w:rPr>
              <w:t>表2-5  项目水平衡表     单位：m</w:t>
            </w:r>
            <w:r>
              <w:rPr>
                <w:rFonts w:hint="eastAsia" w:ascii="Calibri" w:hAnsi="Calibri" w:eastAsia="宋体" w:cs="Times New Roman"/>
                <w:b/>
                <w:bCs/>
                <w:color w:val="auto"/>
                <w:vertAlign w:val="superscript"/>
              </w:rPr>
              <w:t>3</w:t>
            </w:r>
            <w:r>
              <w:rPr>
                <w:rFonts w:hint="eastAsia" w:ascii="Calibri" w:hAnsi="Calibri" w:eastAsia="宋体" w:cs="Times New Roman"/>
                <w:b/>
                <w:bCs/>
                <w:color w:val="auto"/>
              </w:rPr>
              <w:t>/d</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856"/>
              <w:gridCol w:w="1275"/>
              <w:gridCol w:w="1303"/>
              <w:gridCol w:w="1266"/>
              <w:gridCol w:w="1266"/>
              <w:gridCol w:w="1031"/>
            </w:tblGrid>
            <w:tr w14:paraId="7BEF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noWrap w:val="0"/>
                  <w:vAlign w:val="center"/>
                </w:tcPr>
                <w:p w14:paraId="056439E3">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序号</w:t>
                  </w:r>
                </w:p>
              </w:tc>
              <w:tc>
                <w:tcPr>
                  <w:tcW w:w="1052" w:type="pct"/>
                  <w:noWrap w:val="0"/>
                  <w:vAlign w:val="center"/>
                </w:tcPr>
                <w:p w14:paraId="4DCF6D2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用水工段</w:t>
                  </w:r>
                </w:p>
              </w:tc>
              <w:tc>
                <w:tcPr>
                  <w:tcW w:w="723" w:type="pct"/>
                  <w:noWrap w:val="0"/>
                  <w:vAlign w:val="center"/>
                </w:tcPr>
                <w:p w14:paraId="0A2D0D1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总水量</w:t>
                  </w:r>
                </w:p>
              </w:tc>
              <w:tc>
                <w:tcPr>
                  <w:tcW w:w="739" w:type="pct"/>
                  <w:noWrap w:val="0"/>
                  <w:vAlign w:val="center"/>
                </w:tcPr>
                <w:p w14:paraId="41CD20FF">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新鲜水量</w:t>
                  </w:r>
                </w:p>
              </w:tc>
              <w:tc>
                <w:tcPr>
                  <w:tcW w:w="718" w:type="pct"/>
                  <w:noWrap w:val="0"/>
                  <w:vAlign w:val="center"/>
                </w:tcPr>
                <w:p w14:paraId="226D64E8">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循环水量</w:t>
                  </w:r>
                </w:p>
              </w:tc>
              <w:tc>
                <w:tcPr>
                  <w:tcW w:w="718" w:type="pct"/>
                  <w:noWrap w:val="0"/>
                  <w:vAlign w:val="center"/>
                </w:tcPr>
                <w:p w14:paraId="2FCB725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损失水量</w:t>
                  </w:r>
                </w:p>
              </w:tc>
              <w:tc>
                <w:tcPr>
                  <w:tcW w:w="585" w:type="pct"/>
                  <w:noWrap w:val="0"/>
                  <w:vAlign w:val="center"/>
                </w:tcPr>
                <w:p w14:paraId="38EE6829">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排放量</w:t>
                  </w:r>
                </w:p>
              </w:tc>
            </w:tr>
            <w:tr w14:paraId="2C04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noWrap w:val="0"/>
                  <w:vAlign w:val="center"/>
                </w:tcPr>
                <w:p w14:paraId="1C14F2DB">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1</w:t>
                  </w:r>
                </w:p>
              </w:tc>
              <w:tc>
                <w:tcPr>
                  <w:tcW w:w="1052" w:type="pct"/>
                  <w:noWrap w:val="0"/>
                  <w:vAlign w:val="center"/>
                </w:tcPr>
                <w:p w14:paraId="5C6F79AA">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生物除臭塔除臭用水</w:t>
                  </w:r>
                </w:p>
              </w:tc>
              <w:tc>
                <w:tcPr>
                  <w:tcW w:w="723" w:type="pct"/>
                  <w:noWrap w:val="0"/>
                  <w:vAlign w:val="center"/>
                </w:tcPr>
                <w:p w14:paraId="4939E2A9">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1.0</w:t>
                  </w:r>
                </w:p>
              </w:tc>
              <w:tc>
                <w:tcPr>
                  <w:tcW w:w="739" w:type="pct"/>
                  <w:noWrap w:val="0"/>
                  <w:vAlign w:val="center"/>
                </w:tcPr>
                <w:p w14:paraId="1FDCDA40">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0.1</w:t>
                  </w:r>
                </w:p>
              </w:tc>
              <w:tc>
                <w:tcPr>
                  <w:tcW w:w="718" w:type="pct"/>
                  <w:noWrap w:val="0"/>
                  <w:vAlign w:val="center"/>
                </w:tcPr>
                <w:p w14:paraId="6531844F">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0.9</w:t>
                  </w:r>
                </w:p>
              </w:tc>
              <w:tc>
                <w:tcPr>
                  <w:tcW w:w="718" w:type="pct"/>
                  <w:noWrap w:val="0"/>
                  <w:vAlign w:val="center"/>
                </w:tcPr>
                <w:p w14:paraId="7AF3C5FB">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0.1</w:t>
                  </w:r>
                </w:p>
              </w:tc>
              <w:tc>
                <w:tcPr>
                  <w:tcW w:w="585" w:type="pct"/>
                  <w:noWrap w:val="0"/>
                  <w:vAlign w:val="center"/>
                </w:tcPr>
                <w:p w14:paraId="7B1A4C79">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0</w:t>
                  </w:r>
                </w:p>
              </w:tc>
            </w:tr>
            <w:tr w14:paraId="316A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pct"/>
                  <w:noWrap w:val="0"/>
                  <w:vAlign w:val="top"/>
                </w:tcPr>
                <w:p w14:paraId="41CB3FDD">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2</w:t>
                  </w:r>
                </w:p>
              </w:tc>
              <w:tc>
                <w:tcPr>
                  <w:tcW w:w="1052" w:type="pct"/>
                  <w:noWrap w:val="0"/>
                  <w:vAlign w:val="top"/>
                </w:tcPr>
                <w:p w14:paraId="636B8C20">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生活用水</w:t>
                  </w:r>
                </w:p>
              </w:tc>
              <w:tc>
                <w:tcPr>
                  <w:tcW w:w="723" w:type="pct"/>
                  <w:noWrap w:val="0"/>
                  <w:vAlign w:val="top"/>
                </w:tcPr>
                <w:p w14:paraId="3EEA2EFA">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1.5</w:t>
                  </w:r>
                </w:p>
              </w:tc>
              <w:tc>
                <w:tcPr>
                  <w:tcW w:w="739" w:type="pct"/>
                  <w:noWrap w:val="0"/>
                  <w:vAlign w:val="top"/>
                </w:tcPr>
                <w:p w14:paraId="40E5B568">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color w:val="auto"/>
                      <w:sz w:val="21"/>
                      <w:szCs w:val="21"/>
                    </w:rPr>
                  </w:pPr>
                  <w:r>
                    <w:rPr>
                      <w:rFonts w:hint="eastAsia" w:ascii="Calibri" w:hAnsi="Calibri" w:eastAsia="宋体" w:cs="Times New Roman"/>
                      <w:color w:val="auto"/>
                      <w:sz w:val="21"/>
                      <w:szCs w:val="21"/>
                    </w:rPr>
                    <w:t>1.5</w:t>
                  </w:r>
                </w:p>
              </w:tc>
              <w:tc>
                <w:tcPr>
                  <w:tcW w:w="718" w:type="pct"/>
                  <w:noWrap w:val="0"/>
                  <w:vAlign w:val="top"/>
                </w:tcPr>
                <w:p w14:paraId="6A3BF9DA">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0</w:t>
                  </w:r>
                </w:p>
              </w:tc>
              <w:tc>
                <w:tcPr>
                  <w:tcW w:w="718" w:type="pct"/>
                  <w:noWrap w:val="0"/>
                  <w:vAlign w:val="top"/>
                </w:tcPr>
                <w:p w14:paraId="6E936A0D">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0.3</w:t>
                  </w:r>
                </w:p>
              </w:tc>
              <w:tc>
                <w:tcPr>
                  <w:tcW w:w="585" w:type="pct"/>
                  <w:noWrap w:val="0"/>
                  <w:vAlign w:val="top"/>
                </w:tcPr>
                <w:p w14:paraId="2C904541">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1.2</w:t>
                  </w:r>
                </w:p>
              </w:tc>
            </w:tr>
            <w:tr w14:paraId="2C74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pct"/>
                  <w:gridSpan w:val="2"/>
                  <w:noWrap w:val="0"/>
                  <w:vAlign w:val="top"/>
                </w:tcPr>
                <w:p w14:paraId="77819AB2">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合计</w:t>
                  </w:r>
                </w:p>
              </w:tc>
              <w:tc>
                <w:tcPr>
                  <w:tcW w:w="723" w:type="pct"/>
                  <w:noWrap w:val="0"/>
                  <w:vAlign w:val="center"/>
                </w:tcPr>
                <w:p w14:paraId="6DC62649">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2.5</w:t>
                  </w:r>
                </w:p>
              </w:tc>
              <w:tc>
                <w:tcPr>
                  <w:tcW w:w="739" w:type="pct"/>
                  <w:noWrap w:val="0"/>
                  <w:vAlign w:val="center"/>
                </w:tcPr>
                <w:p w14:paraId="63E21523">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1.6</w:t>
                  </w:r>
                </w:p>
              </w:tc>
              <w:tc>
                <w:tcPr>
                  <w:tcW w:w="718" w:type="pct"/>
                  <w:noWrap w:val="0"/>
                  <w:vAlign w:val="center"/>
                </w:tcPr>
                <w:p w14:paraId="685A8687">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0.9</w:t>
                  </w:r>
                </w:p>
              </w:tc>
              <w:tc>
                <w:tcPr>
                  <w:tcW w:w="718" w:type="pct"/>
                  <w:noWrap w:val="0"/>
                  <w:vAlign w:val="center"/>
                </w:tcPr>
                <w:p w14:paraId="2A9D02A6">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w:t>
                  </w:r>
                </w:p>
              </w:tc>
              <w:tc>
                <w:tcPr>
                  <w:tcW w:w="585" w:type="pct"/>
                  <w:noWrap w:val="0"/>
                  <w:vAlign w:val="center"/>
                </w:tcPr>
                <w:p w14:paraId="6560D0F4">
                  <w:pPr>
                    <w:keepNext w:val="0"/>
                    <w:keepLines w:val="0"/>
                    <w:widowControl/>
                    <w:suppressLineNumbers w:val="0"/>
                    <w:spacing w:before="0" w:beforeAutospacing="0" w:after="0" w:afterAutospacing="0"/>
                    <w:ind w:left="0" w:right="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w:t>
                  </w:r>
                </w:p>
              </w:tc>
            </w:tr>
          </w:tbl>
          <w:p w14:paraId="4A8E2868">
            <w:pPr>
              <w:pStyle w:val="44"/>
              <w:keepNext w:val="0"/>
              <w:keepLines w:val="0"/>
              <w:suppressLineNumbers w:val="0"/>
              <w:spacing w:before="0" w:beforeAutospacing="0" w:after="0" w:afterAutospacing="0" w:line="360" w:lineRule="auto"/>
              <w:ind w:left="0" w:right="0" w:firstLine="0" w:firstLineChars="0"/>
              <w:jc w:val="center"/>
              <w:rPr>
                <w:rFonts w:ascii="Calibri" w:hAnsi="Calibri" w:eastAsia="宋体" w:cs="Times New Roman"/>
                <w:color w:val="auto"/>
              </w:rPr>
            </w:pPr>
            <w:r>
              <w:rPr>
                <w:rFonts w:ascii="Calibri" w:hAnsi="Calibri" w:eastAsia="宋体" w:cs="Times New Roman"/>
                <w:color w:val="auto"/>
              </w:rPr>
              <w:object>
                <v:shape id="_x0000_i1025" o:spt="75" type="#_x0000_t75" style="height:137.5pt;width:421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14:paraId="5C771711">
            <w:pPr>
              <w:pStyle w:val="44"/>
              <w:keepNext w:val="0"/>
              <w:keepLines w:val="0"/>
              <w:suppressLineNumbers w:val="0"/>
              <w:spacing w:before="0" w:beforeAutospacing="0" w:after="0" w:afterAutospacing="0" w:line="360" w:lineRule="auto"/>
              <w:ind w:left="0" w:right="0" w:firstLine="0" w:firstLineChars="0"/>
              <w:jc w:val="center"/>
              <w:rPr>
                <w:rFonts w:ascii="Calibri" w:hAnsi="Calibri" w:eastAsia="宋体" w:cs="Times New Roman"/>
                <w:b/>
                <w:bCs/>
                <w:color w:val="auto"/>
              </w:rPr>
            </w:pPr>
            <w:r>
              <w:rPr>
                <w:rFonts w:hint="eastAsia" w:ascii="Calibri" w:hAnsi="Calibri" w:eastAsia="宋体" w:cs="Times New Roman"/>
                <w:b/>
                <w:bCs/>
                <w:color w:val="auto"/>
              </w:rPr>
              <w:t>图2-1  项目水平衡图   单位：m</w:t>
            </w:r>
            <w:r>
              <w:rPr>
                <w:rFonts w:hint="eastAsia" w:ascii="Calibri" w:hAnsi="Calibri" w:eastAsia="宋体" w:cs="Times New Roman"/>
                <w:b/>
                <w:bCs/>
                <w:color w:val="auto"/>
                <w:vertAlign w:val="superscript"/>
              </w:rPr>
              <w:t>3</w:t>
            </w:r>
            <w:r>
              <w:rPr>
                <w:rFonts w:hint="eastAsia" w:ascii="Calibri" w:hAnsi="Calibri" w:eastAsia="宋体" w:cs="Times New Roman"/>
                <w:b/>
                <w:bCs/>
                <w:color w:val="auto"/>
              </w:rPr>
              <w:t>/d</w:t>
            </w:r>
          </w:p>
          <w:p w14:paraId="2FC941A9">
            <w:pPr>
              <w:keepNext w:val="0"/>
              <w:keepLines w:val="0"/>
              <w:numPr>
                <w:ilvl w:val="0"/>
                <w:numId w:val="2"/>
              </w:numPr>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供电</w:t>
            </w:r>
          </w:p>
          <w:p w14:paraId="1C8DAAFB">
            <w:pPr>
              <w:keepNext w:val="0"/>
              <w:keepLines w:val="0"/>
              <w:suppressLineNumbers w:val="0"/>
              <w:adjustRightInd w:val="0"/>
              <w:snapToGrid w:val="0"/>
              <w:spacing w:before="0" w:beforeAutospacing="0" w:after="0" w:afterAutospacing="0" w:line="360" w:lineRule="auto"/>
              <w:ind w:left="420" w:leftChars="200" w:right="0"/>
              <w:rPr>
                <w:rFonts w:hint="eastAsia" w:ascii="Calibri" w:hAnsi="Calibri" w:eastAsia="宋体" w:cs="Times New Roman"/>
                <w:color w:val="auto"/>
                <w:sz w:val="24"/>
              </w:rPr>
            </w:pPr>
            <w:r>
              <w:rPr>
                <w:rFonts w:ascii="Calibri" w:hAnsi="Calibri" w:eastAsia="宋体" w:cs="Times New Roman"/>
                <w:color w:val="auto"/>
                <w:sz w:val="24"/>
              </w:rPr>
              <w:t>项目</w:t>
            </w:r>
            <w:r>
              <w:rPr>
                <w:rFonts w:hint="eastAsia" w:ascii="Calibri" w:hAnsi="Calibri" w:eastAsia="宋体" w:cs="Times New Roman"/>
                <w:color w:val="auto"/>
                <w:sz w:val="24"/>
              </w:rPr>
              <w:t>由防城区江山镇供电系统供给，供电有保障。项目不设柴油发电机。</w:t>
            </w:r>
          </w:p>
          <w:p w14:paraId="16056BE7">
            <w:pPr>
              <w:keepNext w:val="0"/>
              <w:keepLines w:val="0"/>
              <w:suppressLineNumbers w:val="0"/>
              <w:adjustRightInd w:val="0"/>
              <w:snapToGrid w:val="0"/>
              <w:spacing w:before="0" w:beforeAutospacing="0" w:after="0" w:afterAutospacing="0" w:line="360" w:lineRule="auto"/>
              <w:ind w:left="0" w:right="0" w:firstLine="482" w:firstLineChars="200"/>
              <w:rPr>
                <w:rFonts w:ascii="Calibri" w:hAnsi="Calibri" w:eastAsia="宋体" w:cs="Times New Roman"/>
                <w:b/>
                <w:bCs/>
                <w:color w:val="auto"/>
                <w:sz w:val="24"/>
              </w:rPr>
            </w:pPr>
            <w:r>
              <w:rPr>
                <w:rFonts w:hint="eastAsia" w:ascii="Calibri" w:hAnsi="Calibri" w:eastAsia="宋体" w:cs="Times New Roman"/>
                <w:b/>
                <w:bCs/>
                <w:color w:val="auto"/>
                <w:sz w:val="24"/>
              </w:rPr>
              <w:t>8、</w:t>
            </w:r>
            <w:r>
              <w:rPr>
                <w:rFonts w:ascii="Calibri" w:hAnsi="Calibri" w:eastAsia="宋体" w:cs="Times New Roman"/>
                <w:b/>
                <w:bCs/>
                <w:color w:val="auto"/>
                <w:sz w:val="24"/>
              </w:rPr>
              <w:t>劳动定员及工作制度</w:t>
            </w:r>
          </w:p>
          <w:p w14:paraId="7B9A1CDA">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ascii="Calibri" w:hAnsi="Calibri" w:eastAsia="宋体" w:cs="Times New Roman"/>
                <w:color w:val="auto"/>
                <w:sz w:val="24"/>
              </w:rPr>
              <w:t>劳动定员：</w:t>
            </w:r>
            <w:r>
              <w:rPr>
                <w:rFonts w:hint="eastAsia" w:ascii="Calibri" w:hAnsi="Calibri" w:eastAsia="宋体" w:cs="Times New Roman"/>
                <w:color w:val="auto"/>
                <w:sz w:val="24"/>
              </w:rPr>
              <w:t>劳动定员</w:t>
            </w:r>
            <w:r>
              <w:rPr>
                <w:rFonts w:ascii="Calibri" w:hAnsi="Calibri" w:eastAsia="宋体" w:cs="Times New Roman"/>
                <w:color w:val="auto"/>
                <w:sz w:val="24"/>
              </w:rPr>
              <w:t>共</w:t>
            </w:r>
            <w:r>
              <w:rPr>
                <w:rFonts w:hint="eastAsia" w:ascii="Calibri" w:hAnsi="Calibri" w:eastAsia="宋体" w:cs="Times New Roman"/>
                <w:color w:val="auto"/>
                <w:sz w:val="24"/>
              </w:rPr>
              <w:t>10</w:t>
            </w:r>
            <w:r>
              <w:rPr>
                <w:rFonts w:ascii="Calibri" w:hAnsi="Calibri" w:eastAsia="宋体" w:cs="Times New Roman"/>
                <w:color w:val="auto"/>
                <w:sz w:val="24"/>
              </w:rPr>
              <w:t>人，</w:t>
            </w:r>
            <w:r>
              <w:rPr>
                <w:rFonts w:hint="eastAsia" w:ascii="Calibri" w:hAnsi="Calibri" w:eastAsia="宋体" w:cs="Times New Roman"/>
                <w:color w:val="auto"/>
                <w:sz w:val="24"/>
              </w:rPr>
              <w:t>均不在厂区食宿</w:t>
            </w:r>
            <w:r>
              <w:rPr>
                <w:rFonts w:ascii="Calibri" w:hAnsi="Calibri" w:eastAsia="宋体" w:cs="Times New Roman"/>
                <w:color w:val="auto"/>
                <w:sz w:val="24"/>
              </w:rPr>
              <w:t>。</w:t>
            </w:r>
          </w:p>
          <w:p w14:paraId="651B8B23">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ascii="Calibri" w:hAnsi="Calibri" w:eastAsia="宋体" w:cs="Times New Roman"/>
                <w:color w:val="auto"/>
                <w:sz w:val="24"/>
              </w:rPr>
              <w:t>工作制度：年工作3</w:t>
            </w:r>
            <w:r>
              <w:rPr>
                <w:rFonts w:hint="eastAsia" w:ascii="Calibri" w:hAnsi="Calibri" w:eastAsia="宋体" w:cs="Times New Roman"/>
                <w:color w:val="auto"/>
                <w:sz w:val="24"/>
              </w:rPr>
              <w:t>0</w:t>
            </w:r>
            <w:r>
              <w:rPr>
                <w:rFonts w:ascii="Calibri" w:hAnsi="Calibri" w:eastAsia="宋体" w:cs="Times New Roman"/>
                <w:color w:val="auto"/>
                <w:sz w:val="24"/>
              </w:rPr>
              <w:t>0天，</w:t>
            </w:r>
            <w:r>
              <w:rPr>
                <w:rFonts w:hint="eastAsia" w:ascii="Calibri" w:hAnsi="Calibri" w:eastAsia="宋体" w:cs="Times New Roman"/>
                <w:color w:val="auto"/>
                <w:sz w:val="24"/>
              </w:rPr>
              <w:t>人工分拣工序</w:t>
            </w:r>
            <w:r>
              <w:rPr>
                <w:rFonts w:ascii="Calibri" w:hAnsi="Calibri" w:eastAsia="宋体" w:cs="Times New Roman"/>
                <w:color w:val="auto"/>
                <w:sz w:val="24"/>
              </w:rPr>
              <w:t>每天8小时</w:t>
            </w:r>
            <w:r>
              <w:rPr>
                <w:rFonts w:hint="eastAsia" w:ascii="Calibri" w:hAnsi="Calibri" w:eastAsia="宋体" w:cs="Times New Roman"/>
                <w:color w:val="auto"/>
                <w:sz w:val="24"/>
              </w:rPr>
              <w:t>，发酵车间每天24小时</w:t>
            </w:r>
            <w:r>
              <w:rPr>
                <w:rFonts w:ascii="Calibri" w:hAnsi="Calibri" w:eastAsia="宋体" w:cs="Times New Roman"/>
                <w:color w:val="auto"/>
                <w:sz w:val="24"/>
              </w:rPr>
              <w:t>。</w:t>
            </w:r>
          </w:p>
          <w:p w14:paraId="4212367F">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Calibri" w:hAnsi="Calibri" w:eastAsia="宋体" w:cs="Times New Roman"/>
                <w:b/>
                <w:bCs/>
                <w:color w:val="auto"/>
                <w:sz w:val="24"/>
              </w:rPr>
            </w:pPr>
            <w:r>
              <w:rPr>
                <w:rFonts w:hint="eastAsia" w:ascii="Calibri" w:hAnsi="Calibri" w:eastAsia="宋体" w:cs="Times New Roman"/>
                <w:b/>
                <w:bCs/>
                <w:color w:val="auto"/>
                <w:sz w:val="24"/>
              </w:rPr>
              <w:t>9、建设进度安排</w:t>
            </w:r>
          </w:p>
          <w:p w14:paraId="0930C5D0">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项目施工期为</w:t>
            </w:r>
            <w:r>
              <w:rPr>
                <w:rFonts w:hint="eastAsia" w:ascii="Calibri" w:hAnsi="Calibri" w:eastAsia="宋体" w:cs="Times New Roman"/>
                <w:color w:val="auto"/>
                <w:sz w:val="24"/>
              </w:rPr>
              <w:t>3</w:t>
            </w:r>
            <w:r>
              <w:rPr>
                <w:rFonts w:ascii="Calibri" w:hAnsi="Calibri" w:eastAsia="宋体" w:cs="Times New Roman"/>
                <w:color w:val="auto"/>
                <w:sz w:val="24"/>
              </w:rPr>
              <w:t>个月，202</w:t>
            </w:r>
            <w:r>
              <w:rPr>
                <w:rFonts w:hint="eastAsia" w:ascii="Calibri" w:hAnsi="Calibri" w:eastAsia="宋体" w:cs="Times New Roman"/>
                <w:color w:val="auto"/>
                <w:sz w:val="24"/>
              </w:rPr>
              <w:t>6</w:t>
            </w:r>
            <w:r>
              <w:rPr>
                <w:rFonts w:ascii="Calibri" w:hAnsi="Calibri" w:eastAsia="宋体" w:cs="Times New Roman"/>
                <w:color w:val="auto"/>
                <w:sz w:val="24"/>
              </w:rPr>
              <w:t>年</w:t>
            </w:r>
            <w:r>
              <w:rPr>
                <w:rFonts w:hint="eastAsia" w:ascii="Calibri" w:hAnsi="Calibri" w:eastAsia="宋体" w:cs="Times New Roman"/>
                <w:color w:val="auto"/>
                <w:sz w:val="24"/>
              </w:rPr>
              <w:t>4</w:t>
            </w:r>
            <w:r>
              <w:rPr>
                <w:rFonts w:ascii="Calibri" w:hAnsi="Calibri" w:eastAsia="宋体" w:cs="Times New Roman"/>
                <w:color w:val="auto"/>
                <w:sz w:val="24"/>
              </w:rPr>
              <w:t>月开始施工，202</w:t>
            </w:r>
            <w:r>
              <w:rPr>
                <w:rFonts w:hint="eastAsia" w:ascii="Calibri" w:hAnsi="Calibri" w:eastAsia="宋体" w:cs="Times New Roman"/>
                <w:color w:val="auto"/>
                <w:sz w:val="24"/>
              </w:rPr>
              <w:t>6</w:t>
            </w:r>
            <w:r>
              <w:rPr>
                <w:rFonts w:ascii="Calibri" w:hAnsi="Calibri" w:eastAsia="宋体" w:cs="Times New Roman"/>
                <w:color w:val="auto"/>
                <w:sz w:val="24"/>
              </w:rPr>
              <w:t>年</w:t>
            </w:r>
            <w:r>
              <w:rPr>
                <w:rFonts w:hint="eastAsia" w:ascii="Calibri" w:hAnsi="Calibri" w:eastAsia="宋体" w:cs="Times New Roman"/>
                <w:color w:val="auto"/>
                <w:sz w:val="24"/>
              </w:rPr>
              <w:t>6</w:t>
            </w:r>
            <w:r>
              <w:rPr>
                <w:rFonts w:ascii="Calibri" w:hAnsi="Calibri" w:eastAsia="宋体" w:cs="Times New Roman"/>
                <w:color w:val="auto"/>
                <w:sz w:val="24"/>
              </w:rPr>
              <w:t>月施工完成并投入使用。</w:t>
            </w:r>
          </w:p>
          <w:p w14:paraId="0066FDCE">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Calibri" w:hAnsi="Calibri" w:eastAsia="宋体" w:cs="Times New Roman"/>
                <w:b/>
                <w:bCs/>
                <w:color w:val="auto"/>
                <w:sz w:val="24"/>
              </w:rPr>
            </w:pPr>
            <w:r>
              <w:rPr>
                <w:rFonts w:hint="eastAsia" w:ascii="Calibri" w:hAnsi="Calibri" w:eastAsia="宋体" w:cs="Times New Roman"/>
                <w:b/>
                <w:bCs/>
                <w:color w:val="auto"/>
                <w:sz w:val="24"/>
              </w:rPr>
              <w:t>10、总平面布置</w:t>
            </w:r>
          </w:p>
          <w:p w14:paraId="4CEA5E00">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rPr>
            </w:pPr>
            <w:r>
              <w:rPr>
                <w:rFonts w:hint="eastAsia" w:ascii="Calibri" w:hAnsi="Calibri" w:eastAsia="宋体" w:cs="Times New Roman"/>
                <w:color w:val="auto"/>
                <w:sz w:val="24"/>
              </w:rPr>
              <w:t>项目根据工艺流程合理、顺畅、运输线路短捷等为原则进行总平布置。项目进出大门位于南面，进厂道路</w:t>
            </w:r>
            <w:r>
              <w:rPr>
                <w:rFonts w:hint="eastAsia" w:ascii="Calibri" w:hAnsi="Calibri" w:eastAsia="宋体" w:cs="Times New Roman"/>
                <w:color w:val="auto"/>
                <w:sz w:val="24"/>
                <w:lang w:eastAsia="zh-CN"/>
              </w:rPr>
              <w:t>与</w:t>
            </w:r>
            <w:r>
              <w:rPr>
                <w:rFonts w:hint="eastAsia" w:ascii="Calibri" w:hAnsi="Calibri" w:eastAsia="宋体" w:cs="Times New Roman"/>
                <w:color w:val="auto"/>
                <w:sz w:val="24"/>
              </w:rPr>
              <w:t>省道S325相交，原料及产品运输方便。项目北面地块为原料间（分别布设废豆粕原料区、生活垃圾区）、分拣间；中间偏西地块为成品间，分别布设废塑料成品区、废金属碎屑成品区、生物肥料成品区；东面地块为发酵间；生活办公区设于南面，距离生产区较远，一定程度上降低项目运营时废气对员工的影响。项目各建筑物科学分布，项目总平面图布置图，见附图2。</w:t>
            </w:r>
          </w:p>
        </w:tc>
      </w:tr>
      <w:tr w14:paraId="77DA0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8" w:hRule="atLeast"/>
          <w:jc w:val="center"/>
        </w:trPr>
        <w:tc>
          <w:tcPr>
            <w:tcW w:w="456" w:type="dxa"/>
            <w:noWrap w:val="0"/>
            <w:vAlign w:val="center"/>
          </w:tcPr>
          <w:p w14:paraId="124302DB">
            <w:pPr>
              <w:pStyle w:val="22"/>
              <w:keepNext w:val="0"/>
              <w:keepLines w:val="0"/>
              <w:suppressLineNumbers w:val="0"/>
              <w:adjustRightInd w:val="0"/>
              <w:snapToGrid w:val="0"/>
              <w:spacing w:before="0" w:beforeAutospacing="0" w:after="0" w:afterAutospacing="0"/>
              <w:ind w:left="0" w:right="0"/>
              <w:jc w:val="center"/>
              <w:rPr>
                <w:rFonts w:eastAsia="宋体" w:cs="宋体"/>
                <w:color w:val="auto"/>
                <w:szCs w:val="24"/>
              </w:rPr>
            </w:pPr>
            <w:r>
              <w:rPr>
                <w:rFonts w:hint="eastAsia" w:eastAsia="宋体" w:cs="宋体"/>
                <w:color w:val="auto"/>
                <w:szCs w:val="24"/>
              </w:rPr>
              <w:t>工艺流程和产排污环节</w:t>
            </w:r>
          </w:p>
        </w:tc>
        <w:tc>
          <w:tcPr>
            <w:tcW w:w="9038" w:type="dxa"/>
            <w:noWrap w:val="0"/>
            <w:vAlign w:val="top"/>
          </w:tcPr>
          <w:p w14:paraId="7D70BBAA">
            <w:pPr>
              <w:keepNext w:val="0"/>
              <w:keepLines w:val="0"/>
              <w:suppressLineNumbers w:val="0"/>
              <w:adjustRightInd w:val="0"/>
              <w:snapToGrid w:val="0"/>
              <w:spacing w:before="0" w:beforeAutospacing="0" w:after="0" w:afterAutospacing="0" w:line="360" w:lineRule="auto"/>
              <w:ind w:left="0" w:right="0" w:firstLine="482"/>
              <w:rPr>
                <w:rFonts w:ascii="Times New Roman" w:hAnsi="Times New Roman" w:eastAsia="宋体" w:cs="Times New Roman"/>
                <w:b/>
                <w:bCs/>
                <w:color w:val="auto"/>
                <w:sz w:val="24"/>
              </w:rPr>
            </w:pPr>
            <w:r>
              <w:rPr>
                <w:rFonts w:ascii="Times New Roman" w:hAnsi="Times New Roman" w:eastAsia="宋体" w:cs="Times New Roman"/>
                <w:b/>
                <w:bCs/>
                <w:color w:val="auto"/>
                <w:sz w:val="24"/>
              </w:rPr>
              <w:t>一、施工期</w:t>
            </w:r>
          </w:p>
          <w:p w14:paraId="6C0CCF9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w:t>
            </w:r>
            <w:r>
              <w:rPr>
                <w:rFonts w:hint="eastAsia" w:ascii="Calibri" w:hAnsi="Calibri" w:eastAsia="宋体" w:cs="Times New Roman"/>
                <w:color w:val="auto"/>
                <w:sz w:val="24"/>
              </w:rPr>
              <w:t>施工期主要建设包括地块平整、工程建设（体工程、储运工程、辅助工程、环保工程等）、设备安装、竣工验收。本项目</w:t>
            </w:r>
            <w:r>
              <w:rPr>
                <w:rFonts w:hint="eastAsia" w:ascii="Times New Roman" w:hAnsi="Times New Roman" w:eastAsia="宋体" w:cs="Times New Roman"/>
                <w:color w:val="auto"/>
                <w:sz w:val="24"/>
              </w:rPr>
              <w:t>施工期工艺流程见图2-2。</w:t>
            </w:r>
          </w:p>
          <w:p w14:paraId="765E05F3">
            <w:pPr>
              <w:pStyle w:val="41"/>
              <w:keepNext w:val="0"/>
              <w:keepLines w:val="0"/>
              <w:suppressLineNumbers w:val="0"/>
              <w:spacing w:before="0" w:beforeAutospacing="0" w:after="0" w:afterAutospacing="0"/>
              <w:ind w:left="0" w:right="0"/>
              <w:jc w:val="center"/>
              <w:rPr>
                <w:rFonts w:hint="eastAsia" w:ascii="Times New Roman" w:cs="Times New Roman"/>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483235</wp:posOffset>
                      </wp:positionH>
                      <wp:positionV relativeFrom="paragraph">
                        <wp:posOffset>97155</wp:posOffset>
                      </wp:positionV>
                      <wp:extent cx="1095375" cy="295275"/>
                      <wp:effectExtent l="4445" t="4445" r="5080" b="5080"/>
                      <wp:wrapNone/>
                      <wp:docPr id="17" name="文本框 17"/>
                      <wp:cNvGraphicFramePr/>
                      <a:graphic xmlns:a="http://schemas.openxmlformats.org/drawingml/2006/main">
                        <a:graphicData uri="http://schemas.microsoft.com/office/word/2010/wordprocessingShape">
                          <wps:wsp>
                            <wps:cNvSpPr txBox="1"/>
                            <wps:spPr>
                              <a:xfrm>
                                <a:off x="3065780" y="2406650"/>
                                <a:ext cx="1095375" cy="295275"/>
                              </a:xfrm>
                              <a:prstGeom prst="rect">
                                <a:avLst/>
                              </a:prstGeom>
                              <a:solidFill>
                                <a:srgbClr val="FFFFFF"/>
                              </a:solidFill>
                              <a:ln w="6350">
                                <a:solidFill>
                                  <a:prstClr val="black"/>
                                </a:solidFill>
                              </a:ln>
                              <a:effectLst/>
                            </wps:spPr>
                            <wps:txbx>
                              <w:txbxContent>
                                <w:p w14:paraId="4C8A0BF7">
                                  <w:pPr>
                                    <w:jc w:val="center"/>
                                    <w:rPr>
                                      <w:sz w:val="18"/>
                                      <w:szCs w:val="18"/>
                                    </w:rPr>
                                  </w:pPr>
                                  <w:r>
                                    <w:rPr>
                                      <w:rFonts w:hint="eastAsia"/>
                                      <w:sz w:val="18"/>
                                      <w:szCs w:val="18"/>
                                    </w:rPr>
                                    <w:t>地块平整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5pt;margin-top:7.65pt;height:23.25pt;width:86.25pt;z-index:251660288;mso-width-relative:page;mso-height-relative:page;" fillcolor="#FFFFFF" filled="t" stroked="t" coordsize="21600,21600" o:gfxdata="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9rZRmdUAAAAIAQAADwAAAAAAAAABACAAAAAiAAAAZHJzL2Rvd25yZXYueG1sUEsB&#10;AhQAFAAAAAgAh07iQKxJM+FqAgAA0wQAAA4AAAAAAAAAAQAgAAAAJAEAAGRycy9lMm9Eb2MueG1s&#10;UEsFBgAAAAAGAAYAWQEAAAAGAAAAAA==&#10;">
                      <v:fill on="t" focussize="0,0"/>
                      <v:stroke weight="0.5pt" color="#000000" joinstyle="round"/>
                      <v:imagedata o:title=""/>
                      <o:lock v:ext="edit" aspectratio="f"/>
                      <v:textbox>
                        <w:txbxContent>
                          <w:p w14:paraId="4C8A0BF7">
                            <w:pPr>
                              <w:jc w:val="center"/>
                              <w:rPr>
                                <w:sz w:val="18"/>
                                <w:szCs w:val="18"/>
                              </w:rPr>
                            </w:pPr>
                            <w:r>
                              <w:rPr>
                                <w:rFonts w:hint="eastAsia"/>
                                <w:sz w:val="18"/>
                                <w:szCs w:val="18"/>
                              </w:rPr>
                              <w:t>地块平整</w:t>
                            </w:r>
                          </w:p>
                        </w:txbxContent>
                      </v:textbox>
                    </v:shape>
                  </w:pict>
                </mc:Fallback>
              </mc:AlternateContent>
            </w: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339725</wp:posOffset>
                      </wp:positionH>
                      <wp:positionV relativeFrom="paragraph">
                        <wp:posOffset>74930</wp:posOffset>
                      </wp:positionV>
                      <wp:extent cx="1229360" cy="342900"/>
                      <wp:effectExtent l="0" t="0" r="8890" b="0"/>
                      <wp:wrapNone/>
                      <wp:docPr id="16" name="矩形 16"/>
                      <wp:cNvGraphicFramePr/>
                      <a:graphic xmlns:a="http://schemas.openxmlformats.org/drawingml/2006/main">
                        <a:graphicData uri="http://schemas.microsoft.com/office/word/2010/wordprocessingShape">
                          <wps:wsp>
                            <wps:cNvSpPr/>
                            <wps:spPr>
                              <a:xfrm>
                                <a:off x="1294130" y="3692525"/>
                                <a:ext cx="1304925" cy="3429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5pt;margin-top:5.9pt;height:27pt;width:96.8pt;z-index:251659264;v-text-anchor:middle;mso-width-relative:page;mso-height-relative:page;" fillcolor="#FFFFFF" filled="t" stroked="f" coordsize="21600,21600" o:gfxdata="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YECuTUAAAACAEAAA8AAAAAAAAAAQAgAAAAIgAAAGRycy9kb3ducmV2Lnht&#10;bFBLAQIUABQAAAAIAIdO4kBiZilXbwIAANAEAAAOAAAAAAAAAAEAIAAAACMBAABkcnMvZTJvRG9j&#10;LnhtbFBLBQYAAAAABgAGAFkBAAAEBgAAAAA=&#10;">
                      <v:fill on="t" focussize="0,0"/>
                      <v:stroke on="f" weight="2pt"/>
                      <v:imagedata o:title=""/>
                      <o:lock v:ext="edit" aspectratio="f"/>
                    </v:rect>
                  </w:pict>
                </mc:Fallback>
              </mc:AlternateContent>
            </w:r>
            <w:r>
              <w:rPr>
                <w:color w:val="auto"/>
              </w:rPr>
              <w:drawing>
                <wp:inline distT="0" distB="0" distL="114300" distR="114300">
                  <wp:extent cx="4918075" cy="1050925"/>
                  <wp:effectExtent l="0" t="0" r="15875" b="1587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18"/>
                          <a:stretch>
                            <a:fillRect/>
                          </a:stretch>
                        </pic:blipFill>
                        <pic:spPr>
                          <a:xfrm>
                            <a:off x="0" y="0"/>
                            <a:ext cx="4918075" cy="1050925"/>
                          </a:xfrm>
                          <a:prstGeom prst="rect">
                            <a:avLst/>
                          </a:prstGeom>
                          <a:solidFill>
                            <a:srgbClr val="FFFFFF"/>
                          </a:solidFill>
                          <a:ln>
                            <a:noFill/>
                          </a:ln>
                          <a:effectLst/>
                        </pic:spPr>
                      </pic:pic>
                    </a:graphicData>
                  </a:graphic>
                </wp:inline>
              </w:drawing>
            </w:r>
          </w:p>
          <w:p w14:paraId="3C58CACA">
            <w:pPr>
              <w:pStyle w:val="43"/>
              <w:keepNext w:val="0"/>
              <w:keepLines w:val="0"/>
              <w:suppressLineNumbers w:val="0"/>
              <w:spacing w:before="0" w:beforeAutospacing="0" w:after="0" w:afterAutospacing="0"/>
              <w:ind w:right="0"/>
              <w:rPr>
                <w:rFonts w:hint="eastAsia" w:ascii="Times New Roman" w:hAnsi="Times New Roman" w:eastAsia="宋体" w:cs="Times New Roman"/>
                <w:color w:val="auto"/>
                <w:sz w:val="24"/>
                <w:szCs w:val="24"/>
              </w:rPr>
            </w:pPr>
          </w:p>
          <w:p w14:paraId="07A53242">
            <w:pPr>
              <w:keepNext w:val="0"/>
              <w:keepLines w:val="0"/>
              <w:suppressLineNumbers w:val="0"/>
              <w:snapToGrid w:val="0"/>
              <w:spacing w:before="0" w:beforeAutospacing="0" w:after="0" w:afterAutospacing="0"/>
              <w:ind w:left="0" w:right="0"/>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图</w:t>
            </w:r>
            <w:r>
              <w:rPr>
                <w:rFonts w:hint="eastAsia" w:ascii="Times New Roman" w:hAnsi="Times New Roman" w:eastAsia="宋体" w:cs="Times New Roman"/>
                <w:b/>
                <w:bCs/>
                <w:color w:val="auto"/>
                <w:sz w:val="24"/>
              </w:rPr>
              <w:t>2-2</w:t>
            </w:r>
            <w:r>
              <w:rPr>
                <w:rFonts w:ascii="Times New Roman" w:hAnsi="Times New Roman" w:eastAsia="宋体" w:cs="Times New Roman"/>
                <w:b/>
                <w:bCs/>
                <w:color w:val="auto"/>
                <w:sz w:val="24"/>
              </w:rPr>
              <w:t xml:space="preserve">  项目施工期工艺流程及产污环节</w:t>
            </w:r>
          </w:p>
          <w:p w14:paraId="383AE39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二、运营期</w:t>
            </w:r>
          </w:p>
          <w:p w14:paraId="268875E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项目运营期工艺流程见图2-3。</w:t>
            </w:r>
          </w:p>
          <w:p w14:paraId="14EA5F33">
            <w:pPr>
              <w:keepNext w:val="0"/>
              <w:keepLines w:val="0"/>
              <w:suppressLineNumbers w:val="0"/>
              <w:spacing w:before="0" w:beforeAutospacing="0" w:after="0" w:afterAutospacing="0"/>
              <w:ind w:left="0" w:right="105" w:rightChars="50"/>
              <w:jc w:val="center"/>
              <w:rPr>
                <w:rFonts w:ascii="Calibri" w:hAnsi="Calibri" w:eastAsia="宋体" w:cs="Times New Roman"/>
                <w:color w:val="auto"/>
                <w:sz w:val="24"/>
              </w:rPr>
            </w:pPr>
            <w:r>
              <w:rPr>
                <w:rFonts w:ascii="Calibri" w:hAnsi="Calibri" w:eastAsia="宋体" w:cs="Times New Roman"/>
                <w:color w:val="auto"/>
                <w:sz w:val="24"/>
              </w:rPr>
              <w:object>
                <v:shape id="_x0000_i1026" o:spt="75" type="#_x0000_t75" style="height:248pt;width:329pt;" o:ole="t" filled="f" o:preferrelative="t" stroked="f" coordsize="21600,21600">
                  <v:path/>
                  <v:fill on="f" focussize="0,0"/>
                  <v:stroke on="f"/>
                  <v:imagedata r:id="rId20" o:title=""/>
                  <o:lock v:ext="edit" aspectratio="f"/>
                  <w10:wrap type="none"/>
                  <w10:anchorlock/>
                </v:shape>
                <o:OLEObject Type="Embed" ProgID="Visio.Drawing.11" ShapeID="_x0000_i1026" DrawAspect="Content" ObjectID="_1468075726" r:id="rId19">
                  <o:LockedField>false</o:LockedField>
                </o:OLEObject>
              </w:object>
            </w:r>
          </w:p>
          <w:p w14:paraId="685E6E61">
            <w:pPr>
              <w:keepNext w:val="0"/>
              <w:keepLines w:val="0"/>
              <w:suppressLineNumbers w:val="0"/>
              <w:spacing w:before="0" w:beforeAutospacing="0" w:after="0" w:afterAutospacing="0"/>
              <w:ind w:left="0" w:right="105" w:rightChars="50"/>
              <w:jc w:val="center"/>
              <w:rPr>
                <w:rFonts w:ascii="Calibri" w:hAnsi="Calibri" w:eastAsia="宋体" w:cs="Times New Roman"/>
                <w:b/>
                <w:color w:val="auto"/>
                <w:sz w:val="24"/>
              </w:rPr>
            </w:pPr>
            <w:r>
              <w:rPr>
                <w:rFonts w:ascii="Calibri" w:hAnsi="Calibri" w:eastAsia="宋体" w:cs="Times New Roman"/>
                <w:b/>
                <w:color w:val="auto"/>
                <w:sz w:val="24"/>
              </w:rPr>
              <w:t>图</w:t>
            </w:r>
            <w:r>
              <w:rPr>
                <w:rFonts w:hint="eastAsia" w:ascii="Calibri" w:hAnsi="Calibri" w:eastAsia="宋体" w:cs="Times New Roman"/>
                <w:b/>
                <w:color w:val="auto"/>
                <w:sz w:val="24"/>
              </w:rPr>
              <w:t>2-3</w:t>
            </w:r>
            <w:r>
              <w:rPr>
                <w:rFonts w:ascii="Calibri" w:hAnsi="Calibri" w:eastAsia="宋体" w:cs="Times New Roman"/>
                <w:b/>
                <w:color w:val="auto"/>
                <w:sz w:val="24"/>
              </w:rPr>
              <w:t xml:space="preserve"> 项目运营期工艺流程及产污环节图</w:t>
            </w:r>
          </w:p>
          <w:p w14:paraId="37342171">
            <w:pPr>
              <w:keepNext w:val="0"/>
              <w:keepLines w:val="0"/>
              <w:suppressLineNumbers w:val="0"/>
              <w:adjustRightInd w:val="0"/>
              <w:spacing w:before="0" w:beforeAutospacing="0" w:after="0" w:afterAutospacing="0" w:line="440" w:lineRule="exact"/>
              <w:ind w:left="0" w:right="0" w:firstLine="480" w:firstLineChars="200"/>
              <w:contextualSpacing/>
              <w:rPr>
                <w:rFonts w:ascii="Calibri" w:hAnsi="Calibri" w:eastAsia="宋体" w:cs="Times New Roman"/>
                <w:bCs/>
                <w:color w:val="auto"/>
                <w:sz w:val="24"/>
              </w:rPr>
            </w:pPr>
            <w:r>
              <w:rPr>
                <w:rFonts w:ascii="Calibri" w:hAnsi="Calibri" w:eastAsia="宋体" w:cs="Times New Roman"/>
                <w:bCs/>
                <w:color w:val="auto"/>
                <w:sz w:val="24"/>
              </w:rPr>
              <w:t>工艺流程简述</w:t>
            </w:r>
            <w:r>
              <w:rPr>
                <w:rFonts w:hint="eastAsia" w:ascii="Calibri" w:hAnsi="Calibri" w:eastAsia="宋体" w:cs="Times New Roman"/>
                <w:bCs/>
                <w:color w:val="auto"/>
                <w:sz w:val="24"/>
              </w:rPr>
              <w:t>：</w:t>
            </w:r>
          </w:p>
          <w:p w14:paraId="36826365">
            <w:pPr>
              <w:pStyle w:val="44"/>
              <w:keepNext w:val="0"/>
              <w:keepLines w:val="0"/>
              <w:suppressLineNumbers w:val="0"/>
              <w:spacing w:before="0" w:beforeAutospacing="0" w:after="0" w:afterAutospacing="0" w:line="440" w:lineRule="exact"/>
              <w:ind w:left="0" w:right="0" w:firstLine="480"/>
              <w:rPr>
                <w:rFonts w:hint="eastAsia" w:ascii="Calibri" w:hAnsi="宋体" w:eastAsia="宋体" w:cs="Times New Roman"/>
                <w:color w:val="auto"/>
              </w:rPr>
            </w:pPr>
            <w:r>
              <w:rPr>
                <w:rFonts w:hint="eastAsia" w:ascii="Calibri" w:hAnsi="宋体" w:eastAsia="宋体" w:cs="Times New Roman"/>
                <w:color w:val="auto"/>
              </w:rPr>
              <w:t>项目从粮油企业外购废弃物（主要是废豆粕、生活垃圾等），将生活垃圾进行分拣塑料、废金属碎屑等后，剩下餐厨垃圾（剩饭菜、果皮、菜叶等厨余）采用铲车封闭式运至发酵间；原料废豆粕采用吨袋包装，采用叉车运输至发酵间。餐厨垃圾和废豆粕采用翻抛机混合后，采用高温好氧发酵工艺进行生物堆肥，当温度升高至45～55℃时使用翻抛机翻堆整个发酵料，翻料机具有破碎功能，强制提高通风性，调节发酵料温度，利用翻料及原料发酵过程中产生的热量蒸发多余的水分，在适宜条件下发酵30天左右，发酵后的物料含水率≤40%，发酵完成后采用铲车封闭式运输至成品堆场，打包后外售。</w:t>
            </w:r>
          </w:p>
          <w:p w14:paraId="44370FA6">
            <w:pPr>
              <w:pStyle w:val="44"/>
              <w:keepNext w:val="0"/>
              <w:keepLines w:val="0"/>
              <w:suppressLineNumbers w:val="0"/>
              <w:spacing w:before="0" w:beforeAutospacing="0" w:after="0" w:afterAutospacing="0" w:line="440" w:lineRule="exact"/>
              <w:ind w:left="0" w:right="0" w:firstLine="482"/>
              <w:rPr>
                <w:rFonts w:hint="eastAsia" w:ascii="Calibri" w:hAnsi="宋体" w:eastAsia="宋体" w:cs="Times New Roman"/>
                <w:b/>
                <w:bCs/>
                <w:color w:val="auto"/>
              </w:rPr>
            </w:pPr>
            <w:r>
              <w:rPr>
                <w:rFonts w:hint="eastAsia" w:ascii="Calibri" w:hAnsi="宋体" w:eastAsia="宋体" w:cs="Times New Roman"/>
                <w:b/>
                <w:bCs/>
                <w:color w:val="auto"/>
              </w:rPr>
              <w:t>产污环节：</w:t>
            </w:r>
          </w:p>
          <w:p w14:paraId="68DF0C8E">
            <w:pPr>
              <w:keepNext w:val="0"/>
              <w:keepLines w:val="0"/>
              <w:suppressLineNumbers w:val="0"/>
              <w:spacing w:before="0" w:beforeAutospacing="0" w:after="0" w:afterAutospacing="0"/>
              <w:ind w:left="0" w:right="0" w:firstLine="482" w:firstLineChars="200"/>
              <w:jc w:val="center"/>
              <w:rPr>
                <w:rFonts w:hint="eastAsia" w:ascii="Calibri" w:hAnsi="Calibri" w:eastAsia="宋体" w:cs="Times New Roman"/>
                <w:b/>
                <w:bCs/>
                <w:color w:val="auto"/>
                <w:sz w:val="24"/>
              </w:rPr>
            </w:pPr>
            <w:r>
              <w:rPr>
                <w:rFonts w:hint="eastAsia" w:ascii="Calibri" w:hAnsi="Calibri" w:eastAsia="宋体" w:cs="Times New Roman"/>
                <w:b/>
                <w:bCs/>
                <w:color w:val="auto"/>
                <w:sz w:val="24"/>
              </w:rPr>
              <w:t>表2-6   项目运营期产污环节一览表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3501"/>
              <w:gridCol w:w="4027"/>
            </w:tblGrid>
            <w:tr w14:paraId="6168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26" w:type="pct"/>
                  <w:noWrap w:val="0"/>
                  <w:vAlign w:val="center"/>
                </w:tcPr>
                <w:p w14:paraId="7C50EEA0">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污染类别</w:t>
                  </w:r>
                </w:p>
              </w:tc>
              <w:tc>
                <w:tcPr>
                  <w:tcW w:w="1987" w:type="pct"/>
                  <w:noWrap w:val="0"/>
                  <w:vAlign w:val="center"/>
                </w:tcPr>
                <w:p w14:paraId="7EDDC808">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产生装置/工序</w:t>
                  </w:r>
                </w:p>
              </w:tc>
              <w:tc>
                <w:tcPr>
                  <w:tcW w:w="2286" w:type="pct"/>
                  <w:noWrap w:val="0"/>
                  <w:vAlign w:val="center"/>
                </w:tcPr>
                <w:p w14:paraId="4C46DCD9">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主要污染因子</w:t>
                  </w:r>
                </w:p>
              </w:tc>
            </w:tr>
            <w:tr w14:paraId="1C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6" w:type="pct"/>
                  <w:noWrap w:val="0"/>
                  <w:vAlign w:val="center"/>
                </w:tcPr>
                <w:p w14:paraId="1582A051">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废气</w:t>
                  </w:r>
                </w:p>
              </w:tc>
              <w:tc>
                <w:tcPr>
                  <w:tcW w:w="1987" w:type="pct"/>
                  <w:noWrap w:val="0"/>
                  <w:vAlign w:val="center"/>
                </w:tcPr>
                <w:p w14:paraId="1B02A0D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发酵工序</w:t>
                  </w:r>
                </w:p>
              </w:tc>
              <w:tc>
                <w:tcPr>
                  <w:tcW w:w="2286" w:type="pct"/>
                  <w:noWrap w:val="0"/>
                  <w:vAlign w:val="center"/>
                </w:tcPr>
                <w:p w14:paraId="1A4A833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氨、硫化氢、臭气浓度</w:t>
                  </w:r>
                </w:p>
              </w:tc>
            </w:tr>
            <w:tr w14:paraId="12BC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6" w:type="pct"/>
                  <w:noWrap w:val="0"/>
                  <w:vAlign w:val="center"/>
                </w:tcPr>
                <w:p w14:paraId="18923EC1">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废水</w:t>
                  </w:r>
                </w:p>
              </w:tc>
              <w:tc>
                <w:tcPr>
                  <w:tcW w:w="1987" w:type="pct"/>
                  <w:noWrap w:val="0"/>
                  <w:vAlign w:val="center"/>
                </w:tcPr>
                <w:p w14:paraId="1307E86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生活污水</w:t>
                  </w:r>
                </w:p>
              </w:tc>
              <w:tc>
                <w:tcPr>
                  <w:tcW w:w="2286" w:type="pct"/>
                  <w:noWrap w:val="0"/>
                  <w:vAlign w:val="center"/>
                </w:tcPr>
                <w:p w14:paraId="430A5466">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CODcr、BOD</w:t>
                  </w:r>
                  <w:r>
                    <w:rPr>
                      <w:rFonts w:hint="eastAsia" w:ascii="Calibri" w:hAnsi="Calibri" w:eastAsia="宋体" w:cs="Times New Roman"/>
                      <w:color w:val="auto"/>
                      <w:szCs w:val="21"/>
                      <w:vertAlign w:val="subscript"/>
                    </w:rPr>
                    <w:t>5</w:t>
                  </w:r>
                  <w:r>
                    <w:rPr>
                      <w:rFonts w:hint="eastAsia" w:ascii="Calibri" w:hAnsi="Calibri" w:eastAsia="宋体" w:cs="Times New Roman"/>
                      <w:color w:val="auto"/>
                      <w:szCs w:val="21"/>
                    </w:rPr>
                    <w:t>、NH</w:t>
                  </w:r>
                  <w:r>
                    <w:rPr>
                      <w:rFonts w:hint="eastAsia" w:ascii="Calibri" w:hAnsi="Calibri" w:eastAsia="宋体" w:cs="Times New Roman"/>
                      <w:color w:val="auto"/>
                      <w:szCs w:val="21"/>
                      <w:vertAlign w:val="subscript"/>
                    </w:rPr>
                    <w:t>3</w:t>
                  </w:r>
                  <w:r>
                    <w:rPr>
                      <w:rFonts w:hint="eastAsia" w:ascii="Calibri" w:hAnsi="Calibri" w:eastAsia="宋体" w:cs="Times New Roman"/>
                      <w:color w:val="auto"/>
                      <w:szCs w:val="21"/>
                    </w:rPr>
                    <w:t>-N、SS、Tp</w:t>
                  </w:r>
                </w:p>
              </w:tc>
            </w:tr>
            <w:tr w14:paraId="2493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6" w:type="pct"/>
                  <w:noWrap w:val="0"/>
                  <w:vAlign w:val="center"/>
                </w:tcPr>
                <w:p w14:paraId="65C544D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噪声</w:t>
                  </w:r>
                </w:p>
              </w:tc>
              <w:tc>
                <w:tcPr>
                  <w:tcW w:w="1987" w:type="pct"/>
                  <w:noWrap w:val="0"/>
                  <w:vAlign w:val="center"/>
                </w:tcPr>
                <w:p w14:paraId="607FE25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各运行设备</w:t>
                  </w:r>
                </w:p>
              </w:tc>
              <w:tc>
                <w:tcPr>
                  <w:tcW w:w="2286" w:type="pct"/>
                  <w:noWrap w:val="0"/>
                  <w:vAlign w:val="center"/>
                </w:tcPr>
                <w:p w14:paraId="2488314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噪声</w:t>
                  </w:r>
                </w:p>
              </w:tc>
            </w:tr>
            <w:tr w14:paraId="7B26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26" w:type="pct"/>
                  <w:vMerge w:val="restart"/>
                  <w:noWrap w:val="0"/>
                  <w:vAlign w:val="center"/>
                </w:tcPr>
                <w:p w14:paraId="3A3D575E">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固废</w:t>
                  </w:r>
                </w:p>
              </w:tc>
              <w:tc>
                <w:tcPr>
                  <w:tcW w:w="1987" w:type="pct"/>
                  <w:noWrap w:val="0"/>
                  <w:vAlign w:val="center"/>
                </w:tcPr>
                <w:p w14:paraId="7317350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原料拆包、成品包装</w:t>
                  </w:r>
                </w:p>
              </w:tc>
              <w:tc>
                <w:tcPr>
                  <w:tcW w:w="2286" w:type="pct"/>
                  <w:noWrap w:val="0"/>
                  <w:vAlign w:val="center"/>
                </w:tcPr>
                <w:p w14:paraId="72BF03D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rPr>
                    <w:t>废弃包装物</w:t>
                  </w:r>
                </w:p>
              </w:tc>
            </w:tr>
            <w:tr w14:paraId="4FFC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26" w:type="pct"/>
                  <w:vMerge w:val="continue"/>
                  <w:noWrap w:val="0"/>
                  <w:vAlign w:val="center"/>
                </w:tcPr>
                <w:p w14:paraId="726B9DF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987" w:type="pct"/>
                  <w:noWrap w:val="0"/>
                  <w:vAlign w:val="center"/>
                </w:tcPr>
                <w:p w14:paraId="477C2DCA">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人工分拣工序</w:t>
                  </w:r>
                </w:p>
              </w:tc>
              <w:tc>
                <w:tcPr>
                  <w:tcW w:w="2286" w:type="pct"/>
                  <w:noWrap w:val="0"/>
                  <w:vAlign w:val="center"/>
                </w:tcPr>
                <w:p w14:paraId="173DF2F9">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木块、玻璃等</w:t>
                  </w:r>
                </w:p>
              </w:tc>
            </w:tr>
            <w:tr w14:paraId="6C74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26" w:type="pct"/>
                  <w:vMerge w:val="continue"/>
                  <w:noWrap w:val="0"/>
                  <w:vAlign w:val="center"/>
                </w:tcPr>
                <w:p w14:paraId="75BC0902">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987" w:type="pct"/>
                  <w:noWrap w:val="0"/>
                  <w:vAlign w:val="center"/>
                </w:tcPr>
                <w:p w14:paraId="0DDED5D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办公</w:t>
                  </w:r>
                </w:p>
              </w:tc>
              <w:tc>
                <w:tcPr>
                  <w:tcW w:w="2286" w:type="pct"/>
                  <w:noWrap w:val="0"/>
                  <w:vAlign w:val="center"/>
                </w:tcPr>
                <w:p w14:paraId="5BB2D8ED">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生活垃圾</w:t>
                  </w:r>
                </w:p>
              </w:tc>
            </w:tr>
            <w:tr w14:paraId="209F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pct"/>
                  <w:vMerge w:val="continue"/>
                  <w:noWrap w:val="0"/>
                  <w:vAlign w:val="center"/>
                </w:tcPr>
                <w:p w14:paraId="7EA0491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987" w:type="pct"/>
                  <w:vMerge w:val="restart"/>
                  <w:noWrap w:val="0"/>
                  <w:vAlign w:val="center"/>
                </w:tcPr>
                <w:p w14:paraId="045C69E2">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设备保养、维修</w:t>
                  </w:r>
                </w:p>
              </w:tc>
              <w:tc>
                <w:tcPr>
                  <w:tcW w:w="2286" w:type="pct"/>
                  <w:noWrap w:val="0"/>
                  <w:vAlign w:val="center"/>
                </w:tcPr>
                <w:p w14:paraId="7C641177">
                  <w:pPr>
                    <w:keepNext w:val="0"/>
                    <w:keepLines w:val="0"/>
                    <w:suppressLineNumbers w:val="0"/>
                    <w:spacing w:before="0" w:beforeAutospacing="0" w:after="0" w:afterAutospacing="0" w:line="264" w:lineRule="auto"/>
                    <w:ind w:left="0" w:right="0"/>
                    <w:jc w:val="center"/>
                    <w:rPr>
                      <w:rFonts w:hint="eastAsia" w:ascii="Calibri" w:hAnsi="Calibri" w:eastAsia="宋体" w:cs="Times New Roman"/>
                      <w:color w:val="auto"/>
                      <w:szCs w:val="21"/>
                    </w:rPr>
                  </w:pPr>
                  <w:r>
                    <w:rPr>
                      <w:rFonts w:hint="eastAsia" w:ascii="Calibri" w:hAnsi="Calibri" w:eastAsia="宋体" w:cs="Times New Roman"/>
                      <w:color w:val="auto"/>
                    </w:rPr>
                    <w:t>废机油</w:t>
                  </w:r>
                </w:p>
              </w:tc>
            </w:tr>
            <w:tr w14:paraId="6BB7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6" w:type="pct"/>
                  <w:vMerge w:val="continue"/>
                  <w:noWrap w:val="0"/>
                  <w:vAlign w:val="center"/>
                </w:tcPr>
                <w:p w14:paraId="4333303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987" w:type="pct"/>
                  <w:vMerge w:val="continue"/>
                  <w:noWrap w:val="0"/>
                  <w:vAlign w:val="center"/>
                </w:tcPr>
                <w:p w14:paraId="4C912C5A">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2286" w:type="pct"/>
                  <w:noWrap w:val="0"/>
                  <w:vAlign w:val="center"/>
                </w:tcPr>
                <w:p w14:paraId="0270291D">
                  <w:pPr>
                    <w:keepNext w:val="0"/>
                    <w:keepLines w:val="0"/>
                    <w:suppressLineNumbers w:val="0"/>
                    <w:spacing w:before="0" w:beforeAutospacing="0" w:after="0" w:afterAutospacing="0" w:line="264" w:lineRule="auto"/>
                    <w:ind w:left="0" w:right="0"/>
                    <w:jc w:val="center"/>
                    <w:rPr>
                      <w:rFonts w:hint="eastAsia" w:ascii="Calibri" w:hAnsi="Calibri" w:eastAsia="宋体" w:cs="Times New Roman"/>
                      <w:color w:val="auto"/>
                      <w:szCs w:val="21"/>
                    </w:rPr>
                  </w:pPr>
                  <w:r>
                    <w:rPr>
                      <w:rFonts w:hint="eastAsia" w:ascii="Calibri" w:hAnsi="Calibri" w:eastAsia="宋体" w:cs="Times New Roman"/>
                      <w:color w:val="auto"/>
                    </w:rPr>
                    <w:t>废油桶</w:t>
                  </w:r>
                </w:p>
              </w:tc>
            </w:tr>
            <w:tr w14:paraId="01D7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6" w:type="pct"/>
                  <w:vMerge w:val="continue"/>
                  <w:noWrap w:val="0"/>
                  <w:vAlign w:val="center"/>
                </w:tcPr>
                <w:p w14:paraId="45DB276C">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987" w:type="pct"/>
                  <w:vMerge w:val="continue"/>
                  <w:noWrap w:val="0"/>
                  <w:vAlign w:val="center"/>
                </w:tcPr>
                <w:p w14:paraId="3E34155C">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2286" w:type="pct"/>
                  <w:noWrap w:val="0"/>
                  <w:vAlign w:val="center"/>
                </w:tcPr>
                <w:p w14:paraId="0F3B0A4B">
                  <w:pPr>
                    <w:keepNext w:val="0"/>
                    <w:keepLines w:val="0"/>
                    <w:suppressLineNumbers w:val="0"/>
                    <w:spacing w:before="0" w:beforeAutospacing="0" w:after="0" w:afterAutospacing="0" w:line="264" w:lineRule="auto"/>
                    <w:ind w:left="0" w:right="0"/>
                    <w:jc w:val="center"/>
                    <w:rPr>
                      <w:rFonts w:hint="eastAsia" w:ascii="Calibri" w:hAnsi="Calibri" w:eastAsia="宋体" w:cs="Times New Roman"/>
                      <w:color w:val="auto"/>
                      <w:szCs w:val="21"/>
                    </w:rPr>
                  </w:pPr>
                  <w:r>
                    <w:rPr>
                      <w:rFonts w:hint="eastAsia" w:ascii="Calibri" w:hAnsi="Calibri" w:eastAsia="宋体" w:cs="Times New Roman"/>
                      <w:color w:val="auto"/>
                    </w:rPr>
                    <w:t>废含油抹布及手套</w:t>
                  </w:r>
                </w:p>
              </w:tc>
            </w:tr>
          </w:tbl>
          <w:p w14:paraId="0B1C06ED">
            <w:pPr>
              <w:pStyle w:val="44"/>
              <w:keepNext w:val="0"/>
              <w:keepLines w:val="0"/>
              <w:suppressLineNumbers w:val="0"/>
              <w:spacing w:before="0" w:beforeAutospacing="0" w:after="0" w:afterAutospacing="0" w:line="360" w:lineRule="auto"/>
              <w:ind w:left="0" w:right="0" w:firstLine="0" w:firstLineChars="0"/>
              <w:rPr>
                <w:rFonts w:ascii="宋体" w:hAnsi="宋体" w:eastAsia="宋体" w:cs="Times New Roman"/>
                <w:bCs/>
                <w:color w:val="auto"/>
              </w:rPr>
            </w:pPr>
          </w:p>
        </w:tc>
      </w:tr>
      <w:tr w14:paraId="1982E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2" w:hRule="atLeast"/>
          <w:jc w:val="center"/>
        </w:trPr>
        <w:tc>
          <w:tcPr>
            <w:tcW w:w="456" w:type="dxa"/>
            <w:noWrap w:val="0"/>
            <w:vAlign w:val="center"/>
          </w:tcPr>
          <w:p w14:paraId="591B43CF">
            <w:pPr>
              <w:pStyle w:val="22"/>
              <w:keepNext w:val="0"/>
              <w:keepLines w:val="0"/>
              <w:suppressLineNumbers w:val="0"/>
              <w:adjustRightInd w:val="0"/>
              <w:snapToGrid w:val="0"/>
              <w:spacing w:before="0" w:beforeAutospacing="0" w:after="0" w:afterAutospacing="0"/>
              <w:ind w:left="0" w:right="0"/>
              <w:jc w:val="center"/>
              <w:rPr>
                <w:rFonts w:eastAsia="宋体" w:cs="宋体"/>
                <w:color w:val="auto"/>
                <w:sz w:val="21"/>
                <w:szCs w:val="21"/>
              </w:rPr>
            </w:pPr>
            <w:r>
              <w:rPr>
                <w:rFonts w:hint="eastAsia" w:eastAsia="宋体" w:cs="宋体"/>
                <w:bCs/>
                <w:color w:val="auto"/>
                <w:kern w:val="2"/>
                <w:sz w:val="21"/>
                <w:szCs w:val="21"/>
              </w:rPr>
              <w:t>与项目有关的原有环境污染问题</w:t>
            </w:r>
          </w:p>
        </w:tc>
        <w:tc>
          <w:tcPr>
            <w:tcW w:w="9038" w:type="dxa"/>
            <w:noWrap w:val="0"/>
            <w:vAlign w:val="top"/>
          </w:tcPr>
          <w:p w14:paraId="78058406">
            <w:pPr>
              <w:keepNext w:val="0"/>
              <w:keepLines w:val="0"/>
              <w:suppressLineNumbers w:val="0"/>
              <w:spacing w:before="120" w:beforeLines="50" w:beforeAutospacing="0" w:after="0" w:afterAutospacing="0" w:line="360" w:lineRule="auto"/>
              <w:ind w:left="0" w:right="0" w:firstLine="480" w:firstLineChars="200"/>
              <w:rPr>
                <w:rFonts w:hint="eastAsia" w:ascii="Calibri" w:hAnsi="Calibri" w:eastAsia="宋体" w:cs="Times New Roman"/>
                <w:color w:val="auto"/>
                <w:sz w:val="24"/>
              </w:rPr>
            </w:pPr>
          </w:p>
          <w:p w14:paraId="1C992084">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2F382986">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14C5BC6C">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37B325FC">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6E59C6FD">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1CE3D3EC">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18C09460">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4B51277E">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0748F2FC">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7617C474">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1E82565D">
            <w:pPr>
              <w:pStyle w:val="16"/>
              <w:keepNext w:val="0"/>
              <w:keepLines w:val="0"/>
              <w:suppressLineNumbers w:val="0"/>
              <w:spacing w:before="0" w:beforeAutospacing="0" w:after="0" w:afterAutospacing="0"/>
              <w:ind w:left="0" w:right="0"/>
              <w:rPr>
                <w:rFonts w:hint="eastAsia" w:ascii="Calibri" w:hAnsi="Calibri" w:eastAsia="宋体" w:cs="Times New Roman"/>
                <w:color w:val="auto"/>
                <w:sz w:val="24"/>
                <w:szCs w:val="24"/>
              </w:rPr>
            </w:pPr>
          </w:p>
          <w:p w14:paraId="4E307C1E">
            <w:pPr>
              <w:keepNext w:val="0"/>
              <w:keepLines w:val="0"/>
              <w:suppressLineNumbers w:val="0"/>
              <w:spacing w:before="120" w:beforeLines="5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Calibri" w:hAnsi="Calibri" w:eastAsia="宋体" w:cs="Times New Roman"/>
                <w:color w:val="auto"/>
                <w:sz w:val="24"/>
              </w:rPr>
              <w:t>项目位于</w:t>
            </w:r>
            <w:r>
              <w:rPr>
                <w:rFonts w:hint="eastAsia" w:ascii="Times New Roman" w:hAnsi="Times New Roman" w:eastAsia="宋体" w:cs="Times New Roman"/>
                <w:color w:val="auto"/>
                <w:sz w:val="24"/>
              </w:rPr>
              <w:t>广西壮族自治区防城港市防城区江山镇利竹坪村</w:t>
            </w:r>
            <w:r>
              <w:rPr>
                <w:rFonts w:hint="eastAsia" w:ascii="Calibri" w:hAnsi="Calibri" w:eastAsia="宋体" w:cs="Times New Roman"/>
                <w:color w:val="auto"/>
                <w:sz w:val="24"/>
              </w:rPr>
              <w:t>，为荒地，不存在与本项目有关的原有污染源情况</w:t>
            </w:r>
            <w:r>
              <w:rPr>
                <w:rFonts w:hint="eastAsia" w:ascii="Times New Roman" w:hAnsi="Times New Roman" w:eastAsia="宋体" w:cs="Times New Roman"/>
                <w:color w:val="auto"/>
                <w:sz w:val="24"/>
              </w:rPr>
              <w:t>。</w:t>
            </w:r>
          </w:p>
          <w:p w14:paraId="7F388ADB">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宋体" w:eastAsia="宋体" w:cs="Times New Roman"/>
                <w:color w:val="auto"/>
              </w:rPr>
              <w:t>项目周边主要是</w:t>
            </w:r>
            <w:r>
              <w:rPr>
                <w:rFonts w:hint="eastAsia" w:ascii="Calibri" w:hAnsi="Calibri" w:eastAsia="宋体" w:cs="Times New Roman"/>
                <w:color w:val="auto"/>
              </w:rPr>
              <w:t>坑塘、山林地和企业</w:t>
            </w:r>
            <w:r>
              <w:rPr>
                <w:rFonts w:hint="eastAsia" w:ascii="Calibri" w:hAnsi="宋体" w:eastAsia="宋体" w:cs="Times New Roman"/>
                <w:color w:val="auto"/>
              </w:rPr>
              <w:t>。</w:t>
            </w:r>
            <w:r>
              <w:rPr>
                <w:rFonts w:hint="eastAsia" w:ascii="Calibri" w:hAnsi="Calibri" w:eastAsia="宋体" w:cs="Times New Roman"/>
                <w:color w:val="auto"/>
              </w:rPr>
              <w:t>区域污染源主要是周边企业产生的废气、废水、固废和噪声；周边居民产生的生活污水和生活垃圾。</w:t>
            </w:r>
          </w:p>
          <w:p w14:paraId="2E2A8ECC">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6C3ED159">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6D2A1025">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280D9B71">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5C62A2DF">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3F3A0A6F">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674CAE97">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24E0D8F2">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590B8D26">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572DD354">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3847CE81">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64ACBEF8">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1A09F7C6">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2A91EFF0">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15E2BD38">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5818937C">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4422AB3D">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50A91424">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p>
          <w:p w14:paraId="011D5F6C">
            <w:pPr>
              <w:pStyle w:val="44"/>
              <w:keepNext w:val="0"/>
              <w:keepLines w:val="0"/>
              <w:suppressLineNumbers w:val="0"/>
              <w:spacing w:before="0" w:beforeAutospacing="0" w:after="0" w:afterAutospacing="0" w:line="360" w:lineRule="auto"/>
              <w:ind w:left="0" w:right="0" w:firstLine="480"/>
              <w:rPr>
                <w:rFonts w:ascii="Calibri" w:hAnsi="Calibri" w:eastAsia="宋体" w:cs="Times New Roman"/>
                <w:color w:val="auto"/>
              </w:rPr>
            </w:pPr>
          </w:p>
        </w:tc>
      </w:tr>
    </w:tbl>
    <w:p w14:paraId="6537036B">
      <w:pPr>
        <w:pStyle w:val="22"/>
        <w:jc w:val="center"/>
        <w:rPr>
          <w:rFonts w:ascii="黑体" w:hAnsi="黑体" w:eastAsia="黑体"/>
          <w:snapToGrid w:val="0"/>
          <w:color w:val="auto"/>
          <w:sz w:val="36"/>
          <w:szCs w:val="36"/>
        </w:rPr>
        <w:sectPr>
          <w:pgSz w:w="11905" w:h="16838"/>
          <w:pgMar w:top="1417" w:right="1417" w:bottom="1417" w:left="1417" w:header="851" w:footer="1077" w:gutter="0"/>
          <w:cols w:space="720" w:num="1"/>
          <w:docGrid w:linePitch="312" w:charSpace="0"/>
        </w:sectPr>
      </w:pPr>
    </w:p>
    <w:p w14:paraId="1E845FA5">
      <w:pPr>
        <w:pStyle w:val="22"/>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14:paraId="1BDA7B18">
      <w:pPr>
        <w:pStyle w:val="22"/>
        <w:spacing w:before="0" w:beforeAutospacing="0" w:after="0" w:afterAutospacing="0" w:line="360" w:lineRule="auto"/>
        <w:jc w:val="center"/>
        <w:outlineLvl w:val="0"/>
        <w:rPr>
          <w:rFonts w:ascii="黑体" w:hAnsi="黑体" w:eastAsia="黑体"/>
          <w:snapToGrid w:val="0"/>
          <w:color w:val="auto"/>
          <w:sz w:val="30"/>
          <w:szCs w:val="30"/>
        </w:rPr>
      </w:pPr>
      <w:bookmarkStart w:id="18" w:name="_Toc32575"/>
      <w:r>
        <w:rPr>
          <w:rFonts w:hint="eastAsia" w:ascii="黑体" w:hAnsi="黑体" w:eastAsia="黑体"/>
          <w:snapToGrid w:val="0"/>
          <w:color w:val="auto"/>
          <w:sz w:val="30"/>
          <w:szCs w:val="30"/>
        </w:rPr>
        <w:t>三、区域环境质量现状、环境保护目标及评价标准</w:t>
      </w:r>
      <w:bookmarkEnd w:id="18"/>
    </w:p>
    <w:tbl>
      <w:tblPr>
        <w:tblStyle w:val="26"/>
        <w:tblW w:w="94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639"/>
      </w:tblGrid>
      <w:tr w14:paraId="57159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00" w:type="dxa"/>
            <w:noWrap w:val="0"/>
            <w:vAlign w:val="center"/>
          </w:tcPr>
          <w:p w14:paraId="5F09491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区域</w:t>
            </w:r>
          </w:p>
          <w:p w14:paraId="0521BD3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环境</w:t>
            </w:r>
          </w:p>
          <w:p w14:paraId="0F54CCD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质量</w:t>
            </w:r>
          </w:p>
          <w:p w14:paraId="1F7F4B9F">
            <w:pPr>
              <w:keepNext w:val="0"/>
              <w:keepLines w:val="0"/>
              <w:suppressLineNumbers w:val="0"/>
              <w:adjustRightInd w:val="0"/>
              <w:snapToGrid w:val="0"/>
              <w:spacing w:before="0" w:beforeAutospacing="0" w:after="0" w:afterAutospacing="0"/>
              <w:ind w:left="0" w:right="0"/>
              <w:jc w:val="center"/>
              <w:rPr>
                <w:rFonts w:ascii="宋体" w:hAnsi="宋体" w:eastAsia="宋体" w:cs="宋体"/>
                <w:color w:val="auto"/>
                <w:kern w:val="0"/>
                <w:szCs w:val="21"/>
              </w:rPr>
            </w:pPr>
            <w:r>
              <w:rPr>
                <w:rFonts w:hint="eastAsia" w:ascii="宋体" w:hAnsi="宋体" w:eastAsia="宋体" w:cs="宋体"/>
                <w:color w:val="auto"/>
                <w:kern w:val="0"/>
                <w:sz w:val="24"/>
              </w:rPr>
              <w:t>现状</w:t>
            </w:r>
          </w:p>
        </w:tc>
        <w:tc>
          <w:tcPr>
            <w:tcW w:w="8639" w:type="dxa"/>
            <w:noWrap w:val="0"/>
            <w:vAlign w:val="center"/>
          </w:tcPr>
          <w:p w14:paraId="13EA3D5F">
            <w:pPr>
              <w:keepNext w:val="0"/>
              <w:keepLines w:val="0"/>
              <w:suppressLineNumbers w:val="0"/>
              <w:tabs>
                <w:tab w:val="left" w:pos="3225"/>
              </w:tabs>
              <w:adjustRightInd w:val="0"/>
              <w:spacing w:before="0" w:beforeAutospacing="0" w:after="0" w:afterAutospacing="0" w:line="360" w:lineRule="auto"/>
              <w:ind w:left="0" w:right="0"/>
              <w:rPr>
                <w:rFonts w:ascii="Calibri" w:hAnsi="Calibri" w:eastAsia="宋体" w:cs="Times New Roman"/>
                <w:b/>
                <w:bCs/>
                <w:color w:val="auto"/>
                <w:sz w:val="24"/>
              </w:rPr>
            </w:pPr>
            <w:r>
              <w:rPr>
                <w:rFonts w:hint="eastAsia" w:ascii="Calibri" w:hAnsi="Calibri" w:eastAsia="宋体" w:cs="Times New Roman"/>
                <w:b/>
                <w:bCs/>
                <w:color w:val="auto"/>
                <w:sz w:val="24"/>
              </w:rPr>
              <w:t>一、</w:t>
            </w:r>
            <w:r>
              <w:rPr>
                <w:rFonts w:ascii="Calibri" w:hAnsi="Calibri" w:eastAsia="宋体" w:cs="Times New Roman"/>
                <w:b/>
                <w:bCs/>
                <w:color w:val="auto"/>
                <w:sz w:val="24"/>
              </w:rPr>
              <w:t>环境空气质量现状</w:t>
            </w:r>
          </w:p>
          <w:p w14:paraId="42E1332E">
            <w:pPr>
              <w:keepNext w:val="0"/>
              <w:keepLines w:val="0"/>
              <w:suppressLineNumbers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项目选址属防城港市管辖范围</w:t>
            </w:r>
            <w:r>
              <w:rPr>
                <w:rFonts w:hint="eastAsia" w:ascii="Times New Roman" w:hAnsi="Times New Roman" w:eastAsia="宋体" w:cs="Times New Roman"/>
                <w:color w:val="auto"/>
                <w:sz w:val="24"/>
              </w:rPr>
              <w:t>。</w:t>
            </w:r>
            <w:r>
              <w:rPr>
                <w:rFonts w:ascii="Calibri" w:hAnsi="Calibri" w:eastAsia="宋体" w:cs="Times New Roman"/>
                <w:color w:val="auto"/>
                <w:sz w:val="24"/>
              </w:rPr>
              <w:t>根据</w:t>
            </w:r>
            <w:r>
              <w:rPr>
                <w:rFonts w:hint="eastAsia" w:ascii="Calibri" w:hAnsi="Calibri" w:eastAsia="宋体" w:cs="Times New Roman"/>
                <w:color w:val="auto"/>
                <w:sz w:val="24"/>
              </w:rPr>
              <w:t>《自治区生态环境厅关于通报2025年设区城市及各县（市、区）环境空气质量的函》（桂环函〔2026〕110号），防城港市</w:t>
            </w:r>
            <w:r>
              <w:rPr>
                <w:rFonts w:hint="eastAsia" w:ascii="宋体" w:hAnsi="宋体" w:eastAsia="宋体" w:cs="Times New Roman"/>
                <w:color w:val="auto"/>
                <w:sz w:val="24"/>
              </w:rPr>
              <w:t>区域环境空气质量现状</w:t>
            </w:r>
            <w:r>
              <w:rPr>
                <w:rFonts w:ascii="Calibri" w:hAnsi="Calibri" w:eastAsia="宋体" w:cs="Times New Roman"/>
                <w:color w:val="auto"/>
                <w:sz w:val="24"/>
              </w:rPr>
              <w:t>表如表</w:t>
            </w:r>
            <w:r>
              <w:rPr>
                <w:rFonts w:hint="eastAsia" w:ascii="Calibri" w:hAnsi="Calibri" w:eastAsia="宋体" w:cs="Times New Roman"/>
                <w:color w:val="auto"/>
                <w:sz w:val="24"/>
              </w:rPr>
              <w:t>3-1</w:t>
            </w:r>
            <w:r>
              <w:rPr>
                <w:rFonts w:ascii="Calibri" w:hAnsi="Calibri" w:eastAsia="宋体" w:cs="Times New Roman"/>
                <w:color w:val="auto"/>
                <w:sz w:val="24"/>
              </w:rPr>
              <w:t>所示</w:t>
            </w:r>
            <w:r>
              <w:rPr>
                <w:rFonts w:ascii="Times New Roman" w:hAnsi="Times New Roman" w:eastAsia="宋体" w:cs="Times New Roman"/>
                <w:color w:val="auto"/>
                <w:sz w:val="24"/>
              </w:rPr>
              <w:t>。</w:t>
            </w:r>
          </w:p>
          <w:p w14:paraId="2EAD8425">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
                <w:bCs/>
                <w:color w:val="auto"/>
                <w:sz w:val="21"/>
                <w:szCs w:val="21"/>
              </w:rPr>
            </w:pPr>
            <w:r>
              <w:rPr>
                <w:rFonts w:ascii="Calibri" w:hAnsi="Calibri" w:eastAsia="宋体" w:cs="Times New Roman"/>
                <w:b/>
                <w:bCs/>
                <w:color w:val="auto"/>
                <w:sz w:val="21"/>
                <w:szCs w:val="21"/>
              </w:rPr>
              <w:t>表</w:t>
            </w:r>
            <w:r>
              <w:rPr>
                <w:rFonts w:hint="eastAsia" w:ascii="Calibri" w:hAnsi="Calibri" w:eastAsia="宋体" w:cs="Times New Roman"/>
                <w:b/>
                <w:bCs/>
                <w:color w:val="auto"/>
                <w:sz w:val="21"/>
                <w:szCs w:val="21"/>
              </w:rPr>
              <w:t>3-1</w:t>
            </w:r>
            <w:r>
              <w:rPr>
                <w:rFonts w:ascii="Calibri" w:hAnsi="Calibri" w:eastAsia="宋体" w:cs="Times New Roman"/>
                <w:b/>
                <w:bCs/>
                <w:color w:val="auto"/>
                <w:sz w:val="21"/>
                <w:szCs w:val="21"/>
              </w:rPr>
              <w:t xml:space="preserve"> 区域空气质量现状评价表</w:t>
            </w:r>
          </w:p>
          <w:tbl>
            <w:tblPr>
              <w:tblStyle w:val="2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46"/>
              <w:gridCol w:w="1208"/>
              <w:gridCol w:w="1208"/>
              <w:gridCol w:w="1208"/>
              <w:gridCol w:w="891"/>
              <w:gridCol w:w="616"/>
              <w:gridCol w:w="552"/>
            </w:tblGrid>
            <w:tr w14:paraId="2EEA4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2" w:type="pct"/>
                  <w:noWrap w:val="0"/>
                  <w:vAlign w:val="center"/>
                </w:tcPr>
                <w:p w14:paraId="50B77D9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污染物</w:t>
                  </w:r>
                </w:p>
              </w:tc>
              <w:tc>
                <w:tcPr>
                  <w:tcW w:w="1161" w:type="pct"/>
                  <w:noWrap w:val="0"/>
                  <w:vAlign w:val="center"/>
                </w:tcPr>
                <w:p w14:paraId="5479171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评价指标</w:t>
                  </w:r>
                </w:p>
              </w:tc>
              <w:tc>
                <w:tcPr>
                  <w:tcW w:w="720" w:type="pct"/>
                  <w:noWrap w:val="0"/>
                  <w:vAlign w:val="center"/>
                </w:tcPr>
                <w:p w14:paraId="01EE0401">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现状浓度/（μg/m</w:t>
                  </w:r>
                  <w:r>
                    <w:rPr>
                      <w:rFonts w:ascii="Calibri" w:hAnsi="Calibri" w:eastAsia="宋体" w:cs="Times New Roman"/>
                      <w:color w:val="auto"/>
                      <w:szCs w:val="21"/>
                      <w:vertAlign w:val="superscript"/>
                    </w:rPr>
                    <w:t>3</w:t>
                  </w:r>
                  <w:r>
                    <w:rPr>
                      <w:rFonts w:ascii="Calibri" w:hAnsi="Calibri" w:eastAsia="宋体" w:cs="Times New Roman"/>
                      <w:color w:val="auto"/>
                      <w:szCs w:val="21"/>
                    </w:rPr>
                    <w:t>）</w:t>
                  </w:r>
                </w:p>
              </w:tc>
              <w:tc>
                <w:tcPr>
                  <w:tcW w:w="720" w:type="pct"/>
                  <w:noWrap w:val="0"/>
                  <w:vAlign w:val="center"/>
                </w:tcPr>
                <w:p w14:paraId="0F56B50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lang w:val="en-US" w:eastAsia="zh-CN"/>
                    </w:rPr>
                    <w:t>过渡</w:t>
                  </w:r>
                  <w:r>
                    <w:rPr>
                      <w:rFonts w:hint="eastAsia" w:ascii="Calibri" w:hAnsi="Calibri" w:eastAsia="宋体" w:cs="Times New Roman"/>
                      <w:color w:val="auto"/>
                      <w:szCs w:val="21"/>
                    </w:rPr>
                    <w:t>阶段浓度限</w:t>
                  </w:r>
                  <w:r>
                    <w:rPr>
                      <w:rFonts w:ascii="Calibri" w:hAnsi="Calibri" w:eastAsia="宋体" w:cs="Times New Roman"/>
                      <w:color w:val="auto"/>
                      <w:szCs w:val="21"/>
                    </w:rPr>
                    <w:t>值/（μg/m</w:t>
                  </w:r>
                  <w:r>
                    <w:rPr>
                      <w:rFonts w:ascii="Calibri" w:hAnsi="Calibri" w:eastAsia="宋体" w:cs="Times New Roman"/>
                      <w:color w:val="auto"/>
                      <w:szCs w:val="21"/>
                      <w:vertAlign w:val="superscript"/>
                    </w:rPr>
                    <w:t>3</w:t>
                  </w:r>
                  <w:r>
                    <w:rPr>
                      <w:rFonts w:ascii="Calibri" w:hAnsi="Calibri" w:eastAsia="宋体" w:cs="Times New Roman"/>
                      <w:color w:val="auto"/>
                      <w:szCs w:val="21"/>
                    </w:rPr>
                    <w:t>）</w:t>
                  </w:r>
                </w:p>
              </w:tc>
              <w:tc>
                <w:tcPr>
                  <w:tcW w:w="720" w:type="pct"/>
                  <w:noWrap w:val="0"/>
                  <w:vAlign w:val="center"/>
                </w:tcPr>
                <w:p w14:paraId="6B4B059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浓度限值</w:t>
                  </w:r>
                  <w:r>
                    <w:rPr>
                      <w:rFonts w:ascii="Calibri" w:hAnsi="Calibri" w:eastAsia="宋体" w:cs="Times New Roman"/>
                      <w:color w:val="auto"/>
                      <w:szCs w:val="21"/>
                    </w:rPr>
                    <w:t>/（μg/m</w:t>
                  </w:r>
                  <w:r>
                    <w:rPr>
                      <w:rFonts w:ascii="Calibri" w:hAnsi="Calibri" w:eastAsia="宋体" w:cs="Times New Roman"/>
                      <w:color w:val="auto"/>
                      <w:szCs w:val="21"/>
                      <w:vertAlign w:val="superscript"/>
                    </w:rPr>
                    <w:t>3</w:t>
                  </w:r>
                  <w:r>
                    <w:rPr>
                      <w:rFonts w:ascii="Calibri" w:hAnsi="Calibri" w:eastAsia="宋体" w:cs="Times New Roman"/>
                      <w:color w:val="auto"/>
                      <w:szCs w:val="21"/>
                    </w:rPr>
                    <w:t>）</w:t>
                  </w:r>
                </w:p>
              </w:tc>
              <w:tc>
                <w:tcPr>
                  <w:tcW w:w="531" w:type="pct"/>
                  <w:noWrap w:val="0"/>
                  <w:vAlign w:val="center"/>
                </w:tcPr>
                <w:p w14:paraId="348D2B31">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lang w:val="en-US" w:eastAsia="zh-CN"/>
                    </w:rPr>
                    <w:t>过渡</w:t>
                  </w:r>
                  <w:r>
                    <w:rPr>
                      <w:rFonts w:hint="eastAsia" w:ascii="Calibri" w:hAnsi="Calibri" w:eastAsia="宋体" w:cs="Times New Roman"/>
                      <w:color w:val="auto"/>
                      <w:szCs w:val="21"/>
                    </w:rPr>
                    <w:t>阶段</w:t>
                  </w:r>
                  <w:r>
                    <w:rPr>
                      <w:rFonts w:ascii="Calibri" w:hAnsi="Calibri" w:eastAsia="宋体" w:cs="Times New Roman"/>
                      <w:color w:val="auto"/>
                      <w:szCs w:val="21"/>
                    </w:rPr>
                    <w:t>占标率/%</w:t>
                  </w:r>
                </w:p>
              </w:tc>
              <w:tc>
                <w:tcPr>
                  <w:tcW w:w="367" w:type="pct"/>
                  <w:noWrap w:val="0"/>
                  <w:vAlign w:val="center"/>
                </w:tcPr>
                <w:p w14:paraId="5B703367">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ascii="Calibri" w:hAnsi="Calibri" w:eastAsia="宋体" w:cs="Times New Roman"/>
                      <w:color w:val="auto"/>
                      <w:szCs w:val="21"/>
                    </w:rPr>
                    <w:t>占标率/%</w:t>
                  </w:r>
                </w:p>
              </w:tc>
              <w:tc>
                <w:tcPr>
                  <w:tcW w:w="325" w:type="pct"/>
                  <w:noWrap w:val="0"/>
                  <w:vAlign w:val="center"/>
                </w:tcPr>
                <w:p w14:paraId="2D955839">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达标</w:t>
                  </w:r>
                </w:p>
                <w:p w14:paraId="627A504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情况</w:t>
                  </w:r>
                </w:p>
              </w:tc>
            </w:tr>
            <w:tr w14:paraId="6406E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2" w:type="pct"/>
                  <w:noWrap w:val="0"/>
                  <w:vAlign w:val="center"/>
                </w:tcPr>
                <w:p w14:paraId="3A070F3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SO</w:t>
                  </w:r>
                  <w:r>
                    <w:rPr>
                      <w:rFonts w:ascii="Calibri" w:hAnsi="Calibri" w:eastAsia="宋体" w:cs="Times New Roman"/>
                      <w:color w:val="auto"/>
                      <w:szCs w:val="21"/>
                      <w:vertAlign w:val="subscript"/>
                    </w:rPr>
                    <w:t>2</w:t>
                  </w:r>
                </w:p>
              </w:tc>
              <w:tc>
                <w:tcPr>
                  <w:tcW w:w="1161" w:type="pct"/>
                  <w:noWrap w:val="0"/>
                  <w:vAlign w:val="center"/>
                </w:tcPr>
                <w:p w14:paraId="167A4872">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年平均</w:t>
                  </w:r>
                </w:p>
              </w:tc>
              <w:tc>
                <w:tcPr>
                  <w:tcW w:w="720" w:type="pct"/>
                  <w:noWrap w:val="0"/>
                  <w:vAlign w:val="center"/>
                </w:tcPr>
                <w:p w14:paraId="5B9B2CF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5</w:t>
                  </w:r>
                </w:p>
              </w:tc>
              <w:tc>
                <w:tcPr>
                  <w:tcW w:w="720" w:type="pct"/>
                  <w:noWrap w:val="0"/>
                  <w:vAlign w:val="center"/>
                </w:tcPr>
                <w:p w14:paraId="1E3715C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rPr>
                    <w:t>60</w:t>
                  </w:r>
                </w:p>
              </w:tc>
              <w:tc>
                <w:tcPr>
                  <w:tcW w:w="720" w:type="pct"/>
                  <w:noWrap w:val="0"/>
                  <w:vAlign w:val="center"/>
                </w:tcPr>
                <w:p w14:paraId="0510EB08">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20</w:t>
                  </w:r>
                </w:p>
              </w:tc>
              <w:tc>
                <w:tcPr>
                  <w:tcW w:w="531" w:type="pct"/>
                  <w:noWrap w:val="0"/>
                  <w:vAlign w:val="center"/>
                </w:tcPr>
                <w:p w14:paraId="30F4190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8.3</w:t>
                  </w:r>
                </w:p>
              </w:tc>
              <w:tc>
                <w:tcPr>
                  <w:tcW w:w="367" w:type="pct"/>
                  <w:noWrap w:val="0"/>
                  <w:vAlign w:val="center"/>
                </w:tcPr>
                <w:p w14:paraId="5B80E068">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25.0</w:t>
                  </w:r>
                </w:p>
              </w:tc>
              <w:tc>
                <w:tcPr>
                  <w:tcW w:w="325" w:type="pct"/>
                  <w:noWrap w:val="0"/>
                  <w:vAlign w:val="center"/>
                </w:tcPr>
                <w:p w14:paraId="3134463A">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达标</w:t>
                  </w:r>
                </w:p>
              </w:tc>
            </w:tr>
            <w:tr w14:paraId="0F4D8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2" w:type="pct"/>
                  <w:noWrap w:val="0"/>
                  <w:vAlign w:val="center"/>
                </w:tcPr>
                <w:p w14:paraId="0C7AAFC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NO</w:t>
                  </w:r>
                  <w:r>
                    <w:rPr>
                      <w:rFonts w:ascii="Calibri" w:hAnsi="Calibri" w:eastAsia="宋体" w:cs="Times New Roman"/>
                      <w:color w:val="auto"/>
                      <w:szCs w:val="21"/>
                      <w:vertAlign w:val="subscript"/>
                    </w:rPr>
                    <w:t>2</w:t>
                  </w:r>
                </w:p>
              </w:tc>
              <w:tc>
                <w:tcPr>
                  <w:tcW w:w="1161" w:type="pct"/>
                  <w:noWrap w:val="0"/>
                  <w:vAlign w:val="center"/>
                </w:tcPr>
                <w:p w14:paraId="7B06DDF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年平均</w:t>
                  </w:r>
                </w:p>
              </w:tc>
              <w:tc>
                <w:tcPr>
                  <w:tcW w:w="720" w:type="pct"/>
                  <w:noWrap w:val="0"/>
                  <w:vAlign w:val="center"/>
                </w:tcPr>
                <w:p w14:paraId="53F7B99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14</w:t>
                  </w:r>
                </w:p>
              </w:tc>
              <w:tc>
                <w:tcPr>
                  <w:tcW w:w="720" w:type="pct"/>
                  <w:noWrap w:val="0"/>
                  <w:vAlign w:val="center"/>
                </w:tcPr>
                <w:p w14:paraId="6170F9F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rPr>
                    <w:t>40</w:t>
                  </w:r>
                </w:p>
              </w:tc>
              <w:tc>
                <w:tcPr>
                  <w:tcW w:w="720" w:type="pct"/>
                  <w:noWrap w:val="0"/>
                  <w:vAlign w:val="center"/>
                </w:tcPr>
                <w:p w14:paraId="5AB42DB7">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30</w:t>
                  </w:r>
                </w:p>
              </w:tc>
              <w:tc>
                <w:tcPr>
                  <w:tcW w:w="531" w:type="pct"/>
                  <w:noWrap w:val="0"/>
                  <w:vAlign w:val="center"/>
                </w:tcPr>
                <w:p w14:paraId="45674FD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35.0</w:t>
                  </w:r>
                </w:p>
              </w:tc>
              <w:tc>
                <w:tcPr>
                  <w:tcW w:w="367" w:type="pct"/>
                  <w:noWrap w:val="0"/>
                  <w:vAlign w:val="center"/>
                </w:tcPr>
                <w:p w14:paraId="05CBCBBD">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46.7</w:t>
                  </w:r>
                </w:p>
              </w:tc>
              <w:tc>
                <w:tcPr>
                  <w:tcW w:w="325" w:type="pct"/>
                  <w:noWrap w:val="0"/>
                  <w:vAlign w:val="center"/>
                </w:tcPr>
                <w:p w14:paraId="6240E74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达标</w:t>
                  </w:r>
                </w:p>
              </w:tc>
            </w:tr>
            <w:tr w14:paraId="17CC7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2" w:type="pct"/>
                  <w:noWrap w:val="0"/>
                  <w:vAlign w:val="center"/>
                </w:tcPr>
                <w:p w14:paraId="71620182">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PM</w:t>
                  </w:r>
                  <w:r>
                    <w:rPr>
                      <w:rFonts w:ascii="Calibri" w:hAnsi="Calibri" w:eastAsia="宋体" w:cs="Times New Roman"/>
                      <w:color w:val="auto"/>
                      <w:szCs w:val="21"/>
                      <w:vertAlign w:val="subscript"/>
                    </w:rPr>
                    <w:t>10</w:t>
                  </w:r>
                </w:p>
              </w:tc>
              <w:tc>
                <w:tcPr>
                  <w:tcW w:w="1161" w:type="pct"/>
                  <w:noWrap w:val="0"/>
                  <w:vAlign w:val="center"/>
                </w:tcPr>
                <w:p w14:paraId="77CC10A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年平均</w:t>
                  </w:r>
                </w:p>
              </w:tc>
              <w:tc>
                <w:tcPr>
                  <w:tcW w:w="720" w:type="pct"/>
                  <w:noWrap w:val="0"/>
                  <w:vAlign w:val="center"/>
                </w:tcPr>
                <w:p w14:paraId="481CAF3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41</w:t>
                  </w:r>
                </w:p>
              </w:tc>
              <w:tc>
                <w:tcPr>
                  <w:tcW w:w="720" w:type="pct"/>
                  <w:noWrap w:val="0"/>
                  <w:vAlign w:val="center"/>
                </w:tcPr>
                <w:p w14:paraId="4F7DDF59">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rPr>
                    <w:t>60</w:t>
                  </w:r>
                </w:p>
              </w:tc>
              <w:tc>
                <w:tcPr>
                  <w:tcW w:w="720" w:type="pct"/>
                  <w:noWrap w:val="0"/>
                  <w:vAlign w:val="center"/>
                </w:tcPr>
                <w:p w14:paraId="627944BC">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50</w:t>
                  </w:r>
                </w:p>
              </w:tc>
              <w:tc>
                <w:tcPr>
                  <w:tcW w:w="531" w:type="pct"/>
                  <w:noWrap w:val="0"/>
                  <w:vAlign w:val="center"/>
                </w:tcPr>
                <w:p w14:paraId="10905D8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68.3</w:t>
                  </w:r>
                </w:p>
              </w:tc>
              <w:tc>
                <w:tcPr>
                  <w:tcW w:w="367" w:type="pct"/>
                  <w:noWrap w:val="0"/>
                  <w:vAlign w:val="center"/>
                </w:tcPr>
                <w:p w14:paraId="2CA4A2EB">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82.0</w:t>
                  </w:r>
                </w:p>
              </w:tc>
              <w:tc>
                <w:tcPr>
                  <w:tcW w:w="325" w:type="pct"/>
                  <w:noWrap w:val="0"/>
                  <w:vAlign w:val="center"/>
                </w:tcPr>
                <w:p w14:paraId="04CC75F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达标</w:t>
                  </w:r>
                </w:p>
              </w:tc>
            </w:tr>
            <w:tr w14:paraId="39851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2" w:type="pct"/>
                  <w:noWrap w:val="0"/>
                  <w:vAlign w:val="center"/>
                </w:tcPr>
                <w:p w14:paraId="3BD7CAF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PM</w:t>
                  </w:r>
                  <w:r>
                    <w:rPr>
                      <w:rFonts w:ascii="Calibri" w:hAnsi="Calibri" w:eastAsia="宋体" w:cs="Times New Roman"/>
                      <w:color w:val="auto"/>
                      <w:szCs w:val="21"/>
                      <w:vertAlign w:val="subscript"/>
                    </w:rPr>
                    <w:t>2.5</w:t>
                  </w:r>
                </w:p>
              </w:tc>
              <w:tc>
                <w:tcPr>
                  <w:tcW w:w="1161" w:type="pct"/>
                  <w:noWrap w:val="0"/>
                  <w:vAlign w:val="center"/>
                </w:tcPr>
                <w:p w14:paraId="17E800F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年平均</w:t>
                  </w:r>
                </w:p>
              </w:tc>
              <w:tc>
                <w:tcPr>
                  <w:tcW w:w="720" w:type="pct"/>
                  <w:noWrap w:val="0"/>
                  <w:vAlign w:val="center"/>
                </w:tcPr>
                <w:p w14:paraId="526B381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23.1</w:t>
                  </w:r>
                </w:p>
              </w:tc>
              <w:tc>
                <w:tcPr>
                  <w:tcW w:w="720" w:type="pct"/>
                  <w:noWrap w:val="0"/>
                  <w:vAlign w:val="center"/>
                </w:tcPr>
                <w:p w14:paraId="46DB38A2">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ascii="Calibri" w:hAnsi="Calibri" w:eastAsia="宋体" w:cs="Times New Roman"/>
                      <w:color w:val="auto"/>
                    </w:rPr>
                    <w:t>3</w:t>
                  </w:r>
                  <w:r>
                    <w:rPr>
                      <w:rFonts w:hint="eastAsia" w:ascii="Calibri" w:hAnsi="Calibri" w:eastAsia="宋体" w:cs="Times New Roman"/>
                      <w:color w:val="auto"/>
                    </w:rPr>
                    <w:t>0</w:t>
                  </w:r>
                </w:p>
              </w:tc>
              <w:tc>
                <w:tcPr>
                  <w:tcW w:w="720" w:type="pct"/>
                  <w:noWrap w:val="0"/>
                  <w:vAlign w:val="center"/>
                </w:tcPr>
                <w:p w14:paraId="1A0BBFF7">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25</w:t>
                  </w:r>
                </w:p>
              </w:tc>
              <w:tc>
                <w:tcPr>
                  <w:tcW w:w="531" w:type="pct"/>
                  <w:noWrap w:val="0"/>
                  <w:vAlign w:val="center"/>
                </w:tcPr>
                <w:p w14:paraId="0392ED1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77.0</w:t>
                  </w:r>
                </w:p>
              </w:tc>
              <w:tc>
                <w:tcPr>
                  <w:tcW w:w="367" w:type="pct"/>
                  <w:noWrap w:val="0"/>
                  <w:vAlign w:val="center"/>
                </w:tcPr>
                <w:p w14:paraId="3648E374">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92.4</w:t>
                  </w:r>
                </w:p>
              </w:tc>
              <w:tc>
                <w:tcPr>
                  <w:tcW w:w="325" w:type="pct"/>
                  <w:noWrap w:val="0"/>
                  <w:vAlign w:val="center"/>
                </w:tcPr>
                <w:p w14:paraId="253F1F2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达标</w:t>
                  </w:r>
                </w:p>
              </w:tc>
            </w:tr>
            <w:tr w14:paraId="211E9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2" w:type="pct"/>
                  <w:noWrap w:val="0"/>
                  <w:vAlign w:val="center"/>
                </w:tcPr>
                <w:p w14:paraId="687994A9">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CO</w:t>
                  </w:r>
                </w:p>
              </w:tc>
              <w:tc>
                <w:tcPr>
                  <w:tcW w:w="1161" w:type="pct"/>
                  <w:noWrap w:val="0"/>
                  <w:vAlign w:val="center"/>
                </w:tcPr>
                <w:p w14:paraId="7FA1B35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24小时平均第95百分位数</w:t>
                  </w:r>
                </w:p>
              </w:tc>
              <w:tc>
                <w:tcPr>
                  <w:tcW w:w="720" w:type="pct"/>
                  <w:noWrap w:val="0"/>
                  <w:vAlign w:val="center"/>
                </w:tcPr>
                <w:p w14:paraId="624D0AF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rPr>
                    <w:t>1.0</w:t>
                  </w:r>
                  <w:r>
                    <w:rPr>
                      <w:rFonts w:ascii="Calibri" w:hAnsi="Calibri" w:eastAsia="宋体" w:cs="Times New Roman"/>
                      <w:color w:val="auto"/>
                    </w:rPr>
                    <w:t>mg/ m</w:t>
                  </w:r>
                  <w:r>
                    <w:rPr>
                      <w:rFonts w:ascii="Calibri" w:hAnsi="Calibri" w:eastAsia="宋体" w:cs="Times New Roman"/>
                      <w:color w:val="auto"/>
                      <w:vertAlign w:val="superscript"/>
                    </w:rPr>
                    <w:t>3</w:t>
                  </w:r>
                </w:p>
              </w:tc>
              <w:tc>
                <w:tcPr>
                  <w:tcW w:w="720" w:type="pct"/>
                  <w:noWrap w:val="0"/>
                  <w:vAlign w:val="center"/>
                </w:tcPr>
                <w:p w14:paraId="416E311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rPr>
                    <w:t>4mg/ m</w:t>
                  </w:r>
                  <w:r>
                    <w:rPr>
                      <w:rFonts w:ascii="Calibri" w:hAnsi="Calibri" w:eastAsia="宋体" w:cs="Times New Roman"/>
                      <w:color w:val="auto"/>
                      <w:vertAlign w:val="superscript"/>
                    </w:rPr>
                    <w:t>3</w:t>
                  </w:r>
                </w:p>
              </w:tc>
              <w:tc>
                <w:tcPr>
                  <w:tcW w:w="720" w:type="pct"/>
                  <w:noWrap w:val="0"/>
                  <w:vAlign w:val="center"/>
                </w:tcPr>
                <w:p w14:paraId="3A4AD2BB">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4mg/ m</w:t>
                  </w:r>
                  <w:r>
                    <w:rPr>
                      <w:rFonts w:ascii="Calibri" w:hAnsi="Calibri" w:eastAsia="宋体" w:cs="Times New Roman"/>
                      <w:color w:val="auto"/>
                      <w:vertAlign w:val="superscript"/>
                    </w:rPr>
                    <w:t>3</w:t>
                  </w:r>
                </w:p>
              </w:tc>
              <w:tc>
                <w:tcPr>
                  <w:tcW w:w="531" w:type="pct"/>
                  <w:noWrap w:val="0"/>
                  <w:vAlign w:val="center"/>
                </w:tcPr>
                <w:p w14:paraId="06BB6FD1">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25.0</w:t>
                  </w:r>
                </w:p>
              </w:tc>
              <w:tc>
                <w:tcPr>
                  <w:tcW w:w="367" w:type="pct"/>
                  <w:noWrap w:val="0"/>
                  <w:vAlign w:val="center"/>
                </w:tcPr>
                <w:p w14:paraId="686CC0E3">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25.0</w:t>
                  </w:r>
                </w:p>
              </w:tc>
              <w:tc>
                <w:tcPr>
                  <w:tcW w:w="325" w:type="pct"/>
                  <w:noWrap w:val="0"/>
                  <w:vAlign w:val="center"/>
                </w:tcPr>
                <w:p w14:paraId="00F488B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达标</w:t>
                  </w:r>
                </w:p>
              </w:tc>
            </w:tr>
            <w:tr w14:paraId="716FA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2" w:type="pct"/>
                  <w:noWrap w:val="0"/>
                  <w:vAlign w:val="center"/>
                </w:tcPr>
                <w:p w14:paraId="331457C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O</w:t>
                  </w:r>
                  <w:r>
                    <w:rPr>
                      <w:rFonts w:ascii="Calibri" w:hAnsi="Calibri" w:eastAsia="宋体" w:cs="Times New Roman"/>
                      <w:color w:val="auto"/>
                      <w:szCs w:val="21"/>
                      <w:vertAlign w:val="subscript"/>
                    </w:rPr>
                    <w:t>3</w:t>
                  </w:r>
                </w:p>
              </w:tc>
              <w:tc>
                <w:tcPr>
                  <w:tcW w:w="1161" w:type="pct"/>
                  <w:noWrap w:val="0"/>
                  <w:vAlign w:val="center"/>
                </w:tcPr>
                <w:p w14:paraId="17FFFFA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日最大8小时滑动平均值的第90百分位数</w:t>
                  </w:r>
                </w:p>
              </w:tc>
              <w:tc>
                <w:tcPr>
                  <w:tcW w:w="720" w:type="pct"/>
                  <w:noWrap w:val="0"/>
                  <w:vAlign w:val="center"/>
                </w:tcPr>
                <w:p w14:paraId="6A2A7FB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113</w:t>
                  </w:r>
                </w:p>
              </w:tc>
              <w:tc>
                <w:tcPr>
                  <w:tcW w:w="720" w:type="pct"/>
                  <w:noWrap w:val="0"/>
                  <w:vAlign w:val="center"/>
                </w:tcPr>
                <w:p w14:paraId="09E5301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rPr>
                    <w:t>160</w:t>
                  </w:r>
                </w:p>
              </w:tc>
              <w:tc>
                <w:tcPr>
                  <w:tcW w:w="720" w:type="pct"/>
                  <w:noWrap w:val="0"/>
                  <w:vAlign w:val="center"/>
                </w:tcPr>
                <w:p w14:paraId="105715D3">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160</w:t>
                  </w:r>
                </w:p>
              </w:tc>
              <w:tc>
                <w:tcPr>
                  <w:tcW w:w="531" w:type="pct"/>
                  <w:noWrap w:val="0"/>
                  <w:vAlign w:val="center"/>
                </w:tcPr>
                <w:p w14:paraId="7BFA8BE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Times New Roman" w:hAnsi="Times New Roman" w:eastAsia="宋体" w:cs="Times New Roman"/>
                      <w:color w:val="auto"/>
                      <w:szCs w:val="21"/>
                    </w:rPr>
                    <w:t>70.6</w:t>
                  </w:r>
                </w:p>
              </w:tc>
              <w:tc>
                <w:tcPr>
                  <w:tcW w:w="367" w:type="pct"/>
                  <w:noWrap w:val="0"/>
                  <w:vAlign w:val="center"/>
                </w:tcPr>
                <w:p w14:paraId="0F3108DA">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70.6</w:t>
                  </w:r>
                </w:p>
              </w:tc>
              <w:tc>
                <w:tcPr>
                  <w:tcW w:w="325" w:type="pct"/>
                  <w:noWrap w:val="0"/>
                  <w:vAlign w:val="center"/>
                </w:tcPr>
                <w:p w14:paraId="468CE3E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达标</w:t>
                  </w:r>
                </w:p>
              </w:tc>
            </w:tr>
            <w:tr w14:paraId="281E7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0654C553">
                  <w:pPr>
                    <w:keepNext w:val="0"/>
                    <w:keepLines w:val="0"/>
                    <w:suppressLineNumbers w:val="0"/>
                    <w:spacing w:before="0" w:beforeAutospacing="0" w:after="0" w:afterAutospacing="0"/>
                    <w:ind w:left="0" w:right="0"/>
                    <w:jc w:val="left"/>
                    <w:rPr>
                      <w:rFonts w:hint="eastAsia" w:ascii="Calibri" w:hAnsi="Calibri" w:eastAsia="宋体" w:cs="Times New Roman"/>
                      <w:color w:val="auto"/>
                      <w:szCs w:val="21"/>
                    </w:rPr>
                  </w:pPr>
                  <w:r>
                    <w:rPr>
                      <w:rFonts w:hint="eastAsia" w:ascii="Calibri" w:hAnsi="Calibri" w:eastAsia="宋体" w:cs="Times New Roman"/>
                      <w:color w:val="auto"/>
                      <w:szCs w:val="21"/>
                    </w:rPr>
                    <w:t>注：自标准实施之日起，即2026年3月1日至2030年12月31日止，环境空气污染物基本项目实施过渡阶段浓度限值；自2031年1月1日起，在全国范围内实施基本项目浓度限值。</w:t>
                  </w:r>
                </w:p>
              </w:tc>
            </w:tr>
          </w:tbl>
          <w:p w14:paraId="73C88208">
            <w:pPr>
              <w:keepNext w:val="0"/>
              <w:keepLines w:val="0"/>
              <w:suppressLineNumbers w:val="0"/>
              <w:autoSpaceDE w:val="0"/>
              <w:autoSpaceDN w:val="0"/>
              <w:adjustRightInd w:val="0"/>
              <w:spacing w:before="120" w:beforeLines="50" w:beforeAutospacing="0" w:after="0" w:afterAutospacing="0" w:line="360" w:lineRule="auto"/>
              <w:ind w:left="0" w:right="0" w:firstLine="480" w:firstLineChars="200"/>
              <w:rPr>
                <w:rFonts w:hint="eastAsia" w:ascii="Calibri" w:hAnsi="宋体" w:eastAsia="宋体" w:cs="Times New Roman"/>
                <w:color w:val="auto"/>
              </w:rPr>
            </w:pPr>
            <w:r>
              <w:rPr>
                <w:rFonts w:hint="eastAsia" w:ascii="Times New Roman" w:hAnsi="Times New Roman" w:eastAsia="宋体" w:cs="Times New Roman"/>
                <w:color w:val="auto"/>
                <w:sz w:val="24"/>
              </w:rPr>
              <w:t>由上表可知，</w:t>
            </w:r>
            <w:r>
              <w:rPr>
                <w:rFonts w:ascii="Times New Roman" w:hAnsi="Times New Roman" w:eastAsia="宋体" w:cs="Times New Roman"/>
                <w:color w:val="auto"/>
                <w:sz w:val="24"/>
              </w:rPr>
              <w:t>防城港市SO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、NO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、PM</w:t>
            </w:r>
            <w:r>
              <w:rPr>
                <w:rFonts w:ascii="Times New Roman" w:hAnsi="Times New Roman" w:eastAsia="宋体" w:cs="Times New Roman"/>
                <w:color w:val="auto"/>
                <w:sz w:val="24"/>
                <w:vertAlign w:val="subscript"/>
              </w:rPr>
              <w:t>10</w:t>
            </w:r>
            <w:r>
              <w:rPr>
                <w:rFonts w:ascii="Times New Roman" w:hAnsi="Times New Roman" w:eastAsia="宋体" w:cs="Times New Roman"/>
                <w:color w:val="auto"/>
                <w:sz w:val="24"/>
              </w:rPr>
              <w:t>、PM</w:t>
            </w:r>
            <w:r>
              <w:rPr>
                <w:rFonts w:ascii="Times New Roman" w:hAnsi="Times New Roman" w:eastAsia="宋体" w:cs="Times New Roman"/>
                <w:color w:val="auto"/>
                <w:sz w:val="24"/>
                <w:vertAlign w:val="subscript"/>
              </w:rPr>
              <w:t>2.5</w:t>
            </w:r>
            <w:r>
              <w:rPr>
                <w:rFonts w:ascii="Times New Roman" w:hAnsi="Times New Roman" w:eastAsia="宋体" w:cs="Times New Roman"/>
                <w:color w:val="auto"/>
                <w:sz w:val="24"/>
              </w:rPr>
              <w:t>、CO和O</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六项基本污染物均达到《环境空气质量标准》（GB3095-20</w:t>
            </w:r>
            <w:r>
              <w:rPr>
                <w:rFonts w:hint="eastAsia" w:ascii="Times New Roman" w:hAnsi="Times New Roman" w:eastAsia="宋体" w:cs="Times New Roman"/>
                <w:color w:val="auto"/>
                <w:sz w:val="24"/>
              </w:rPr>
              <w:t>26</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过渡阶段</w:t>
            </w:r>
            <w:r>
              <w:rPr>
                <w:rFonts w:ascii="Times New Roman" w:hAnsi="Times New Roman" w:eastAsia="宋体" w:cs="Times New Roman"/>
                <w:color w:val="auto"/>
                <w:sz w:val="24"/>
              </w:rPr>
              <w:t>二级标准限值要求，因此本项目所属区域属于达标区域。</w:t>
            </w:r>
          </w:p>
          <w:p w14:paraId="2462F92E">
            <w:pPr>
              <w:keepNext w:val="0"/>
              <w:keepLines w:val="0"/>
              <w:suppressLineNumbers w:val="0"/>
              <w:adjustRightInd w:val="0"/>
              <w:snapToGrid w:val="0"/>
              <w:spacing w:before="0" w:beforeAutospacing="0" w:after="0" w:afterAutospacing="0" w:line="360" w:lineRule="auto"/>
              <w:ind w:left="0" w:right="0"/>
              <w:rPr>
                <w:rFonts w:hint="eastAsia" w:ascii="Calibri" w:hAnsi="Calibri" w:eastAsia="宋体" w:cs="Times New Roman"/>
                <w:b/>
                <w:bCs/>
                <w:color w:val="auto"/>
                <w:sz w:val="24"/>
              </w:rPr>
            </w:pPr>
            <w:r>
              <w:rPr>
                <w:rFonts w:hint="eastAsia" w:ascii="Calibri" w:hAnsi="Calibri" w:eastAsia="宋体" w:cs="Times New Roman"/>
                <w:b/>
                <w:bCs/>
                <w:color w:val="auto"/>
                <w:sz w:val="24"/>
              </w:rPr>
              <w:t>二、水环境质量现状</w:t>
            </w:r>
          </w:p>
          <w:p w14:paraId="4A0CB3D1">
            <w:pPr>
              <w:keepNext w:val="0"/>
              <w:keepLines w:val="0"/>
              <w:suppressLineNumbers w:val="0"/>
              <w:adjustRightInd w:val="0"/>
              <w:snapToGrid w:val="0"/>
              <w:spacing w:before="0" w:beforeAutospacing="0" w:after="0" w:afterAutospacing="0" w:line="360" w:lineRule="auto"/>
              <w:ind w:left="0" w:right="0" w:firstLine="480"/>
              <w:rPr>
                <w:rFonts w:hint="eastAsia" w:ascii="Calibri" w:hAnsi="Calibri" w:eastAsia="宋体" w:cs="Times New Roman"/>
                <w:color w:val="auto"/>
                <w:sz w:val="24"/>
              </w:rPr>
            </w:pPr>
            <w:r>
              <w:rPr>
                <w:rFonts w:hint="eastAsia" w:ascii="Calibri" w:hAnsi="Calibri" w:eastAsia="宋体" w:cs="Times New Roman"/>
                <w:color w:val="auto"/>
                <w:sz w:val="24"/>
              </w:rPr>
              <w:t>项目无生产废水外排；生活污水经防渗旱厕处理后用于周边林木施肥。</w:t>
            </w:r>
          </w:p>
          <w:p w14:paraId="19F6E5FA">
            <w:pPr>
              <w:keepNext w:val="0"/>
              <w:keepLines w:val="0"/>
              <w:suppressLineNumbers w:val="0"/>
              <w:adjustRightInd w:val="0"/>
              <w:snapToGrid w:val="0"/>
              <w:spacing w:before="0" w:beforeAutospacing="0" w:after="0" w:afterAutospacing="0" w:line="360" w:lineRule="auto"/>
              <w:ind w:left="0" w:right="0" w:firstLine="480"/>
              <w:rPr>
                <w:rFonts w:hint="eastAsia" w:ascii="Calibri" w:hAnsi="Calibri" w:eastAsia="宋体" w:cs="Times New Roman"/>
                <w:color w:val="auto"/>
                <w:sz w:val="24"/>
              </w:rPr>
            </w:pPr>
            <w:r>
              <w:rPr>
                <w:rFonts w:hint="eastAsia" w:ascii="Calibri" w:hAnsi="Calibri" w:eastAsia="宋体" w:cs="Times New Roman"/>
                <w:color w:val="auto"/>
                <w:sz w:val="24"/>
              </w:rPr>
              <w:t>根据广西防城港生态环境局网站公布的《2025年10月和1-10月防城港市重点生态功能区县域环境质量状况》，2025年10月，各县域平均水质优良比例均为100%，同比持平。月度水质达标率（Ⅲ类或优于Ⅲ类）为100%，同比持平。地表水水质指数范围为3.1939~3.5226，防城区同比上升了39.0%。各县域监测断面水质均为Ⅱ类水质，同比持平。</w:t>
            </w:r>
          </w:p>
          <w:p w14:paraId="54169E9E">
            <w:pPr>
              <w:keepNext w:val="0"/>
              <w:keepLines w:val="0"/>
              <w:suppressLineNumbers w:val="0"/>
              <w:adjustRightInd w:val="0"/>
              <w:snapToGrid w:val="0"/>
              <w:spacing w:before="0" w:beforeAutospacing="0" w:after="0" w:afterAutospacing="0" w:line="360" w:lineRule="auto"/>
              <w:ind w:left="0" w:right="0" w:firstLine="480"/>
              <w:rPr>
                <w:rFonts w:hint="eastAsia" w:ascii="Calibri" w:hAnsi="Calibri" w:eastAsia="宋体" w:cs="Times New Roman"/>
                <w:color w:val="auto"/>
                <w:sz w:val="24"/>
              </w:rPr>
            </w:pPr>
            <w:r>
              <w:rPr>
                <w:rFonts w:hint="eastAsia" w:ascii="Calibri" w:hAnsi="Calibri" w:eastAsia="宋体" w:cs="Times New Roman"/>
                <w:color w:val="auto"/>
                <w:sz w:val="24"/>
              </w:rPr>
              <w:t>2025年1-10月，各县域平均水质优良比例、水质达标率（Ⅲ类或优于Ⅲ类）均为100%，同比持平。地表水水质指数范围为2.7364~3.9878，防城区同比上升了6.4%。各县域监测断面水质均为Ⅱ类水质，同比持平。</w:t>
            </w:r>
          </w:p>
          <w:p w14:paraId="06068D10">
            <w:pPr>
              <w:pStyle w:val="107"/>
              <w:keepNext w:val="0"/>
              <w:keepLines w:val="0"/>
              <w:suppressLineNumbers w:val="0"/>
              <w:spacing w:before="0" w:beforeAutospacing="0" w:after="0" w:afterAutospacing="0" w:line="360" w:lineRule="auto"/>
              <w:ind w:left="0" w:right="0" w:firstLine="480"/>
              <w:rPr>
                <w:rFonts w:ascii="Calibri" w:hAnsi="Calibri" w:eastAsia="宋体" w:cs="Times New Roman"/>
                <w:color w:val="auto"/>
                <w:sz w:val="24"/>
              </w:rPr>
            </w:pPr>
            <w:r>
              <w:rPr>
                <w:rFonts w:hint="eastAsia" w:ascii="Calibri" w:hAnsi="Calibri" w:eastAsia="宋体" w:cs="Times New Roman"/>
                <w:color w:val="auto"/>
                <w:sz w:val="24"/>
              </w:rPr>
              <w:t>项目所在区域地表水环境质量良好。</w:t>
            </w:r>
          </w:p>
          <w:p w14:paraId="2AFBFD50">
            <w:pPr>
              <w:keepNext w:val="0"/>
              <w:keepLines w:val="0"/>
              <w:suppressLineNumbers w:val="0"/>
              <w:spacing w:before="0" w:beforeAutospacing="0" w:after="0" w:afterAutospacing="0" w:line="360" w:lineRule="auto"/>
              <w:ind w:left="0" w:right="0"/>
              <w:contextualSpacing/>
              <w:rPr>
                <w:rFonts w:ascii="Calibri" w:hAnsi="Calibri" w:eastAsia="宋体" w:cs="Times New Roman"/>
                <w:b/>
                <w:bCs/>
                <w:color w:val="auto"/>
                <w:sz w:val="24"/>
              </w:rPr>
            </w:pPr>
            <w:r>
              <w:rPr>
                <w:rFonts w:hint="eastAsia" w:ascii="Calibri" w:hAnsi="Calibri" w:eastAsia="宋体" w:cs="Times New Roman"/>
                <w:b/>
                <w:bCs/>
                <w:color w:val="auto"/>
                <w:sz w:val="24"/>
              </w:rPr>
              <w:t>三</w:t>
            </w:r>
            <w:r>
              <w:rPr>
                <w:rFonts w:ascii="Calibri" w:hAnsi="Calibri" w:eastAsia="宋体" w:cs="Times New Roman"/>
                <w:b/>
                <w:bCs/>
                <w:color w:val="auto"/>
                <w:sz w:val="24"/>
              </w:rPr>
              <w:t>、声环境质量现状</w:t>
            </w:r>
          </w:p>
          <w:p w14:paraId="63C44A12">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项目厂界外周边50m范围内无声环境保护目标，周边环境主要是坑塘、</w:t>
            </w:r>
            <w:r>
              <w:rPr>
                <w:rFonts w:hint="eastAsia" w:ascii="Times New Roman" w:hAnsi="Times New Roman" w:eastAsia="宋体" w:cs="Times New Roman"/>
                <w:color w:val="auto"/>
                <w:sz w:val="24"/>
              </w:rPr>
              <w:t>山林地、企业</w:t>
            </w:r>
            <w:r>
              <w:rPr>
                <w:rFonts w:hint="eastAsia" w:ascii="Calibri" w:hAnsi="Calibri" w:eastAsia="宋体" w:cs="Times New Roman"/>
                <w:color w:val="auto"/>
                <w:sz w:val="24"/>
              </w:rPr>
              <w:t>。项目企业均严格按照环保要求采取措施，经距离衰减后，区域声环境质量现状良好。</w:t>
            </w:r>
          </w:p>
          <w:p w14:paraId="492CCC10">
            <w:pPr>
              <w:keepNext w:val="0"/>
              <w:keepLines w:val="0"/>
              <w:suppressLineNumbers w:val="0"/>
              <w:adjustRightInd w:val="0"/>
              <w:snapToGrid w:val="0"/>
              <w:spacing w:before="0" w:beforeAutospacing="0" w:after="0" w:afterAutospacing="0" w:line="360" w:lineRule="auto"/>
              <w:ind w:left="0" w:right="0"/>
              <w:rPr>
                <w:rFonts w:ascii="Calibri" w:hAnsi="Calibri" w:eastAsia="宋体" w:cs="Times New Roman"/>
                <w:b/>
                <w:bCs/>
                <w:color w:val="auto"/>
                <w:sz w:val="24"/>
              </w:rPr>
            </w:pPr>
            <w:r>
              <w:rPr>
                <w:rFonts w:hint="eastAsia" w:ascii="Calibri" w:hAnsi="Calibri" w:eastAsia="宋体" w:cs="Times New Roman"/>
                <w:b/>
                <w:bCs/>
                <w:color w:val="auto"/>
                <w:sz w:val="24"/>
              </w:rPr>
              <w:t>四、</w:t>
            </w:r>
            <w:r>
              <w:rPr>
                <w:rFonts w:ascii="Calibri" w:hAnsi="Calibri" w:eastAsia="宋体" w:cs="Times New Roman"/>
                <w:b/>
                <w:bCs/>
                <w:color w:val="auto"/>
                <w:sz w:val="24"/>
              </w:rPr>
              <w:t>生态环境现状</w:t>
            </w:r>
          </w:p>
          <w:p w14:paraId="3BA6D87F">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项目</w:t>
            </w:r>
            <w:r>
              <w:rPr>
                <w:rFonts w:ascii="Calibri" w:hAnsi="Calibri" w:eastAsia="宋体" w:cs="Times New Roman"/>
                <w:color w:val="auto"/>
                <w:sz w:val="24"/>
              </w:rPr>
              <w:t>所在区域周边</w:t>
            </w:r>
            <w:r>
              <w:rPr>
                <w:rFonts w:hint="eastAsia" w:ascii="Calibri" w:hAnsi="Calibri" w:eastAsia="宋体" w:cs="Times New Roman"/>
                <w:color w:val="auto"/>
                <w:sz w:val="24"/>
              </w:rPr>
              <w:t>主要为坑塘、</w:t>
            </w:r>
            <w:r>
              <w:rPr>
                <w:rFonts w:hint="eastAsia" w:ascii="Times New Roman" w:hAnsi="Times New Roman" w:eastAsia="宋体" w:cs="Times New Roman"/>
                <w:color w:val="auto"/>
                <w:sz w:val="24"/>
              </w:rPr>
              <w:t>山林地、企业</w:t>
            </w:r>
            <w:r>
              <w:rPr>
                <w:rFonts w:ascii="Calibri" w:hAnsi="Calibri" w:eastAsia="宋体" w:cs="Times New Roman"/>
                <w:color w:val="auto"/>
                <w:sz w:val="24"/>
              </w:rPr>
              <w:t>，价范围内植被结构较简单，类型较少</w:t>
            </w:r>
            <w:r>
              <w:rPr>
                <w:rFonts w:hint="eastAsia" w:ascii="Calibri" w:hAnsi="Calibri" w:eastAsia="宋体" w:cs="Times New Roman"/>
                <w:color w:val="auto"/>
                <w:sz w:val="24"/>
              </w:rPr>
              <w:t>，主要是桉树、荒草等</w:t>
            </w:r>
            <w:r>
              <w:rPr>
                <w:rFonts w:ascii="Calibri" w:hAnsi="Calibri" w:eastAsia="宋体" w:cs="Times New Roman"/>
                <w:color w:val="auto"/>
                <w:sz w:val="24"/>
              </w:rPr>
              <w:t>。区域现存的野生动物主要是一些小型常见的动物，如鸟类、蛇类、鼠类、昆虫类等。</w:t>
            </w:r>
          </w:p>
          <w:p w14:paraId="7F4024DD">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rPr>
            </w:pPr>
            <w:r>
              <w:rPr>
                <w:rFonts w:ascii="Calibri" w:hAnsi="Calibri" w:eastAsia="宋体" w:cs="Times New Roman"/>
                <w:color w:val="auto"/>
                <w:sz w:val="24"/>
              </w:rPr>
              <w:t>评价区域范围内无自然保护区、风景名胜区及文化遗产等特殊保护目标，生态环境不属于敏感区。</w:t>
            </w:r>
          </w:p>
        </w:tc>
      </w:tr>
      <w:tr w14:paraId="7063E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8" w:hRule="atLeast"/>
          <w:jc w:val="center"/>
        </w:trPr>
        <w:tc>
          <w:tcPr>
            <w:tcW w:w="800" w:type="dxa"/>
            <w:noWrap w:val="0"/>
            <w:vAlign w:val="center"/>
          </w:tcPr>
          <w:p w14:paraId="168D305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环境</w:t>
            </w:r>
          </w:p>
          <w:p w14:paraId="090FE6B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保护</w:t>
            </w:r>
          </w:p>
          <w:p w14:paraId="44D9785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 w:val="24"/>
              </w:rPr>
              <w:t>目标</w:t>
            </w:r>
          </w:p>
        </w:tc>
        <w:tc>
          <w:tcPr>
            <w:tcW w:w="8639" w:type="dxa"/>
            <w:noWrap w:val="0"/>
            <w:vAlign w:val="center"/>
          </w:tcPr>
          <w:p w14:paraId="581D10A8">
            <w:pPr>
              <w:keepNext w:val="0"/>
              <w:keepLines w:val="0"/>
              <w:suppressLineNumbers w:val="0"/>
              <w:spacing w:before="120" w:beforeLines="50" w:beforeAutospacing="0" w:after="0" w:afterAutospacing="0" w:line="360" w:lineRule="auto"/>
              <w:ind w:left="0" w:right="0" w:firstLine="482" w:firstLineChars="200"/>
              <w:rPr>
                <w:rFonts w:hint="eastAsia" w:ascii="Calibri" w:hAnsi="Calibri" w:eastAsia="宋体" w:cs="Times New Roman"/>
                <w:b/>
                <w:bCs/>
                <w:color w:val="auto"/>
                <w:sz w:val="24"/>
              </w:rPr>
            </w:pPr>
            <w:r>
              <w:rPr>
                <w:rFonts w:hint="eastAsia" w:ascii="Calibri" w:hAnsi="Calibri" w:eastAsia="宋体" w:cs="Times New Roman"/>
                <w:b/>
                <w:bCs/>
                <w:color w:val="auto"/>
                <w:sz w:val="24"/>
              </w:rPr>
              <w:t>项目环境保护目标如下：</w:t>
            </w:r>
          </w:p>
          <w:p w14:paraId="2D474FD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hint="eastAsia" w:ascii="Calibri" w:hAnsi="Calibri" w:eastAsia="宋体" w:cs="Times New Roman"/>
                <w:color w:val="auto"/>
                <w:sz w:val="24"/>
              </w:rPr>
              <w:t>（1）环境空气保护目标</w:t>
            </w:r>
          </w:p>
          <w:p w14:paraId="516D43A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hint="eastAsia" w:ascii="Calibri" w:hAnsi="Calibri" w:eastAsia="宋体" w:cs="Times New Roman"/>
                <w:color w:val="auto"/>
                <w:sz w:val="24"/>
              </w:rPr>
              <w:t>根据本项目的环境影响特点和项目周围的环境特征，大气环境保护目标见表3-2。</w:t>
            </w:r>
          </w:p>
          <w:p w14:paraId="656521C4">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b/>
                <w:bCs/>
                <w:color w:val="auto"/>
                <w:sz w:val="24"/>
              </w:rPr>
            </w:pPr>
            <w:r>
              <w:rPr>
                <w:rFonts w:ascii="Calibri" w:hAnsi="Calibri" w:eastAsia="宋体" w:cs="Times New Roman"/>
                <w:b/>
                <w:bCs/>
                <w:color w:val="auto"/>
                <w:sz w:val="24"/>
              </w:rPr>
              <w:t>表</w:t>
            </w:r>
            <w:r>
              <w:rPr>
                <w:rFonts w:hint="eastAsia" w:ascii="Calibri" w:hAnsi="Calibri" w:eastAsia="宋体" w:cs="Times New Roman"/>
                <w:b/>
                <w:bCs/>
                <w:color w:val="auto"/>
                <w:sz w:val="24"/>
              </w:rPr>
              <w:t>3-2</w:t>
            </w:r>
            <w:r>
              <w:rPr>
                <w:rFonts w:ascii="Calibri" w:hAnsi="Calibri" w:eastAsia="宋体" w:cs="Times New Roman"/>
                <w:b/>
                <w:bCs/>
                <w:color w:val="auto"/>
                <w:sz w:val="24"/>
              </w:rPr>
              <w:t xml:space="preserve"> 项目环境保护目标及保护级别一览表</w:t>
            </w:r>
          </w:p>
          <w:tbl>
            <w:tblPr>
              <w:tblStyle w:val="26"/>
              <w:tblW w:w="4998"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471"/>
              <w:gridCol w:w="1909"/>
              <w:gridCol w:w="1727"/>
              <w:gridCol w:w="811"/>
              <w:gridCol w:w="812"/>
              <w:gridCol w:w="994"/>
              <w:gridCol w:w="1691"/>
            </w:tblGrid>
            <w:tr w14:paraId="6E3D67F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76" w:hRule="atLeast"/>
                <w:jc w:val="center"/>
              </w:trPr>
              <w:tc>
                <w:tcPr>
                  <w:tcW w:w="280" w:type="pct"/>
                  <w:noWrap w:val="0"/>
                  <w:vAlign w:val="center"/>
                </w:tcPr>
                <w:p w14:paraId="3D44BC9D">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w:t>名称</w:t>
                  </w:r>
                </w:p>
              </w:tc>
              <w:tc>
                <w:tcPr>
                  <w:tcW w:w="1134" w:type="pct"/>
                  <w:noWrap w:val="0"/>
                  <w:vAlign w:val="center"/>
                </w:tcPr>
                <w:p w14:paraId="6D7AA145">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w:t>保护对象</w:t>
                  </w:r>
                </w:p>
              </w:tc>
              <w:tc>
                <w:tcPr>
                  <w:tcW w:w="1026" w:type="pct"/>
                  <w:noWrap w:val="0"/>
                  <w:vAlign w:val="center"/>
                </w:tcPr>
                <w:p w14:paraId="5FACC19B">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w:t>保护内容</w:t>
                  </w:r>
                </w:p>
              </w:tc>
              <w:tc>
                <w:tcPr>
                  <w:tcW w:w="482" w:type="pct"/>
                  <w:noWrap w:val="0"/>
                  <w:vAlign w:val="center"/>
                </w:tcPr>
                <w:p w14:paraId="041A1DFA">
                  <w:pPr>
                    <w:pStyle w:val="85"/>
                    <w:keepNext w:val="0"/>
                    <w:keepLines w:val="0"/>
                    <w:widowControl w:val="0"/>
                    <w:suppressLineNumbers w:val="0"/>
                    <w:pBdr>
                      <w:right w:val="none" w:color="auto" w:sz="0" w:space="0"/>
                    </w:pBdr>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性质</w:t>
                  </w:r>
                </w:p>
              </w:tc>
              <w:tc>
                <w:tcPr>
                  <w:tcW w:w="482" w:type="pct"/>
                  <w:noWrap w:val="0"/>
                  <w:vAlign w:val="center"/>
                </w:tcPr>
                <w:p w14:paraId="4148C57B">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w:t>相对厂址方位</w:t>
                  </w:r>
                </w:p>
              </w:tc>
              <w:tc>
                <w:tcPr>
                  <w:tcW w:w="590" w:type="pct"/>
                  <w:noWrap w:val="0"/>
                  <w:vAlign w:val="center"/>
                </w:tcPr>
                <w:p w14:paraId="74D76B8D">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w:t>相对厂址距离</w:t>
                  </w:r>
                </w:p>
              </w:tc>
              <w:tc>
                <w:tcPr>
                  <w:tcW w:w="1004" w:type="pct"/>
                  <w:vMerge w:val="restart"/>
                  <w:noWrap w:val="0"/>
                  <w:vAlign w:val="center"/>
                </w:tcPr>
                <w:p w14:paraId="77AA04AA">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w:t>环境功能区</w:t>
                  </w:r>
                </w:p>
              </w:tc>
            </w:tr>
            <w:tr w14:paraId="408F6FF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280" w:type="pct"/>
                  <w:noWrap w:val="0"/>
                  <w:vAlign w:val="center"/>
                </w:tcPr>
                <w:p w14:paraId="64E32810">
                  <w:pPr>
                    <w:pStyle w:val="6"/>
                    <w:keepNext w:val="0"/>
                    <w:keepLines w:val="0"/>
                    <w:suppressLineNumbers w:val="0"/>
                    <w:spacing w:before="0" w:beforeAutospacing="0" w:after="0" w:afterAutospacing="0"/>
                    <w:ind w:left="0" w:right="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1134" w:type="pct"/>
                  <w:noWrap w:val="0"/>
                  <w:vAlign w:val="center"/>
                </w:tcPr>
                <w:p w14:paraId="76AF920D">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石古脑村</w:t>
                  </w:r>
                </w:p>
              </w:tc>
              <w:tc>
                <w:tcPr>
                  <w:tcW w:w="1026" w:type="pct"/>
                  <w:noWrap w:val="0"/>
                  <w:vAlign w:val="center"/>
                </w:tcPr>
                <w:p w14:paraId="73E69AB1">
                  <w:pPr>
                    <w:pStyle w:val="85"/>
                    <w:keepNext w:val="0"/>
                    <w:keepLines w:val="0"/>
                    <w:widowControl w:val="0"/>
                    <w:suppressLineNumbers w:val="0"/>
                    <w:pBdr>
                      <w:right w:val="none" w:color="auto" w:sz="0" w:space="0"/>
                    </w:pBdr>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6户（30人）</w:t>
                  </w:r>
                </w:p>
              </w:tc>
              <w:tc>
                <w:tcPr>
                  <w:tcW w:w="482" w:type="pct"/>
                  <w:noWrap w:val="0"/>
                  <w:vAlign w:val="center"/>
                </w:tcPr>
                <w:p w14:paraId="437AE59B">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居住</w:t>
                  </w:r>
                </w:p>
              </w:tc>
              <w:tc>
                <w:tcPr>
                  <w:tcW w:w="482" w:type="pct"/>
                  <w:noWrap w:val="0"/>
                  <w:vAlign w:val="center"/>
                </w:tcPr>
                <w:p w14:paraId="3F457C87">
                  <w:pPr>
                    <w:pStyle w:val="85"/>
                    <w:keepNext w:val="0"/>
                    <w:keepLines w:val="0"/>
                    <w:widowControl w:val="0"/>
                    <w:suppressLineNumbers w:val="0"/>
                    <w:pBdr>
                      <w:right w:val="none" w:color="auto" w:sz="0" w:space="0"/>
                    </w:pBdr>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西北面</w:t>
                  </w:r>
                </w:p>
              </w:tc>
              <w:tc>
                <w:tcPr>
                  <w:tcW w:w="590" w:type="pct"/>
                  <w:noWrap w:val="0"/>
                  <w:vAlign w:val="center"/>
                </w:tcPr>
                <w:p w14:paraId="3A62C735">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330m</w:t>
                  </w:r>
                </w:p>
              </w:tc>
              <w:tc>
                <w:tcPr>
                  <w:tcW w:w="1004" w:type="pct"/>
                  <w:vMerge w:val="restart"/>
                  <w:noWrap w:val="0"/>
                  <w:vAlign w:val="center"/>
                </w:tcPr>
                <w:p w14:paraId="09E5B298">
                  <w:pPr>
                    <w:pStyle w:val="6"/>
                    <w:keepNext w:val="0"/>
                    <w:keepLines w:val="0"/>
                    <w:suppressLineNumbers w:val="0"/>
                    <w:spacing w:before="0" w:beforeAutospacing="0" w:after="0" w:afterAutospacing="0"/>
                    <w:ind w:left="0" w:right="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GB3095-20</w:t>
                  </w:r>
                  <w:r>
                    <w:rPr>
                      <w:rFonts w:hint="eastAsia" w:ascii="Times New Roman" w:hAnsi="Times New Roman" w:eastAsia="宋体" w:cs="Times New Roman"/>
                      <w:color w:val="auto"/>
                      <w:sz w:val="21"/>
                      <w:szCs w:val="21"/>
                    </w:rPr>
                    <w:t>26</w:t>
                  </w:r>
                </w:p>
                <w:p w14:paraId="1D5205AC">
                  <w:pPr>
                    <w:pStyle w:val="6"/>
                    <w:keepNext w:val="0"/>
                    <w:keepLines w:val="0"/>
                    <w:suppressLineNumbers w:val="0"/>
                    <w:spacing w:before="0" w:beforeAutospacing="0" w:after="0" w:afterAutospacing="0"/>
                    <w:ind w:left="0" w:right="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二级标准</w:t>
                  </w:r>
                </w:p>
              </w:tc>
            </w:tr>
            <w:tr w14:paraId="0EEA4EB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280" w:type="pct"/>
                  <w:noWrap w:val="0"/>
                  <w:vAlign w:val="center"/>
                </w:tcPr>
                <w:p w14:paraId="024135D3">
                  <w:pPr>
                    <w:pStyle w:val="6"/>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1134" w:type="pct"/>
                  <w:noWrap w:val="0"/>
                  <w:vAlign w:val="center"/>
                </w:tcPr>
                <w:p w14:paraId="5CD9DB4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黎竹坪村</w:t>
                  </w:r>
                </w:p>
              </w:tc>
              <w:tc>
                <w:tcPr>
                  <w:tcW w:w="1026" w:type="pct"/>
                  <w:noWrap w:val="0"/>
                  <w:vAlign w:val="center"/>
                </w:tcPr>
                <w:p w14:paraId="76BE8D00">
                  <w:pPr>
                    <w:pStyle w:val="85"/>
                    <w:keepNext w:val="0"/>
                    <w:keepLines w:val="0"/>
                    <w:widowControl w:val="0"/>
                    <w:suppressLineNumbers w:val="0"/>
                    <w:pBdr>
                      <w:right w:val="none" w:color="auto" w:sz="0" w:space="0"/>
                    </w:pBdr>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10户（40人）</w:t>
                  </w:r>
                </w:p>
              </w:tc>
              <w:tc>
                <w:tcPr>
                  <w:tcW w:w="482" w:type="pct"/>
                  <w:noWrap w:val="0"/>
                  <w:vAlign w:val="center"/>
                </w:tcPr>
                <w:p w14:paraId="7174F09A">
                  <w:pPr>
                    <w:pStyle w:val="85"/>
                    <w:keepNext w:val="0"/>
                    <w:keepLines w:val="0"/>
                    <w:widowControl w:val="0"/>
                    <w:suppressLineNumbers w:val="0"/>
                    <w:pBdr>
                      <w:right w:val="none" w:color="auto" w:sz="0" w:space="0"/>
                    </w:pBdr>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居住</w:t>
                  </w:r>
                </w:p>
              </w:tc>
              <w:tc>
                <w:tcPr>
                  <w:tcW w:w="482" w:type="pct"/>
                  <w:noWrap w:val="0"/>
                  <w:vAlign w:val="center"/>
                </w:tcPr>
                <w:p w14:paraId="4830E485">
                  <w:pPr>
                    <w:pStyle w:val="85"/>
                    <w:keepNext w:val="0"/>
                    <w:keepLines w:val="0"/>
                    <w:widowControl w:val="0"/>
                    <w:suppressLineNumbers w:val="0"/>
                    <w:pBdr>
                      <w:right w:val="none" w:color="auto" w:sz="0" w:space="0"/>
                    </w:pBdr>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西南面</w:t>
                  </w:r>
                </w:p>
              </w:tc>
              <w:tc>
                <w:tcPr>
                  <w:tcW w:w="590" w:type="pct"/>
                  <w:noWrap w:val="0"/>
                  <w:vAlign w:val="center"/>
                </w:tcPr>
                <w:p w14:paraId="1456BFE5">
                  <w:pPr>
                    <w:pStyle w:val="85"/>
                    <w:keepNext w:val="0"/>
                    <w:keepLines w:val="0"/>
                    <w:widowControl w:val="0"/>
                    <w:suppressLineNumbers w:val="0"/>
                    <w:pBdr>
                      <w:right w:val="none" w:color="auto" w:sz="0" w:space="0"/>
                    </w:pBdr>
                    <w:spacing w:before="0" w:beforeAutospacing="0" w:after="0"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300m</w:t>
                  </w:r>
                </w:p>
              </w:tc>
              <w:tc>
                <w:tcPr>
                  <w:tcW w:w="1004" w:type="pct"/>
                  <w:vMerge w:val="continue"/>
                  <w:noWrap w:val="0"/>
                  <w:vAlign w:val="center"/>
                </w:tcPr>
                <w:p w14:paraId="7AD30F3A">
                  <w:pPr>
                    <w:pStyle w:val="6"/>
                    <w:keepNext w:val="0"/>
                    <w:keepLines w:val="0"/>
                    <w:suppressLineNumbers w:val="0"/>
                    <w:spacing w:before="0" w:beforeAutospacing="0" w:after="0" w:afterAutospacing="0"/>
                    <w:ind w:left="0" w:right="0"/>
                    <w:jc w:val="center"/>
                    <w:rPr>
                      <w:rFonts w:ascii="Times New Roman" w:hAnsi="Times New Roman" w:eastAsia="宋体" w:cs="Times New Roman"/>
                      <w:color w:val="auto"/>
                      <w:sz w:val="21"/>
                      <w:szCs w:val="21"/>
                    </w:rPr>
                  </w:pPr>
                </w:p>
              </w:tc>
            </w:tr>
          </w:tbl>
          <w:p w14:paraId="163D3359">
            <w:pPr>
              <w:keepNext w:val="0"/>
              <w:keepLines w:val="0"/>
              <w:suppressLineNumbers w:val="0"/>
              <w:spacing w:before="120" w:beforeLines="50" w:beforeAutospacing="0" w:after="0" w:afterAutospacing="0" w:line="360" w:lineRule="auto"/>
              <w:ind w:left="0" w:right="0" w:firstLine="480" w:firstLineChars="200"/>
              <w:rPr>
                <w:rFonts w:hint="eastAsia" w:ascii="Calibri" w:hAnsi="Calibri" w:eastAsia="宋体" w:cs="Times New Roman"/>
                <w:color w:val="auto"/>
                <w:sz w:val="24"/>
              </w:rPr>
            </w:pPr>
            <w:r>
              <w:rPr>
                <w:rFonts w:hint="eastAsia" w:ascii="Calibri" w:hAnsi="Calibri" w:eastAsia="宋体" w:cs="Times New Roman"/>
                <w:color w:val="auto"/>
                <w:sz w:val="24"/>
              </w:rPr>
              <w:t>（2）声环境保护目标</w:t>
            </w:r>
          </w:p>
          <w:p w14:paraId="31B58BD7">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根据项目</w:t>
            </w:r>
            <w:r>
              <w:rPr>
                <w:rFonts w:hint="eastAsia" w:ascii="Calibri" w:hAnsi="Calibri" w:eastAsia="宋体" w:cs="Times New Roman"/>
                <w:color w:val="auto"/>
                <w:sz w:val="24"/>
              </w:rPr>
              <w:t>周边</w:t>
            </w:r>
            <w:r>
              <w:rPr>
                <w:rFonts w:ascii="Calibri" w:hAnsi="Calibri" w:eastAsia="宋体" w:cs="Times New Roman"/>
                <w:color w:val="auto"/>
                <w:sz w:val="24"/>
              </w:rPr>
              <w:t>环境</w:t>
            </w:r>
            <w:r>
              <w:rPr>
                <w:rFonts w:hint="eastAsia" w:ascii="Calibri" w:hAnsi="Calibri" w:eastAsia="宋体" w:cs="Times New Roman"/>
                <w:color w:val="auto"/>
                <w:sz w:val="24"/>
              </w:rPr>
              <w:t>，项目周</w:t>
            </w:r>
            <w:r>
              <w:rPr>
                <w:rFonts w:ascii="Calibri" w:hAnsi="Calibri" w:eastAsia="宋体" w:cs="Times New Roman"/>
                <w:color w:val="auto"/>
                <w:sz w:val="24"/>
              </w:rPr>
              <w:t>边</w:t>
            </w:r>
            <w:r>
              <w:rPr>
                <w:rFonts w:hint="eastAsia" w:ascii="Calibri" w:hAnsi="Calibri" w:eastAsia="宋体" w:cs="Times New Roman"/>
                <w:color w:val="auto"/>
                <w:sz w:val="24"/>
              </w:rPr>
              <w:t>5</w:t>
            </w:r>
            <w:r>
              <w:rPr>
                <w:rFonts w:ascii="Calibri" w:hAnsi="Calibri" w:eastAsia="宋体" w:cs="Times New Roman"/>
                <w:color w:val="auto"/>
                <w:sz w:val="24"/>
              </w:rPr>
              <w:t>0m无声环境保护敏感点。</w:t>
            </w:r>
          </w:p>
          <w:p w14:paraId="3FD1B142">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（3）地</w:t>
            </w:r>
            <w:r>
              <w:rPr>
                <w:rFonts w:hint="eastAsia" w:ascii="Calibri" w:hAnsi="Calibri" w:eastAsia="宋体" w:cs="Times New Roman"/>
                <w:color w:val="auto"/>
                <w:sz w:val="24"/>
              </w:rPr>
              <w:t>下</w:t>
            </w:r>
            <w:r>
              <w:rPr>
                <w:rFonts w:ascii="Calibri" w:hAnsi="Calibri" w:eastAsia="宋体" w:cs="Times New Roman"/>
                <w:color w:val="auto"/>
                <w:sz w:val="24"/>
              </w:rPr>
              <w:t>水环境保护目标</w:t>
            </w:r>
          </w:p>
          <w:p w14:paraId="1D6F54BC">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hint="eastAsia" w:ascii="Calibri" w:hAnsi="Calibri" w:eastAsia="宋体" w:cs="Times New Roman"/>
                <w:color w:val="auto"/>
                <w:sz w:val="24"/>
              </w:rPr>
              <w:t>项目厂界外500 米范围内无地下水集中式饮用水水源和热水、矿泉水、温泉等特殊地下水保护目标。</w:t>
            </w:r>
          </w:p>
          <w:p w14:paraId="428BF0A0">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（4）生态环境保护目标</w:t>
            </w:r>
          </w:p>
          <w:p w14:paraId="62A7EE99">
            <w:pPr>
              <w:pStyle w:val="44"/>
              <w:keepNext w:val="0"/>
              <w:keepLines w:val="0"/>
              <w:suppressLineNumbers w:val="0"/>
              <w:spacing w:before="0" w:beforeAutospacing="0" w:after="0" w:afterAutospacing="0" w:line="360" w:lineRule="auto"/>
              <w:ind w:left="0" w:right="0" w:firstLine="480"/>
              <w:rPr>
                <w:rFonts w:ascii="宋体" w:hAnsi="宋体" w:eastAsia="宋体" w:cs="宋体"/>
                <w:color w:val="auto"/>
                <w:kern w:val="0"/>
                <w:szCs w:val="21"/>
              </w:rPr>
            </w:pPr>
            <w:r>
              <w:rPr>
                <w:rFonts w:hint="eastAsia" w:ascii="Calibri" w:hAnsi="Calibri" w:eastAsia="宋体" w:cs="Times New Roman"/>
                <w:color w:val="auto"/>
              </w:rPr>
              <w:t>项目所在区域无国家级、自治区级濒危动、植物，项目所在地也不属于特殊栖息地保护区、文物古迹等敏感区域，无生态环境保护目标。</w:t>
            </w:r>
          </w:p>
        </w:tc>
      </w:tr>
      <w:tr w14:paraId="39161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00" w:type="dxa"/>
            <w:noWrap w:val="0"/>
            <w:tcMar>
              <w:left w:w="28" w:type="dxa"/>
              <w:right w:w="28" w:type="dxa"/>
            </w:tcMar>
            <w:vAlign w:val="center"/>
          </w:tcPr>
          <w:p w14:paraId="4AEA3C3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污染</w:t>
            </w:r>
          </w:p>
          <w:p w14:paraId="3D7EF8B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物排</w:t>
            </w:r>
          </w:p>
          <w:p w14:paraId="585289E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放控</w:t>
            </w:r>
          </w:p>
          <w:p w14:paraId="72DD73A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制标</w:t>
            </w:r>
          </w:p>
          <w:p w14:paraId="0042CE69">
            <w:pPr>
              <w:keepNext w:val="0"/>
              <w:keepLines w:val="0"/>
              <w:suppressLineNumbers w:val="0"/>
              <w:adjustRightInd w:val="0"/>
              <w:snapToGrid w:val="0"/>
              <w:spacing w:before="0" w:beforeAutospacing="0" w:after="0" w:afterAutospacing="0"/>
              <w:ind w:left="0" w:right="0"/>
              <w:jc w:val="center"/>
              <w:rPr>
                <w:rFonts w:ascii="宋体" w:hAnsi="宋体" w:eastAsia="宋体" w:cs="宋体"/>
                <w:color w:val="auto"/>
                <w:kern w:val="0"/>
                <w:szCs w:val="21"/>
              </w:rPr>
            </w:pPr>
            <w:r>
              <w:rPr>
                <w:rFonts w:hint="eastAsia" w:ascii="宋体" w:hAnsi="宋体" w:eastAsia="宋体" w:cs="宋体"/>
                <w:color w:val="auto"/>
                <w:kern w:val="0"/>
                <w:sz w:val="24"/>
              </w:rPr>
              <w:t>准</w:t>
            </w:r>
          </w:p>
        </w:tc>
        <w:tc>
          <w:tcPr>
            <w:tcW w:w="8639" w:type="dxa"/>
            <w:noWrap w:val="0"/>
            <w:vAlign w:val="center"/>
          </w:tcPr>
          <w:p w14:paraId="324D463C">
            <w:pPr>
              <w:keepNext w:val="0"/>
              <w:keepLines w:val="0"/>
              <w:suppressLineNumbers w:val="0"/>
              <w:adjustRightInd w:val="0"/>
              <w:snapToGrid w:val="0"/>
              <w:spacing w:before="120" w:beforeLines="50" w:beforeAutospacing="0" w:after="0" w:afterAutospacing="0" w:line="360" w:lineRule="auto"/>
              <w:ind w:left="0" w:right="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一、施工期</w:t>
            </w:r>
          </w:p>
          <w:p w14:paraId="6E6AC500">
            <w:pPr>
              <w:keepNext w:val="0"/>
              <w:keepLines w:val="0"/>
              <w:suppressLineNumbers w:val="0"/>
              <w:adjustRightInd w:val="0"/>
              <w:snapToGrid w:val="0"/>
              <w:spacing w:before="0" w:beforeAutospacing="0" w:after="0" w:afterAutospacing="0" w:line="360" w:lineRule="auto"/>
              <w:ind w:left="0" w:right="0" w:firstLine="482"/>
              <w:rPr>
                <w:rFonts w:ascii="Calibri" w:hAnsi="Calibri" w:eastAsia="宋体" w:cs="Times New Roman"/>
                <w:color w:val="auto"/>
                <w:sz w:val="24"/>
              </w:rPr>
            </w:pPr>
            <w:r>
              <w:rPr>
                <w:rFonts w:hint="eastAsia" w:ascii="Calibri" w:hAnsi="Calibri" w:eastAsia="宋体" w:cs="Times New Roman"/>
                <w:color w:val="auto"/>
                <w:sz w:val="24"/>
              </w:rPr>
              <w:t>1、废气：</w:t>
            </w:r>
            <w:r>
              <w:rPr>
                <w:rFonts w:ascii="Calibri" w:hAnsi="Calibri" w:eastAsia="宋体" w:cs="Times New Roman"/>
                <w:color w:val="auto"/>
                <w:sz w:val="24"/>
              </w:rPr>
              <w:t>废气排放执行《大气污染物综合排放标准》（GB16297-1996）表2</w:t>
            </w:r>
            <w:r>
              <w:rPr>
                <w:rFonts w:hint="eastAsia" w:ascii="Calibri" w:hAnsi="Calibri" w:eastAsia="宋体" w:cs="Times New Roman"/>
                <w:color w:val="auto"/>
                <w:sz w:val="24"/>
              </w:rPr>
              <w:t>中</w:t>
            </w:r>
            <w:r>
              <w:rPr>
                <w:rFonts w:ascii="Calibri" w:hAnsi="Calibri" w:eastAsia="宋体" w:cs="Times New Roman"/>
                <w:color w:val="auto"/>
                <w:sz w:val="24"/>
              </w:rPr>
              <w:t>无组织排放监控浓度限值，详见表</w:t>
            </w:r>
            <w:r>
              <w:rPr>
                <w:rFonts w:hint="eastAsia" w:ascii="Calibri" w:hAnsi="Calibri" w:eastAsia="宋体" w:cs="Times New Roman"/>
                <w:color w:val="auto"/>
                <w:sz w:val="24"/>
              </w:rPr>
              <w:t>3-3</w:t>
            </w:r>
            <w:r>
              <w:rPr>
                <w:rFonts w:ascii="Calibri" w:hAnsi="Calibri" w:eastAsia="宋体" w:cs="Times New Roman"/>
                <w:color w:val="auto"/>
                <w:sz w:val="24"/>
              </w:rPr>
              <w:t>。</w:t>
            </w:r>
          </w:p>
          <w:p w14:paraId="2AE6F17A">
            <w:pPr>
              <w:keepNext w:val="0"/>
              <w:keepLines w:val="0"/>
              <w:suppressLineNumbers w:val="0"/>
              <w:spacing w:before="0" w:beforeAutospacing="0" w:after="0" w:afterAutospacing="0"/>
              <w:ind w:left="0" w:right="0"/>
              <w:jc w:val="center"/>
              <w:rPr>
                <w:rFonts w:ascii="Calibri" w:hAnsi="Calibri" w:eastAsia="宋体" w:cs="Times New Roman"/>
                <w:b/>
                <w:bCs/>
                <w:color w:val="auto"/>
                <w:sz w:val="24"/>
              </w:rPr>
            </w:pPr>
            <w:r>
              <w:rPr>
                <w:rFonts w:ascii="Calibri" w:hAnsi="Calibri" w:eastAsia="宋体" w:cs="Times New Roman"/>
                <w:b/>
                <w:bCs/>
                <w:color w:val="auto"/>
                <w:sz w:val="24"/>
              </w:rPr>
              <w:t>表</w:t>
            </w:r>
            <w:r>
              <w:rPr>
                <w:rFonts w:hint="eastAsia" w:ascii="Calibri" w:hAnsi="Calibri" w:eastAsia="宋体" w:cs="Times New Roman"/>
                <w:b/>
                <w:bCs/>
                <w:color w:val="auto"/>
                <w:sz w:val="24"/>
              </w:rPr>
              <w:t xml:space="preserve">3-3  </w:t>
            </w:r>
            <w:r>
              <w:rPr>
                <w:rFonts w:ascii="Calibri" w:hAnsi="Calibri" w:eastAsia="宋体" w:cs="Times New Roman"/>
                <w:b/>
                <w:bCs/>
                <w:color w:val="auto"/>
                <w:sz w:val="24"/>
              </w:rPr>
              <w:t>大气污染物排放浓度限值</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3480"/>
              <w:gridCol w:w="3194"/>
            </w:tblGrid>
            <w:tr w14:paraId="1F1F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3" w:type="pct"/>
                  <w:vMerge w:val="restart"/>
                  <w:noWrap w:val="0"/>
                  <w:vAlign w:val="center"/>
                </w:tcPr>
                <w:p w14:paraId="317D12F1">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污染物</w:t>
                  </w:r>
                </w:p>
              </w:tc>
              <w:tc>
                <w:tcPr>
                  <w:tcW w:w="3966" w:type="pct"/>
                  <w:gridSpan w:val="2"/>
                  <w:noWrap w:val="0"/>
                  <w:vAlign w:val="center"/>
                </w:tcPr>
                <w:p w14:paraId="192ACCD0">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无组织排放监测浓度限值</w:t>
                  </w:r>
                </w:p>
              </w:tc>
            </w:tr>
            <w:tr w14:paraId="154F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3" w:type="pct"/>
                  <w:vMerge w:val="continue"/>
                  <w:noWrap w:val="0"/>
                  <w:vAlign w:val="center"/>
                </w:tcPr>
                <w:p w14:paraId="32884F6A">
                  <w:pPr>
                    <w:keepNext w:val="0"/>
                    <w:keepLines w:val="0"/>
                    <w:suppressLineNumbers w:val="0"/>
                    <w:spacing w:before="0" w:beforeAutospacing="0" w:after="0" w:afterAutospacing="0"/>
                    <w:ind w:left="0" w:right="0"/>
                    <w:jc w:val="center"/>
                    <w:rPr>
                      <w:rFonts w:ascii="Calibri" w:hAnsi="Calibri" w:eastAsia="宋体" w:cs="Times New Roman"/>
                      <w:color w:val="auto"/>
                    </w:rPr>
                  </w:pPr>
                </w:p>
              </w:tc>
              <w:tc>
                <w:tcPr>
                  <w:tcW w:w="2068" w:type="pct"/>
                  <w:noWrap w:val="0"/>
                  <w:vAlign w:val="center"/>
                </w:tcPr>
                <w:p w14:paraId="73CBCE0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监控点</w:t>
                  </w:r>
                </w:p>
              </w:tc>
              <w:tc>
                <w:tcPr>
                  <w:tcW w:w="1898" w:type="pct"/>
                  <w:noWrap w:val="0"/>
                  <w:vAlign w:val="center"/>
                </w:tcPr>
                <w:p w14:paraId="5FACBA4A">
                  <w:pPr>
                    <w:keepNext w:val="0"/>
                    <w:keepLines w:val="0"/>
                    <w:suppressLineNumbers w:val="0"/>
                    <w:snapToGrid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浓度（mg/m</w:t>
                  </w:r>
                  <w:r>
                    <w:rPr>
                      <w:rFonts w:ascii="Calibri" w:hAnsi="Calibri" w:eastAsia="宋体" w:cs="Times New Roman"/>
                      <w:color w:val="auto"/>
                      <w:vertAlign w:val="superscript"/>
                    </w:rPr>
                    <w:t>3</w:t>
                  </w:r>
                  <w:r>
                    <w:rPr>
                      <w:rFonts w:ascii="Calibri" w:hAnsi="Calibri" w:eastAsia="宋体" w:cs="Times New Roman"/>
                      <w:color w:val="auto"/>
                    </w:rPr>
                    <w:t>）</w:t>
                  </w:r>
                </w:p>
              </w:tc>
            </w:tr>
            <w:tr w14:paraId="16E3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33" w:type="pct"/>
                  <w:noWrap w:val="0"/>
                  <w:vAlign w:val="center"/>
                </w:tcPr>
                <w:p w14:paraId="342C1320">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颗粒物</w:t>
                  </w:r>
                </w:p>
              </w:tc>
              <w:tc>
                <w:tcPr>
                  <w:tcW w:w="2068" w:type="pct"/>
                  <w:noWrap w:val="0"/>
                  <w:vAlign w:val="center"/>
                </w:tcPr>
                <w:p w14:paraId="023F1EE1">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周界外浓度最高点</w:t>
                  </w:r>
                </w:p>
              </w:tc>
              <w:tc>
                <w:tcPr>
                  <w:tcW w:w="1898" w:type="pct"/>
                  <w:noWrap w:val="0"/>
                  <w:vAlign w:val="center"/>
                </w:tcPr>
                <w:p w14:paraId="0DBCF1F5">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1.0</w:t>
                  </w:r>
                </w:p>
              </w:tc>
            </w:tr>
          </w:tbl>
          <w:p w14:paraId="707E2532">
            <w:pPr>
              <w:keepNext w:val="0"/>
              <w:keepLines w:val="0"/>
              <w:numPr>
                <w:ilvl w:val="0"/>
                <w:numId w:val="3"/>
              </w:numPr>
              <w:suppressLineNumbers w:val="0"/>
              <w:tabs>
                <w:tab w:val="left" w:pos="5491"/>
              </w:tabs>
              <w:spacing w:before="120" w:beforeLines="50" w:beforeAutospacing="0" w:after="0" w:afterAutospacing="0" w:line="360" w:lineRule="auto"/>
              <w:ind w:left="0" w:right="0" w:firstLine="480" w:firstLineChars="200"/>
              <w:jc w:val="left"/>
              <w:outlineLvl w:val="0"/>
              <w:rPr>
                <w:rFonts w:ascii="Calibri" w:hAnsi="Calibri" w:eastAsia="宋体" w:cs="Times New Roman"/>
                <w:color w:val="auto"/>
                <w:sz w:val="24"/>
              </w:rPr>
            </w:pPr>
            <w:bookmarkStart w:id="19" w:name="_Toc22969"/>
            <w:bookmarkStart w:id="20" w:name="_Toc12452"/>
            <w:bookmarkStart w:id="21" w:name="_Toc15433"/>
            <w:bookmarkStart w:id="22" w:name="_Toc32182"/>
            <w:r>
              <w:rPr>
                <w:rFonts w:ascii="Calibri" w:hAnsi="Calibri" w:eastAsia="宋体" w:cs="Times New Roman"/>
                <w:color w:val="auto"/>
                <w:sz w:val="24"/>
              </w:rPr>
              <w:t>废水：</w:t>
            </w:r>
            <w:bookmarkEnd w:id="19"/>
            <w:bookmarkEnd w:id="20"/>
            <w:bookmarkEnd w:id="21"/>
            <w:r>
              <w:rPr>
                <w:rFonts w:ascii="Calibri" w:hAnsi="Calibri" w:eastAsia="宋体" w:cs="Times New Roman"/>
                <w:color w:val="auto"/>
                <w:sz w:val="24"/>
              </w:rPr>
              <w:t>生活污水经</w:t>
            </w:r>
            <w:r>
              <w:rPr>
                <w:rFonts w:hint="eastAsia" w:ascii="Calibri" w:hAnsi="Calibri" w:eastAsia="宋体" w:cs="Times New Roman"/>
                <w:color w:val="auto"/>
                <w:sz w:val="24"/>
              </w:rPr>
              <w:t>防渗旱厕</w:t>
            </w:r>
            <w:r>
              <w:rPr>
                <w:rFonts w:ascii="Calibri" w:hAnsi="Calibri" w:eastAsia="宋体" w:cs="Times New Roman"/>
                <w:color w:val="auto"/>
                <w:sz w:val="24"/>
              </w:rPr>
              <w:t>处理后</w:t>
            </w:r>
            <w:r>
              <w:rPr>
                <w:rFonts w:hint="eastAsia" w:ascii="Calibri" w:hAnsi="Calibri" w:eastAsia="宋体" w:cs="Times New Roman"/>
                <w:color w:val="auto"/>
                <w:sz w:val="24"/>
              </w:rPr>
              <w:t>用于周边林木施肥。</w:t>
            </w:r>
            <w:bookmarkEnd w:id="22"/>
          </w:p>
          <w:p w14:paraId="47B25A97">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3、噪声：</w:t>
            </w:r>
            <w:r>
              <w:rPr>
                <w:rFonts w:ascii="Calibri" w:hAnsi="Calibri" w:eastAsia="宋体" w:cs="Times New Roman"/>
                <w:color w:val="auto"/>
                <w:sz w:val="24"/>
              </w:rPr>
              <w:t>施工期噪声排放标准执行《</w:t>
            </w:r>
            <w:r>
              <w:rPr>
                <w:rFonts w:ascii="Calibri" w:hAnsi="Calibri" w:eastAsia="宋体" w:cs="Times New Roman"/>
                <w:color w:val="auto"/>
                <w:sz w:val="24"/>
              </w:rPr>
              <w:fldChar w:fldCharType="begin"/>
            </w:r>
            <w:r>
              <w:rPr>
                <w:rFonts w:ascii="Calibri" w:hAnsi="Calibri" w:eastAsia="宋体" w:cs="Times New Roman"/>
                <w:color w:val="auto"/>
                <w:sz w:val="24"/>
              </w:rPr>
              <w:instrText xml:space="preserve"> HYPERLINK "http://kjs.mep.gov.cn/hjbhbz/bzwb/wlhj/hjzspfbz/201112/W020111222566521145325.pdf" </w:instrText>
            </w:r>
            <w:r>
              <w:rPr>
                <w:rFonts w:ascii="Calibri" w:hAnsi="Calibri" w:eastAsia="宋体" w:cs="Times New Roman"/>
                <w:color w:val="auto"/>
                <w:sz w:val="24"/>
              </w:rPr>
              <w:fldChar w:fldCharType="separate"/>
            </w:r>
            <w:r>
              <w:rPr>
                <w:rFonts w:hint="eastAsia" w:ascii="Calibri" w:hAnsi="Calibri" w:eastAsia="宋体" w:cs="Times New Roman"/>
                <w:color w:val="auto"/>
                <w:sz w:val="24"/>
              </w:rPr>
              <w:t>建筑施工</w:t>
            </w:r>
            <w:r>
              <w:rPr>
                <w:rFonts w:ascii="Calibri" w:hAnsi="Calibri" w:eastAsia="宋体" w:cs="Times New Roman"/>
                <w:color w:val="auto"/>
                <w:sz w:val="24"/>
              </w:rPr>
              <w:t>噪声排放标准》（GB12523－20</w:t>
            </w:r>
            <w:r>
              <w:rPr>
                <w:rFonts w:hint="eastAsia" w:ascii="Calibri" w:hAnsi="Calibri" w:eastAsia="宋体" w:cs="Times New Roman"/>
                <w:color w:val="auto"/>
                <w:sz w:val="24"/>
              </w:rPr>
              <w:t>25</w:t>
            </w:r>
            <w:r>
              <w:rPr>
                <w:rFonts w:ascii="Calibri" w:hAnsi="Calibri" w:eastAsia="宋体" w:cs="Times New Roman"/>
                <w:color w:val="auto"/>
                <w:sz w:val="24"/>
              </w:rPr>
              <w:t>）</w:t>
            </w:r>
            <w:r>
              <w:rPr>
                <w:rFonts w:ascii="Calibri" w:hAnsi="Calibri" w:eastAsia="宋体" w:cs="Times New Roman"/>
                <w:color w:val="auto"/>
                <w:sz w:val="24"/>
              </w:rPr>
              <w:fldChar w:fldCharType="end"/>
            </w:r>
            <w:r>
              <w:rPr>
                <w:rFonts w:ascii="Calibri" w:hAnsi="Calibri" w:eastAsia="宋体" w:cs="Times New Roman"/>
                <w:color w:val="auto"/>
                <w:sz w:val="24"/>
              </w:rPr>
              <w:t>。</w:t>
            </w:r>
          </w:p>
          <w:p w14:paraId="143CF4E9">
            <w:pPr>
              <w:pStyle w:val="66"/>
              <w:keepNext w:val="0"/>
              <w:keepLines w:val="0"/>
              <w:suppressLineNumbers w:val="0"/>
              <w:adjustRightInd w:val="0"/>
              <w:snapToGrid w:val="0"/>
              <w:spacing w:before="0" w:beforeAutospacing="0" w:after="0" w:afterAutospacing="0" w:line="360" w:lineRule="exact"/>
              <w:ind w:left="0" w:right="0" w:firstLine="0" w:firstLineChars="0"/>
              <w:rPr>
                <w:rFonts w:ascii="Calibri" w:hAnsi="Calibri" w:eastAsia="宋体" w:cs="Times New Roman"/>
                <w:color w:val="auto"/>
                <w:sz w:val="24"/>
              </w:rPr>
            </w:pPr>
            <w:r>
              <w:rPr>
                <w:rFonts w:ascii="Calibri" w:hAnsi="Calibri" w:eastAsia="宋体" w:cs="Times New Roman"/>
                <w:color w:val="auto"/>
                <w:sz w:val="24"/>
              </w:rPr>
              <w:t>表</w:t>
            </w:r>
            <w:r>
              <w:rPr>
                <w:rFonts w:hint="eastAsia" w:ascii="Calibri" w:hAnsi="Calibri" w:eastAsia="宋体" w:cs="Times New Roman"/>
                <w:color w:val="auto"/>
                <w:sz w:val="24"/>
              </w:rPr>
              <w:t>3-4</w:t>
            </w:r>
            <w:r>
              <w:rPr>
                <w:rFonts w:ascii="Calibri" w:hAnsi="Calibri" w:eastAsia="宋体" w:cs="Times New Roman"/>
                <w:color w:val="auto"/>
                <w:sz w:val="24"/>
              </w:rPr>
              <w:t xml:space="preserve"> </w:t>
            </w:r>
            <w:r>
              <w:rPr>
                <w:rFonts w:hint="eastAsia" w:ascii="Calibri" w:hAnsi="Calibri" w:eastAsia="宋体" w:cs="Times New Roman"/>
                <w:color w:val="auto"/>
                <w:sz w:val="24"/>
              </w:rPr>
              <w:t xml:space="preserve"> 建筑施工</w:t>
            </w:r>
            <w:r>
              <w:rPr>
                <w:rFonts w:ascii="Calibri" w:hAnsi="Calibri" w:eastAsia="宋体" w:cs="Times New Roman"/>
                <w:color w:val="auto"/>
                <w:sz w:val="24"/>
              </w:rPr>
              <w:t xml:space="preserve">噪声排放标准  </w:t>
            </w:r>
            <w:r>
              <w:rPr>
                <w:rFonts w:ascii="Calibri" w:hAnsi="Calibri" w:eastAsia="宋体" w:cs="Times New Roman"/>
                <w:b w:val="0"/>
                <w:bCs/>
                <w:color w:val="auto"/>
                <w:sz w:val="21"/>
                <w:szCs w:val="21"/>
              </w:rPr>
              <w:t>单位：dB</w:t>
            </w:r>
            <w:r>
              <w:rPr>
                <w:rFonts w:hint="eastAsia" w:ascii="Calibri" w:hAnsi="Calibri" w:eastAsia="宋体" w:cs="Times New Roman"/>
                <w:b w:val="0"/>
                <w:bCs/>
                <w:color w:val="auto"/>
                <w:sz w:val="21"/>
                <w:szCs w:val="21"/>
              </w:rPr>
              <w:t>(</w:t>
            </w:r>
            <w:r>
              <w:rPr>
                <w:rFonts w:ascii="Calibri" w:hAnsi="Calibri" w:eastAsia="宋体" w:cs="Times New Roman"/>
                <w:b w:val="0"/>
                <w:bCs/>
                <w:color w:val="auto"/>
                <w:sz w:val="21"/>
                <w:szCs w:val="21"/>
              </w:rPr>
              <w:t>A</w:t>
            </w:r>
            <w:r>
              <w:rPr>
                <w:rFonts w:hint="eastAsia" w:ascii="Calibri" w:hAnsi="Calibri" w:eastAsia="宋体" w:cs="Times New Roman"/>
                <w:b w:val="0"/>
                <w:bCs/>
                <w:color w:val="auto"/>
                <w:sz w:val="21"/>
                <w:szCs w:val="21"/>
              </w:rPr>
              <w:t>)</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0"/>
              <w:gridCol w:w="4201"/>
            </w:tblGrid>
            <w:tr w14:paraId="7849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2" w:type="pct"/>
                  <w:noWrap w:val="0"/>
                  <w:vAlign w:val="center"/>
                </w:tcPr>
                <w:p w14:paraId="016EEB21">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昼间</w:t>
                  </w:r>
                </w:p>
              </w:tc>
              <w:tc>
                <w:tcPr>
                  <w:tcW w:w="2497" w:type="pct"/>
                  <w:noWrap w:val="0"/>
                  <w:vAlign w:val="center"/>
                </w:tcPr>
                <w:p w14:paraId="56EA9962">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夜间</w:t>
                  </w:r>
                </w:p>
              </w:tc>
            </w:tr>
            <w:tr w14:paraId="63E5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2" w:type="pct"/>
                  <w:noWrap w:val="0"/>
                  <w:vAlign w:val="center"/>
                </w:tcPr>
                <w:p w14:paraId="1D6EC9A9">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70</w:t>
                  </w:r>
                </w:p>
              </w:tc>
              <w:tc>
                <w:tcPr>
                  <w:tcW w:w="2497" w:type="pct"/>
                  <w:noWrap w:val="0"/>
                  <w:vAlign w:val="center"/>
                </w:tcPr>
                <w:p w14:paraId="1256204F">
                  <w:pPr>
                    <w:keepNext w:val="0"/>
                    <w:keepLines w:val="0"/>
                    <w:suppressLineNumbers w:val="0"/>
                    <w:adjustRightInd w:val="0"/>
                    <w:snapToGrid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55</w:t>
                  </w:r>
                </w:p>
              </w:tc>
            </w:tr>
          </w:tbl>
          <w:p w14:paraId="6ED676DD">
            <w:pPr>
              <w:keepNext w:val="0"/>
              <w:keepLines w:val="0"/>
              <w:suppressLineNumbers w:val="0"/>
              <w:adjustRightInd w:val="0"/>
              <w:snapToGrid w:val="0"/>
              <w:spacing w:before="120" w:beforeLines="50" w:beforeAutospacing="0" w:after="0" w:afterAutospacing="0" w:line="360" w:lineRule="auto"/>
              <w:ind w:left="0" w:right="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二、运营期</w:t>
            </w:r>
          </w:p>
          <w:p w14:paraId="76D49400">
            <w:pPr>
              <w:keepNext w:val="0"/>
              <w:keepLines w:val="0"/>
              <w:suppressLineNumbers w:val="0"/>
              <w:snapToGrid w:val="0"/>
              <w:spacing w:before="0" w:beforeAutospacing="0" w:after="0" w:afterAutospacing="0" w:line="360" w:lineRule="auto"/>
              <w:ind w:left="0" w:right="0" w:firstLine="482"/>
              <w:rPr>
                <w:rFonts w:ascii="Times New Roman" w:hAnsi="Times New Roman" w:eastAsia="宋体" w:cs="Times New Roman"/>
                <w:color w:val="auto"/>
                <w:sz w:val="24"/>
              </w:rPr>
            </w:pPr>
            <w:r>
              <w:rPr>
                <w:rFonts w:hint="eastAsia" w:ascii="Calibri" w:hAnsi="Calibri" w:eastAsia="宋体" w:cs="Times New Roman"/>
                <w:color w:val="auto"/>
                <w:sz w:val="24"/>
              </w:rPr>
              <w:t>1、废气：项目废气排放执行</w:t>
            </w:r>
            <w:r>
              <w:rPr>
                <w:rFonts w:hint="eastAsia" w:ascii="Times New Roman" w:hAnsi="Times New Roman" w:eastAsia="宋体" w:cs="Times New Roman"/>
                <w:color w:val="auto"/>
                <w:sz w:val="24"/>
              </w:rPr>
              <w:t>《恶臭污染物排放标准》（GB14554-93）表2恶臭污染物排放标准值和表1恶臭污染物厂界标准值新扩改二级标准</w:t>
            </w:r>
            <w:r>
              <w:rPr>
                <w:rFonts w:ascii="Calibri" w:hAnsi="Calibri" w:eastAsia="宋体" w:cs="Times New Roman"/>
                <w:color w:val="auto"/>
                <w:sz w:val="24"/>
              </w:rPr>
              <w:t>，详见表</w:t>
            </w:r>
            <w:r>
              <w:rPr>
                <w:rFonts w:hint="eastAsia" w:ascii="Calibri" w:hAnsi="Calibri" w:eastAsia="宋体" w:cs="Times New Roman"/>
                <w:color w:val="auto"/>
                <w:sz w:val="24"/>
              </w:rPr>
              <w:t>3-5。</w:t>
            </w:r>
          </w:p>
          <w:p w14:paraId="518830AA">
            <w:pPr>
              <w:pStyle w:val="66"/>
              <w:keepNext w:val="0"/>
              <w:keepLines w:val="0"/>
              <w:suppressLineNumbers w:val="0"/>
              <w:adjustRightInd w:val="0"/>
              <w:snapToGrid w:val="0"/>
              <w:spacing w:before="0" w:beforeAutospacing="0" w:after="0" w:afterAutospacing="0" w:line="360" w:lineRule="exact"/>
              <w:ind w:left="0" w:right="0" w:firstLine="0" w:firstLineChars="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表3-5   恶臭污染物排放标准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02"/>
              <w:gridCol w:w="2102"/>
              <w:gridCol w:w="1664"/>
              <w:gridCol w:w="2542"/>
            </w:tblGrid>
            <w:tr w14:paraId="7519B6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1249" w:type="pct"/>
                  <w:vMerge w:val="restart"/>
                  <w:tcBorders>
                    <w:right w:val="single" w:color="auto" w:sz="4" w:space="0"/>
                  </w:tcBorders>
                  <w:noWrap w:val="0"/>
                  <w:vAlign w:val="center"/>
                </w:tcPr>
                <w:p w14:paraId="2DDE38FE">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污染物名称</w:t>
                  </w:r>
                </w:p>
              </w:tc>
              <w:tc>
                <w:tcPr>
                  <w:tcW w:w="2238" w:type="pct"/>
                  <w:gridSpan w:val="2"/>
                  <w:tcBorders>
                    <w:left w:val="single" w:color="auto" w:sz="4" w:space="0"/>
                    <w:right w:val="single" w:color="auto" w:sz="4" w:space="0"/>
                  </w:tcBorders>
                  <w:noWrap w:val="0"/>
                  <w:vAlign w:val="center"/>
                </w:tcPr>
                <w:p w14:paraId="1D0F711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排气筒</w:t>
                  </w:r>
                </w:p>
              </w:tc>
              <w:tc>
                <w:tcPr>
                  <w:tcW w:w="1511" w:type="pct"/>
                  <w:tcBorders>
                    <w:right w:val="single" w:color="auto" w:sz="4" w:space="0"/>
                  </w:tcBorders>
                  <w:noWrap w:val="0"/>
                  <w:vAlign w:val="center"/>
                </w:tcPr>
                <w:p w14:paraId="72E014E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厂界标准限值</w:t>
                  </w:r>
                </w:p>
              </w:tc>
            </w:tr>
            <w:tr w14:paraId="14DE11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1249" w:type="pct"/>
                  <w:vMerge w:val="continue"/>
                  <w:tcBorders>
                    <w:right w:val="single" w:color="auto" w:sz="4" w:space="0"/>
                  </w:tcBorders>
                  <w:noWrap w:val="0"/>
                  <w:vAlign w:val="center"/>
                </w:tcPr>
                <w:p w14:paraId="467672C1">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249" w:type="pct"/>
                  <w:tcBorders>
                    <w:left w:val="single" w:color="auto" w:sz="4" w:space="0"/>
                    <w:right w:val="single" w:color="auto" w:sz="4" w:space="0"/>
                  </w:tcBorders>
                  <w:noWrap w:val="0"/>
                  <w:vAlign w:val="center"/>
                </w:tcPr>
                <w:p w14:paraId="67C99734">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排放量（kg/h）</w:t>
                  </w:r>
                </w:p>
              </w:tc>
              <w:tc>
                <w:tcPr>
                  <w:tcW w:w="989" w:type="pct"/>
                  <w:tcBorders>
                    <w:right w:val="single" w:color="auto" w:sz="4" w:space="0"/>
                  </w:tcBorders>
                  <w:noWrap w:val="0"/>
                  <w:vAlign w:val="center"/>
                </w:tcPr>
                <w:p w14:paraId="6A3E392E">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排气筒高度</w:t>
                  </w:r>
                </w:p>
              </w:tc>
              <w:tc>
                <w:tcPr>
                  <w:tcW w:w="1511" w:type="pct"/>
                  <w:tcBorders>
                    <w:right w:val="single" w:color="auto" w:sz="4" w:space="0"/>
                  </w:tcBorders>
                  <w:noWrap w:val="0"/>
                  <w:vAlign w:val="center"/>
                </w:tcPr>
                <w:p w14:paraId="73693775">
                  <w:pPr>
                    <w:keepNext w:val="0"/>
                    <w:keepLines w:val="0"/>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二级</w:t>
                  </w:r>
                </w:p>
              </w:tc>
            </w:tr>
            <w:tr w14:paraId="5F6E93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1" w:hRule="atLeast"/>
                <w:jc w:val="center"/>
              </w:trPr>
              <w:tc>
                <w:tcPr>
                  <w:tcW w:w="1249" w:type="pct"/>
                  <w:tcBorders>
                    <w:right w:val="single" w:color="auto" w:sz="4" w:space="0"/>
                  </w:tcBorders>
                  <w:noWrap w:val="0"/>
                  <w:vAlign w:val="center"/>
                </w:tcPr>
                <w:p w14:paraId="6D4512A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氨</w:t>
                  </w:r>
                </w:p>
              </w:tc>
              <w:tc>
                <w:tcPr>
                  <w:tcW w:w="1249" w:type="pct"/>
                  <w:tcBorders>
                    <w:left w:val="single" w:color="auto" w:sz="4" w:space="0"/>
                    <w:right w:val="single" w:color="auto" w:sz="4" w:space="0"/>
                  </w:tcBorders>
                  <w:noWrap w:val="0"/>
                  <w:vAlign w:val="center"/>
                </w:tcPr>
                <w:p w14:paraId="4D5C3091">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4.9</w:t>
                  </w:r>
                </w:p>
              </w:tc>
              <w:tc>
                <w:tcPr>
                  <w:tcW w:w="989" w:type="pct"/>
                  <w:vMerge w:val="restart"/>
                  <w:tcBorders>
                    <w:right w:val="single" w:color="auto" w:sz="4" w:space="0"/>
                  </w:tcBorders>
                  <w:noWrap w:val="0"/>
                  <w:vAlign w:val="center"/>
                </w:tcPr>
                <w:p w14:paraId="2FF54E34">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15m</w:t>
                  </w:r>
                </w:p>
              </w:tc>
              <w:tc>
                <w:tcPr>
                  <w:tcW w:w="1511" w:type="pct"/>
                  <w:tcBorders>
                    <w:right w:val="single" w:color="auto" w:sz="4" w:space="0"/>
                  </w:tcBorders>
                  <w:noWrap w:val="0"/>
                  <w:vAlign w:val="center"/>
                </w:tcPr>
                <w:p w14:paraId="6352BCE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1.5mg/m</w:t>
                  </w:r>
                  <w:r>
                    <w:rPr>
                      <w:rFonts w:hint="eastAsia" w:ascii="Calibri" w:hAnsi="Calibri" w:eastAsia="宋体" w:cs="Times New Roman"/>
                      <w:color w:val="auto"/>
                      <w:szCs w:val="21"/>
                      <w:vertAlign w:val="superscript"/>
                    </w:rPr>
                    <w:t>3</w:t>
                  </w:r>
                </w:p>
              </w:tc>
            </w:tr>
            <w:tr w14:paraId="3FD1CF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1" w:hRule="atLeast"/>
                <w:jc w:val="center"/>
              </w:trPr>
              <w:tc>
                <w:tcPr>
                  <w:tcW w:w="1249" w:type="pct"/>
                  <w:tcBorders>
                    <w:right w:val="single" w:color="auto" w:sz="4" w:space="0"/>
                  </w:tcBorders>
                  <w:noWrap w:val="0"/>
                  <w:vAlign w:val="center"/>
                </w:tcPr>
                <w:p w14:paraId="7C2E32E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硫化氢</w:t>
                  </w:r>
                </w:p>
              </w:tc>
              <w:tc>
                <w:tcPr>
                  <w:tcW w:w="1249" w:type="pct"/>
                  <w:tcBorders>
                    <w:left w:val="single" w:color="auto" w:sz="4" w:space="0"/>
                    <w:right w:val="single" w:color="auto" w:sz="4" w:space="0"/>
                  </w:tcBorders>
                  <w:noWrap w:val="0"/>
                  <w:vAlign w:val="center"/>
                </w:tcPr>
                <w:p w14:paraId="2903C5F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0.33</w:t>
                  </w:r>
                </w:p>
              </w:tc>
              <w:tc>
                <w:tcPr>
                  <w:tcW w:w="989" w:type="pct"/>
                  <w:vMerge w:val="continue"/>
                  <w:tcBorders>
                    <w:right w:val="single" w:color="auto" w:sz="4" w:space="0"/>
                  </w:tcBorders>
                  <w:noWrap w:val="0"/>
                  <w:vAlign w:val="center"/>
                </w:tcPr>
                <w:p w14:paraId="2353BC01">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511" w:type="pct"/>
                  <w:tcBorders>
                    <w:right w:val="single" w:color="auto" w:sz="4" w:space="0"/>
                  </w:tcBorders>
                  <w:noWrap w:val="0"/>
                  <w:vAlign w:val="center"/>
                </w:tcPr>
                <w:p w14:paraId="6A0BE41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0.06mg/m</w:t>
                  </w:r>
                  <w:r>
                    <w:rPr>
                      <w:rFonts w:hint="eastAsia" w:ascii="Calibri" w:hAnsi="Calibri" w:eastAsia="宋体" w:cs="Times New Roman"/>
                      <w:color w:val="auto"/>
                      <w:szCs w:val="21"/>
                      <w:vertAlign w:val="superscript"/>
                    </w:rPr>
                    <w:t>3</w:t>
                  </w:r>
                </w:p>
              </w:tc>
            </w:tr>
            <w:tr w14:paraId="63B20C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1" w:hRule="atLeast"/>
                <w:jc w:val="center"/>
              </w:trPr>
              <w:tc>
                <w:tcPr>
                  <w:tcW w:w="1249" w:type="pct"/>
                  <w:tcBorders>
                    <w:right w:val="single" w:color="auto" w:sz="4" w:space="0"/>
                  </w:tcBorders>
                  <w:noWrap w:val="0"/>
                  <w:vAlign w:val="center"/>
                </w:tcPr>
                <w:p w14:paraId="7B5ECAD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臭气浓度</w:t>
                  </w:r>
                </w:p>
              </w:tc>
              <w:tc>
                <w:tcPr>
                  <w:tcW w:w="1249" w:type="pct"/>
                  <w:tcBorders>
                    <w:left w:val="single" w:color="auto" w:sz="4" w:space="0"/>
                    <w:right w:val="single" w:color="auto" w:sz="4" w:space="0"/>
                  </w:tcBorders>
                  <w:noWrap w:val="0"/>
                  <w:vAlign w:val="center"/>
                </w:tcPr>
                <w:p w14:paraId="13E27EF9">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2000（无量纲）</w:t>
                  </w:r>
                </w:p>
              </w:tc>
              <w:tc>
                <w:tcPr>
                  <w:tcW w:w="989" w:type="pct"/>
                  <w:vMerge w:val="continue"/>
                  <w:tcBorders>
                    <w:right w:val="single" w:color="auto" w:sz="4" w:space="0"/>
                  </w:tcBorders>
                  <w:noWrap w:val="0"/>
                  <w:vAlign w:val="center"/>
                </w:tcPr>
                <w:p w14:paraId="13B618BD">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511" w:type="pct"/>
                  <w:tcBorders>
                    <w:right w:val="single" w:color="auto" w:sz="4" w:space="0"/>
                  </w:tcBorders>
                  <w:noWrap w:val="0"/>
                  <w:vAlign w:val="center"/>
                </w:tcPr>
                <w:p w14:paraId="10F10965">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20（无量纲）</w:t>
                  </w:r>
                </w:p>
              </w:tc>
            </w:tr>
          </w:tbl>
          <w:p w14:paraId="0B9F703E">
            <w:pPr>
              <w:pStyle w:val="9"/>
              <w:keepNext w:val="0"/>
              <w:keepLines w:val="0"/>
              <w:suppressLineNumbers w:val="0"/>
              <w:spacing w:before="120" w:beforeLines="50" w:beforeAutospacing="0" w:after="0" w:afterAutospacing="0" w:line="360" w:lineRule="auto"/>
              <w:ind w:left="0" w:right="0" w:firstLine="480" w:firstLineChars="200"/>
              <w:rPr>
                <w:rFonts w:hint="eastAsia" w:ascii="Calibri" w:hAnsi="Calibri" w:eastAsia="宋体" w:cs="Times New Roman"/>
                <w:bCs/>
                <w:color w:val="auto"/>
                <w:sz w:val="24"/>
              </w:rPr>
            </w:pPr>
            <w:r>
              <w:rPr>
                <w:rFonts w:hint="eastAsia" w:ascii="Calibri" w:hAnsi="Calibri" w:eastAsia="宋体" w:cs="Times New Roman"/>
                <w:color w:val="auto"/>
                <w:sz w:val="24"/>
              </w:rPr>
              <w:t>2、废水：</w:t>
            </w:r>
            <w:r>
              <w:rPr>
                <w:rFonts w:hint="eastAsia" w:ascii="Calibri" w:hAnsi="Calibri" w:eastAsia="宋体" w:cs="Times New Roman"/>
                <w:bCs/>
                <w:color w:val="auto"/>
                <w:sz w:val="24"/>
              </w:rPr>
              <w:t>项目无生产废水外排；生活污水经防渗旱厕处理后用于周边林木施肥。</w:t>
            </w:r>
          </w:p>
          <w:p w14:paraId="5FBD1CB1">
            <w:pPr>
              <w:pStyle w:val="9"/>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3、噪声：根据《声环境功能区划分技术规范》（GB/T15190-2014），项目所在区域及周边噪声敏感点为工业、居住混杂区域，属于声环境2类区。</w:t>
            </w:r>
            <w:r>
              <w:rPr>
                <w:rFonts w:ascii="Calibri" w:hAnsi="Calibri" w:eastAsia="宋体" w:cs="Times New Roman"/>
                <w:color w:val="auto"/>
                <w:sz w:val="24"/>
              </w:rPr>
              <w:t>项目运营期厂界噪声排放标准执行《工业企业厂界环境噪声排放标准》（GB12348-2008）中</w:t>
            </w:r>
            <w:r>
              <w:rPr>
                <w:rFonts w:hint="eastAsia" w:ascii="Calibri" w:hAnsi="Calibri" w:eastAsia="宋体" w:cs="Times New Roman"/>
                <w:color w:val="auto"/>
                <w:sz w:val="24"/>
              </w:rPr>
              <w:t>2</w:t>
            </w:r>
            <w:r>
              <w:rPr>
                <w:rFonts w:ascii="Calibri" w:hAnsi="Calibri" w:eastAsia="宋体" w:cs="Times New Roman"/>
                <w:color w:val="auto"/>
                <w:sz w:val="24"/>
              </w:rPr>
              <w:t>类标准限值</w:t>
            </w:r>
            <w:r>
              <w:rPr>
                <w:rFonts w:hint="eastAsia" w:ascii="Calibri" w:hAnsi="Calibri" w:eastAsia="宋体" w:cs="Times New Roman"/>
                <w:color w:val="auto"/>
                <w:sz w:val="24"/>
              </w:rPr>
              <w:t>，</w:t>
            </w:r>
            <w:r>
              <w:rPr>
                <w:rFonts w:ascii="Calibri" w:hAnsi="Calibri" w:eastAsia="宋体" w:cs="Times New Roman"/>
                <w:color w:val="auto"/>
                <w:sz w:val="24"/>
              </w:rPr>
              <w:t>详见表</w:t>
            </w:r>
            <w:r>
              <w:rPr>
                <w:rFonts w:hint="eastAsia" w:ascii="Calibri" w:hAnsi="Calibri" w:eastAsia="宋体" w:cs="Times New Roman"/>
                <w:color w:val="auto"/>
                <w:sz w:val="24"/>
              </w:rPr>
              <w:t>3-6。</w:t>
            </w:r>
          </w:p>
          <w:p w14:paraId="1327F83F">
            <w:pPr>
              <w:pStyle w:val="66"/>
              <w:keepNext w:val="0"/>
              <w:keepLines w:val="0"/>
              <w:suppressLineNumbers w:val="0"/>
              <w:spacing w:before="0" w:beforeAutospacing="0" w:after="0" w:afterAutospacing="0" w:line="240" w:lineRule="auto"/>
              <w:ind w:left="0" w:right="0" w:firstLine="0" w:firstLineChars="0"/>
              <w:rPr>
                <w:rFonts w:ascii="Calibri" w:hAnsi="Calibri" w:eastAsia="宋体" w:cs="Times New Roman"/>
                <w:color w:val="auto"/>
                <w:sz w:val="24"/>
              </w:rPr>
            </w:pPr>
            <w:r>
              <w:rPr>
                <w:rFonts w:ascii="Calibri" w:hAnsi="Calibri" w:eastAsia="宋体" w:cs="Times New Roman"/>
                <w:color w:val="auto"/>
                <w:sz w:val="24"/>
              </w:rPr>
              <w:t>表</w:t>
            </w:r>
            <w:r>
              <w:rPr>
                <w:rFonts w:hint="eastAsia" w:ascii="Calibri" w:hAnsi="Calibri" w:eastAsia="宋体" w:cs="Times New Roman"/>
                <w:color w:val="auto"/>
                <w:sz w:val="24"/>
              </w:rPr>
              <w:t>3-6</w:t>
            </w:r>
            <w:r>
              <w:rPr>
                <w:rFonts w:ascii="Calibri" w:hAnsi="Calibri" w:eastAsia="宋体" w:cs="Times New Roman"/>
                <w:color w:val="auto"/>
                <w:sz w:val="24"/>
              </w:rPr>
              <w:t xml:space="preserve"> 工业企业厂界环境噪声排放标准   </w:t>
            </w:r>
            <w:r>
              <w:rPr>
                <w:rFonts w:ascii="Calibri" w:hAnsi="Calibri" w:eastAsia="宋体" w:cs="Times New Roman"/>
                <w:b w:val="0"/>
                <w:bCs/>
                <w:color w:val="auto"/>
                <w:sz w:val="21"/>
                <w:szCs w:val="21"/>
              </w:rPr>
              <w:t>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2055"/>
              <w:gridCol w:w="2055"/>
              <w:gridCol w:w="2245"/>
            </w:tblGrid>
            <w:tr w14:paraId="69F5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pct"/>
                  <w:noWrap w:val="0"/>
                  <w:vAlign w:val="center"/>
                </w:tcPr>
                <w:p w14:paraId="2D1D95AD">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时段</w:t>
                  </w:r>
                </w:p>
              </w:tc>
              <w:tc>
                <w:tcPr>
                  <w:tcW w:w="1221" w:type="pct"/>
                  <w:noWrap w:val="0"/>
                  <w:vAlign w:val="center"/>
                </w:tcPr>
                <w:p w14:paraId="14383FC7">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昼间</w:t>
                  </w:r>
                </w:p>
              </w:tc>
              <w:tc>
                <w:tcPr>
                  <w:tcW w:w="1221" w:type="pct"/>
                  <w:noWrap w:val="0"/>
                  <w:vAlign w:val="center"/>
                </w:tcPr>
                <w:p w14:paraId="40C9FC9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夜间</w:t>
                  </w:r>
                </w:p>
              </w:tc>
              <w:tc>
                <w:tcPr>
                  <w:tcW w:w="1334" w:type="pct"/>
                  <w:noWrap w:val="0"/>
                  <w:vAlign w:val="center"/>
                </w:tcPr>
                <w:p w14:paraId="430D47B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备注</w:t>
                  </w:r>
                </w:p>
              </w:tc>
            </w:tr>
            <w:tr w14:paraId="1892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pct"/>
                  <w:noWrap w:val="0"/>
                  <w:vAlign w:val="center"/>
                </w:tcPr>
                <w:p w14:paraId="28F8CE5C">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标准限值</w:t>
                  </w:r>
                </w:p>
              </w:tc>
              <w:tc>
                <w:tcPr>
                  <w:tcW w:w="1221" w:type="pct"/>
                  <w:noWrap w:val="0"/>
                  <w:vAlign w:val="center"/>
                </w:tcPr>
                <w:p w14:paraId="0E1817BA">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ascii="Calibri" w:hAnsi="Calibri" w:eastAsia="宋体" w:cs="Times New Roman"/>
                      <w:color w:val="auto"/>
                    </w:rPr>
                    <w:t>6</w:t>
                  </w:r>
                  <w:r>
                    <w:rPr>
                      <w:rFonts w:hint="eastAsia" w:ascii="Calibri" w:hAnsi="Calibri" w:eastAsia="宋体" w:cs="Times New Roman"/>
                      <w:color w:val="auto"/>
                    </w:rPr>
                    <w:t>0</w:t>
                  </w:r>
                </w:p>
              </w:tc>
              <w:tc>
                <w:tcPr>
                  <w:tcW w:w="1221" w:type="pct"/>
                  <w:noWrap w:val="0"/>
                  <w:vAlign w:val="center"/>
                </w:tcPr>
                <w:p w14:paraId="65540835">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ascii="Calibri" w:hAnsi="Calibri" w:eastAsia="宋体" w:cs="Times New Roman"/>
                      <w:color w:val="auto"/>
                    </w:rPr>
                    <w:t>5</w:t>
                  </w:r>
                  <w:r>
                    <w:rPr>
                      <w:rFonts w:hint="eastAsia" w:ascii="Calibri" w:hAnsi="Calibri" w:eastAsia="宋体" w:cs="Times New Roman"/>
                      <w:color w:val="auto"/>
                    </w:rPr>
                    <w:t>0</w:t>
                  </w:r>
                </w:p>
              </w:tc>
              <w:tc>
                <w:tcPr>
                  <w:tcW w:w="1334" w:type="pct"/>
                  <w:noWrap w:val="0"/>
                  <w:vAlign w:val="center"/>
                </w:tcPr>
                <w:p w14:paraId="622D0195">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2</w:t>
                  </w:r>
                  <w:r>
                    <w:rPr>
                      <w:rFonts w:ascii="Calibri" w:hAnsi="Calibri" w:eastAsia="宋体" w:cs="Times New Roman"/>
                      <w:color w:val="auto"/>
                    </w:rPr>
                    <w:t>类区限值</w:t>
                  </w:r>
                </w:p>
              </w:tc>
            </w:tr>
          </w:tbl>
          <w:p w14:paraId="3F6B79A6">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Calibri" w:hAnsi="Calibri" w:eastAsia="宋体" w:cs="Times New Roman"/>
                <w:color w:val="auto"/>
              </w:rPr>
            </w:pPr>
            <w:r>
              <w:rPr>
                <w:rFonts w:hint="eastAsia" w:ascii="Calibri" w:hAnsi="Calibri" w:eastAsia="宋体" w:cs="Times New Roman"/>
                <w:color w:val="auto"/>
                <w:sz w:val="24"/>
              </w:rPr>
              <w:t>4、固体废物：</w:t>
            </w:r>
            <w:r>
              <w:rPr>
                <w:rFonts w:ascii="Calibri" w:hAnsi="Calibri" w:eastAsia="宋体" w:cs="Times New Roman"/>
                <w:color w:val="auto"/>
                <w:sz w:val="24"/>
              </w:rPr>
              <w:t>一般固废执行《一般工业固体废物贮存</w:t>
            </w:r>
            <w:r>
              <w:rPr>
                <w:rFonts w:hint="eastAsia" w:ascii="Calibri" w:hAnsi="Calibri" w:eastAsia="宋体" w:cs="Times New Roman"/>
                <w:color w:val="auto"/>
                <w:sz w:val="24"/>
              </w:rPr>
              <w:t>和填埋</w:t>
            </w:r>
            <w:r>
              <w:rPr>
                <w:rFonts w:ascii="Calibri" w:hAnsi="Calibri" w:eastAsia="宋体" w:cs="Times New Roman"/>
                <w:color w:val="auto"/>
                <w:sz w:val="24"/>
              </w:rPr>
              <w:t>污染控制标准》（GB18599-20</w:t>
            </w:r>
            <w:r>
              <w:rPr>
                <w:rFonts w:hint="eastAsia" w:ascii="Calibri" w:hAnsi="Calibri" w:eastAsia="宋体" w:cs="Times New Roman"/>
                <w:color w:val="auto"/>
                <w:sz w:val="24"/>
              </w:rPr>
              <w:t>20</w:t>
            </w:r>
            <w:r>
              <w:rPr>
                <w:rFonts w:ascii="Calibri" w:hAnsi="Calibri" w:eastAsia="宋体" w:cs="Times New Roman"/>
                <w:color w:val="auto"/>
                <w:sz w:val="24"/>
              </w:rPr>
              <w:t>）</w:t>
            </w:r>
            <w:r>
              <w:rPr>
                <w:rFonts w:hint="eastAsia" w:ascii="Calibri" w:hAnsi="Calibri" w:eastAsia="宋体" w:cs="Times New Roman"/>
                <w:color w:val="auto"/>
                <w:sz w:val="24"/>
              </w:rPr>
              <w:t>；</w:t>
            </w:r>
            <w:r>
              <w:rPr>
                <w:rFonts w:ascii="Calibri" w:hAnsi="Calibri" w:eastAsia="宋体" w:cs="Times New Roman"/>
                <w:color w:val="auto"/>
                <w:sz w:val="24"/>
              </w:rPr>
              <w:t>危险废物执行《危险废物贮存</w:t>
            </w:r>
            <w:r>
              <w:rPr>
                <w:rFonts w:hint="eastAsia" w:ascii="Calibri" w:hAnsi="Calibri" w:eastAsia="宋体" w:cs="Times New Roman"/>
                <w:color w:val="auto"/>
                <w:sz w:val="24"/>
              </w:rPr>
              <w:t>污染</w:t>
            </w:r>
            <w:r>
              <w:rPr>
                <w:rFonts w:ascii="Calibri" w:hAnsi="Calibri" w:eastAsia="宋体" w:cs="Times New Roman"/>
                <w:color w:val="auto"/>
                <w:sz w:val="24"/>
              </w:rPr>
              <w:t>控制标准》（GB18597-20</w:t>
            </w:r>
            <w:r>
              <w:rPr>
                <w:rFonts w:hint="eastAsia" w:ascii="Calibri" w:hAnsi="Calibri" w:eastAsia="宋体" w:cs="Times New Roman"/>
                <w:color w:val="auto"/>
                <w:sz w:val="24"/>
              </w:rPr>
              <w:t>23</w:t>
            </w:r>
            <w:r>
              <w:rPr>
                <w:rFonts w:ascii="Calibri" w:hAnsi="Calibri" w:eastAsia="宋体" w:cs="Times New Roman"/>
                <w:color w:val="auto"/>
                <w:sz w:val="24"/>
              </w:rPr>
              <w:t>）</w:t>
            </w:r>
            <w:r>
              <w:rPr>
                <w:rFonts w:hint="eastAsia" w:ascii="Calibri" w:hAnsi="Calibri" w:eastAsia="宋体" w:cs="Times New Roman"/>
                <w:color w:val="auto"/>
                <w:sz w:val="24"/>
              </w:rPr>
              <w:t>标准要求。</w:t>
            </w:r>
          </w:p>
        </w:tc>
      </w:tr>
      <w:tr w14:paraId="7D5EF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800" w:type="dxa"/>
            <w:noWrap w:val="0"/>
            <w:vAlign w:val="center"/>
          </w:tcPr>
          <w:p w14:paraId="6E8AFED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总量</w:t>
            </w:r>
          </w:p>
          <w:p w14:paraId="4C2F4FD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4"/>
              </w:rPr>
            </w:pPr>
            <w:r>
              <w:rPr>
                <w:rFonts w:hint="eastAsia" w:ascii="宋体" w:hAnsi="宋体" w:eastAsia="宋体" w:cs="宋体"/>
                <w:color w:val="auto"/>
                <w:kern w:val="0"/>
                <w:sz w:val="24"/>
              </w:rPr>
              <w:t>控制</w:t>
            </w:r>
          </w:p>
          <w:p w14:paraId="12EB2E2C">
            <w:pPr>
              <w:keepNext w:val="0"/>
              <w:keepLines w:val="0"/>
              <w:suppressLineNumbers w:val="0"/>
              <w:adjustRightInd w:val="0"/>
              <w:snapToGrid w:val="0"/>
              <w:spacing w:before="0" w:beforeAutospacing="0" w:after="0" w:afterAutospacing="0"/>
              <w:ind w:left="0" w:right="0"/>
              <w:jc w:val="center"/>
              <w:rPr>
                <w:rFonts w:ascii="宋体" w:hAnsi="宋体" w:eastAsia="宋体" w:cs="宋体"/>
                <w:color w:val="auto"/>
                <w:kern w:val="0"/>
                <w:szCs w:val="21"/>
              </w:rPr>
            </w:pPr>
            <w:r>
              <w:rPr>
                <w:rFonts w:hint="eastAsia" w:ascii="宋体" w:hAnsi="宋体" w:eastAsia="宋体" w:cs="宋体"/>
                <w:color w:val="auto"/>
                <w:kern w:val="0"/>
                <w:sz w:val="24"/>
              </w:rPr>
              <w:t>指标</w:t>
            </w:r>
          </w:p>
        </w:tc>
        <w:tc>
          <w:tcPr>
            <w:tcW w:w="8639" w:type="dxa"/>
            <w:noWrap w:val="0"/>
            <w:vAlign w:val="center"/>
          </w:tcPr>
          <w:p w14:paraId="7D796E89">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6403E95D">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7ED02FD8">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7D12FDDD">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30AD37A4">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0668B4B1">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6B26B40E">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1641D06D">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30E59FD4">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11D325E1">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411A3DBC">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1491796A">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0CA5B14B">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034EEC14">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r>
              <w:rPr>
                <w:rFonts w:hint="eastAsia" w:ascii="Times New Roman" w:hAnsi="Times New Roman" w:eastAsia="宋体" w:cs="宋体"/>
                <w:color w:val="auto"/>
                <w:kern w:val="2"/>
                <w:szCs w:val="24"/>
                <w:lang w:bidi="ar"/>
              </w:rPr>
              <w:t>无</w:t>
            </w:r>
          </w:p>
          <w:p w14:paraId="079013FB">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61AA15B3">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0F5CEC8C">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6E9E47A0">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3D0CE220">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1E0F4B60">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7F1A4638">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5CC05D79">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7EC83027">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55C3473D">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70738ADB">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37212909">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7A69DC1D">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01D09989">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p w14:paraId="6602CD53">
            <w:pPr>
              <w:pStyle w:val="22"/>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宋体"/>
                <w:color w:val="auto"/>
                <w:kern w:val="2"/>
                <w:szCs w:val="24"/>
                <w:lang w:bidi="ar"/>
              </w:rPr>
            </w:pPr>
          </w:p>
        </w:tc>
      </w:tr>
    </w:tbl>
    <w:p w14:paraId="48008F45">
      <w:pPr>
        <w:pStyle w:val="22"/>
        <w:spacing w:before="0" w:beforeAutospacing="0" w:after="0" w:afterAutospacing="0" w:line="360" w:lineRule="auto"/>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23" w:name="_Toc17406"/>
      <w:r>
        <w:rPr>
          <w:rFonts w:hint="eastAsia" w:ascii="黑体" w:hAnsi="黑体" w:eastAsia="黑体"/>
          <w:snapToGrid w:val="0"/>
          <w:color w:val="auto"/>
          <w:sz w:val="30"/>
          <w:szCs w:val="30"/>
        </w:rPr>
        <w:t>四、主要环境影响和保护措施</w:t>
      </w:r>
      <w:bookmarkEnd w:id="23"/>
    </w:p>
    <w:tbl>
      <w:tblPr>
        <w:tblStyle w:val="26"/>
        <w:tblW w:w="92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906"/>
      </w:tblGrid>
      <w:tr w14:paraId="62122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1" w:hRule="atLeast"/>
          <w:jc w:val="center"/>
        </w:trPr>
        <w:tc>
          <w:tcPr>
            <w:tcW w:w="296" w:type="dxa"/>
            <w:noWrap w:val="0"/>
            <w:tcMar>
              <w:left w:w="28" w:type="dxa"/>
              <w:right w:w="28" w:type="dxa"/>
            </w:tcMar>
            <w:vAlign w:val="center"/>
          </w:tcPr>
          <w:p w14:paraId="6BA6D708">
            <w:pPr>
              <w:pStyle w:val="22"/>
              <w:keepNext w:val="0"/>
              <w:keepLines w:val="0"/>
              <w:suppressLineNumbers w:val="0"/>
              <w:adjustRightInd w:val="0"/>
              <w:snapToGrid w:val="0"/>
              <w:spacing w:before="0" w:beforeAutospacing="0" w:after="0" w:afterAutospacing="0" w:line="360" w:lineRule="auto"/>
              <w:ind w:left="0" w:right="0"/>
              <w:jc w:val="center"/>
              <w:rPr>
                <w:rFonts w:hint="eastAsia" w:eastAsia="宋体" w:cs="宋体"/>
                <w:color w:val="auto"/>
                <w:kern w:val="2"/>
                <w:szCs w:val="24"/>
              </w:rPr>
            </w:pPr>
            <w:r>
              <w:rPr>
                <w:rFonts w:hint="eastAsia" w:eastAsia="宋体" w:cs="宋体"/>
                <w:color w:val="auto"/>
                <w:kern w:val="2"/>
                <w:szCs w:val="24"/>
              </w:rPr>
              <w:t>施工</w:t>
            </w:r>
          </w:p>
          <w:p w14:paraId="73D09F45">
            <w:pPr>
              <w:pStyle w:val="22"/>
              <w:keepNext w:val="0"/>
              <w:keepLines w:val="0"/>
              <w:suppressLineNumbers w:val="0"/>
              <w:adjustRightInd w:val="0"/>
              <w:snapToGrid w:val="0"/>
              <w:spacing w:before="0" w:beforeAutospacing="0" w:after="0" w:afterAutospacing="0" w:line="360" w:lineRule="auto"/>
              <w:ind w:left="0" w:right="0"/>
              <w:jc w:val="center"/>
              <w:rPr>
                <w:rFonts w:hint="eastAsia" w:eastAsia="宋体" w:cs="宋体"/>
                <w:color w:val="auto"/>
                <w:kern w:val="2"/>
                <w:szCs w:val="24"/>
              </w:rPr>
            </w:pPr>
            <w:r>
              <w:rPr>
                <w:rFonts w:hint="eastAsia" w:eastAsia="宋体" w:cs="宋体"/>
                <w:color w:val="auto"/>
                <w:kern w:val="2"/>
                <w:szCs w:val="24"/>
              </w:rPr>
              <w:t>期环</w:t>
            </w:r>
          </w:p>
          <w:p w14:paraId="4B8FF534">
            <w:pPr>
              <w:pStyle w:val="22"/>
              <w:keepNext w:val="0"/>
              <w:keepLines w:val="0"/>
              <w:suppressLineNumbers w:val="0"/>
              <w:adjustRightInd w:val="0"/>
              <w:snapToGrid w:val="0"/>
              <w:spacing w:before="0" w:beforeAutospacing="0" w:after="0" w:afterAutospacing="0" w:line="360" w:lineRule="auto"/>
              <w:ind w:left="0" w:right="0"/>
              <w:jc w:val="center"/>
              <w:rPr>
                <w:rFonts w:hint="eastAsia" w:eastAsia="宋体" w:cs="宋体"/>
                <w:color w:val="auto"/>
                <w:kern w:val="2"/>
                <w:szCs w:val="24"/>
              </w:rPr>
            </w:pPr>
            <w:r>
              <w:rPr>
                <w:rFonts w:hint="eastAsia" w:eastAsia="宋体" w:cs="宋体"/>
                <w:color w:val="auto"/>
                <w:kern w:val="2"/>
                <w:szCs w:val="24"/>
              </w:rPr>
              <w:t>境保</w:t>
            </w:r>
          </w:p>
          <w:p w14:paraId="7ADF58AB">
            <w:pPr>
              <w:pStyle w:val="22"/>
              <w:keepNext w:val="0"/>
              <w:keepLines w:val="0"/>
              <w:suppressLineNumbers w:val="0"/>
              <w:adjustRightInd w:val="0"/>
              <w:snapToGrid w:val="0"/>
              <w:spacing w:before="0" w:beforeAutospacing="0" w:after="0" w:afterAutospacing="0" w:line="360" w:lineRule="auto"/>
              <w:ind w:left="0" w:right="0"/>
              <w:jc w:val="center"/>
              <w:rPr>
                <w:rFonts w:hint="eastAsia" w:eastAsia="宋体" w:cs="宋体"/>
                <w:color w:val="auto"/>
                <w:kern w:val="2"/>
                <w:szCs w:val="24"/>
              </w:rPr>
            </w:pPr>
            <w:r>
              <w:rPr>
                <w:rFonts w:hint="eastAsia" w:eastAsia="宋体" w:cs="宋体"/>
                <w:color w:val="auto"/>
                <w:kern w:val="2"/>
                <w:szCs w:val="24"/>
              </w:rPr>
              <w:t>护措</w:t>
            </w:r>
          </w:p>
          <w:p w14:paraId="50FA38D9">
            <w:pPr>
              <w:pStyle w:val="22"/>
              <w:keepNext w:val="0"/>
              <w:keepLines w:val="0"/>
              <w:suppressLineNumbers w:val="0"/>
              <w:adjustRightInd w:val="0"/>
              <w:snapToGrid w:val="0"/>
              <w:spacing w:before="0" w:beforeAutospacing="0" w:after="0" w:afterAutospacing="0" w:line="360" w:lineRule="auto"/>
              <w:ind w:left="0" w:right="0"/>
              <w:jc w:val="center"/>
              <w:rPr>
                <w:rFonts w:hint="eastAsia" w:eastAsia="宋体" w:cs="宋体"/>
                <w:bCs/>
                <w:color w:val="auto"/>
                <w:kern w:val="2"/>
                <w:szCs w:val="24"/>
              </w:rPr>
            </w:pPr>
            <w:r>
              <w:rPr>
                <w:rFonts w:hint="eastAsia" w:eastAsia="宋体" w:cs="宋体"/>
                <w:color w:val="auto"/>
                <w:kern w:val="2"/>
                <w:szCs w:val="24"/>
              </w:rPr>
              <w:t>施</w:t>
            </w:r>
          </w:p>
        </w:tc>
        <w:tc>
          <w:tcPr>
            <w:tcW w:w="8906" w:type="dxa"/>
            <w:noWrap w:val="0"/>
            <w:vAlign w:val="center"/>
          </w:tcPr>
          <w:p w14:paraId="102DAF99">
            <w:pPr>
              <w:keepNext w:val="0"/>
              <w:keepLines w:val="0"/>
              <w:suppressLineNumbers w:val="0"/>
              <w:adjustRightInd w:val="0"/>
              <w:snapToGrid w:val="0"/>
              <w:spacing w:before="0" w:beforeAutospacing="0" w:after="0" w:afterAutospacing="0" w:line="360" w:lineRule="auto"/>
              <w:ind w:left="0" w:right="0"/>
              <w:rPr>
                <w:rFonts w:ascii="Calibri" w:hAnsi="Calibri" w:eastAsia="宋体" w:cs="Times New Roman"/>
                <w:b/>
                <w:bCs/>
                <w:color w:val="auto"/>
                <w:sz w:val="24"/>
              </w:rPr>
            </w:pPr>
            <w:r>
              <w:rPr>
                <w:rFonts w:hint="eastAsia" w:ascii="Calibri" w:hAnsi="Calibri" w:eastAsia="宋体" w:cs="Times New Roman"/>
                <w:b/>
                <w:bCs/>
                <w:color w:val="auto"/>
                <w:sz w:val="24"/>
              </w:rPr>
              <w:t>一</w:t>
            </w:r>
            <w:r>
              <w:rPr>
                <w:rFonts w:ascii="Calibri" w:hAnsi="Calibri" w:eastAsia="宋体" w:cs="Times New Roman"/>
                <w:b/>
                <w:bCs/>
                <w:color w:val="auto"/>
                <w:sz w:val="24"/>
              </w:rPr>
              <w:t>、大气环境</w:t>
            </w:r>
            <w:r>
              <w:rPr>
                <w:rFonts w:hint="eastAsia" w:ascii="Calibri" w:hAnsi="Calibri" w:eastAsia="宋体" w:cs="Times New Roman"/>
                <w:b/>
                <w:bCs/>
                <w:color w:val="auto"/>
                <w:sz w:val="24"/>
              </w:rPr>
              <w:t>环保措施</w:t>
            </w:r>
          </w:p>
          <w:p w14:paraId="1DDA3C76">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施工期的大气污染主要为扬尘和施工机械设备产生的废气污染。</w:t>
            </w:r>
          </w:p>
          <w:p w14:paraId="5414EF91">
            <w:pPr>
              <w:pStyle w:val="25"/>
              <w:keepNext w:val="0"/>
              <w:keepLines w:val="0"/>
              <w:suppressLineNumbers w:val="0"/>
              <w:adjustRightInd w:val="0"/>
              <w:snapToGrid w:val="0"/>
              <w:spacing w:before="0" w:beforeAutospacing="0" w:after="0" w:afterAutospacing="0"/>
              <w:ind w:left="0" w:leftChars="0" w:right="0" w:firstLine="480" w:firstLineChars="200"/>
              <w:rPr>
                <w:rFonts w:ascii="Calibri" w:hAnsi="Calibri" w:eastAsia="宋体" w:cs="Times New Roman"/>
                <w:color w:val="auto"/>
                <w:szCs w:val="24"/>
              </w:rPr>
            </w:pPr>
            <w:r>
              <w:rPr>
                <w:rFonts w:hint="eastAsia" w:ascii="Calibri" w:hAnsi="Calibri" w:eastAsia="宋体" w:cs="Times New Roman"/>
                <w:color w:val="auto"/>
                <w:szCs w:val="24"/>
              </w:rPr>
              <w:t>1、</w:t>
            </w:r>
            <w:r>
              <w:rPr>
                <w:rFonts w:ascii="Calibri" w:hAnsi="Calibri" w:eastAsia="宋体" w:cs="Times New Roman"/>
                <w:color w:val="auto"/>
                <w:szCs w:val="24"/>
              </w:rPr>
              <w:t>扬尘</w:t>
            </w:r>
          </w:p>
          <w:p w14:paraId="440D922F">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为有效控制施工期间的扬尘影响，本评价要求项目建设及施工单位严格执行《大气污染防治行动计划》、《防治城市扬尘污染技术规范》(HJ/T393-2007)，对施工提出以下扬尘控制要求：</w:t>
            </w:r>
          </w:p>
          <w:p w14:paraId="748DB9D0">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① 施工现场对外围有影响的方向设置围栏围墙，缩小施工现场扬尘、尾气扩散范围。</w:t>
            </w:r>
          </w:p>
          <w:p w14:paraId="1F5C0922">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② 施工场地的砂石堆场应定时洒水抑尘，防止浮尘产生，有风日时应加大洒水量及洒水次数。</w:t>
            </w:r>
          </w:p>
          <w:p w14:paraId="251942DD">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③ 运输车辆进入施工场地应低速或限速行驶，减少扬尘产生量；对施工现场运输车辆和部分施工机械应控制车速，修建洗车平台用于</w:t>
            </w:r>
            <w:r>
              <w:rPr>
                <w:rFonts w:hint="eastAsia" w:ascii="Calibri" w:hAnsi="Calibri" w:eastAsia="宋体" w:cs="Times New Roman"/>
                <w:color w:val="auto"/>
                <w:sz w:val="24"/>
                <w:lang w:eastAsia="zh-CN"/>
              </w:rPr>
              <w:t>清洗驶出</w:t>
            </w:r>
            <w:r>
              <w:rPr>
                <w:rFonts w:ascii="Calibri" w:hAnsi="Calibri" w:eastAsia="宋体" w:cs="Times New Roman"/>
                <w:color w:val="auto"/>
                <w:sz w:val="24"/>
              </w:rPr>
              <w:t>施工场地的运输车辆，减少</w:t>
            </w:r>
            <w:r>
              <w:rPr>
                <w:rFonts w:hint="eastAsia" w:ascii="Calibri" w:hAnsi="Calibri" w:eastAsia="宋体" w:cs="Times New Roman"/>
                <w:color w:val="auto"/>
                <w:sz w:val="24"/>
                <w:lang w:eastAsia="zh-CN"/>
              </w:rPr>
              <w:t>行驶</w:t>
            </w:r>
            <w:r>
              <w:rPr>
                <w:rFonts w:ascii="Calibri" w:hAnsi="Calibri" w:eastAsia="宋体" w:cs="Times New Roman"/>
                <w:color w:val="auto"/>
                <w:sz w:val="24"/>
              </w:rPr>
              <w:t>过程中产生的道路扬尘；同时可以缩短怠速、减速和加速的时间，增加正常运行时间。</w:t>
            </w:r>
          </w:p>
          <w:p w14:paraId="7F486C2C">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④ 要做到施工现场100%围挡，工地裸露砂土100%覆盖，土石方施工100%湿法作业，工地出入口100%硬化，建筑垃圾运输车辆的装载高度不得超过车辆槽帮上沿，并采取机械化密闭装置对车辆进行全遮盖，避免在运输过程中因物料遗撒或外漏而产生扬尘，并通过封闭系统运送到车库，避免露天堆放；所有来往施工场地的多尘物料应密闭运输。</w:t>
            </w:r>
          </w:p>
          <w:p w14:paraId="775D7668">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⑤ 遇有4级以上大风天气时，不得进行土方运输、土方开挖、土方回填作业；施工现场应每天根据现场情况及时进行清扫洒水，在土方施工、干燥天气、风力4级及以上的天气条件下，应适当增加洒水次数。</w:t>
            </w:r>
          </w:p>
          <w:p w14:paraId="497EE1FE">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2、</w:t>
            </w:r>
            <w:r>
              <w:rPr>
                <w:rFonts w:ascii="Calibri" w:hAnsi="Calibri" w:eastAsia="宋体" w:cs="Times New Roman"/>
                <w:color w:val="auto"/>
                <w:sz w:val="24"/>
              </w:rPr>
              <w:t>运输车辆及作业机械尾气</w:t>
            </w:r>
          </w:p>
          <w:p w14:paraId="60E03450">
            <w:pPr>
              <w:pStyle w:val="86"/>
              <w:keepNext w:val="0"/>
              <w:keepLines w:val="0"/>
              <w:suppressLineNumbers w:val="0"/>
              <w:adjustRightInd w:val="0"/>
              <w:snapToGrid w:val="0"/>
              <w:spacing w:before="0" w:beforeAutospacing="0" w:after="0" w:afterAutospacing="0"/>
              <w:ind w:left="0" w:right="0" w:firstLine="480"/>
              <w:rPr>
                <w:rFonts w:ascii="Calibri" w:hAnsi="Calibri" w:eastAsia="宋体" w:cs="Times New Roman"/>
                <w:color w:val="auto"/>
              </w:rPr>
            </w:pPr>
            <w:r>
              <w:rPr>
                <w:rFonts w:ascii="Calibri" w:hAnsi="Calibri" w:eastAsia="宋体" w:cs="Times New Roman"/>
                <w:color w:val="auto"/>
              </w:rPr>
              <w:t>施工单位必须使用污染物排放符合国家标准的运输车辆和施工设备，加强设备、车辆的维护保养，使机械、车辆处于良好工作状态，严禁使用报废车辆和淘汰设备。</w:t>
            </w:r>
          </w:p>
          <w:p w14:paraId="3D161749">
            <w:pPr>
              <w:keepNext w:val="0"/>
              <w:keepLines w:val="0"/>
              <w:suppressLineNumbers w:val="0"/>
              <w:adjustRightInd w:val="0"/>
              <w:snapToGrid w:val="0"/>
              <w:spacing w:before="0" w:beforeAutospacing="0" w:after="0" w:afterAutospacing="0" w:line="360" w:lineRule="auto"/>
              <w:ind w:left="0" w:right="0"/>
              <w:rPr>
                <w:rFonts w:ascii="Calibri" w:hAnsi="Calibri" w:eastAsia="宋体" w:cs="Times New Roman"/>
                <w:b/>
                <w:bCs/>
                <w:color w:val="auto"/>
                <w:sz w:val="24"/>
              </w:rPr>
            </w:pPr>
            <w:r>
              <w:rPr>
                <w:rFonts w:hint="eastAsia" w:ascii="Calibri" w:hAnsi="Calibri" w:eastAsia="宋体" w:cs="Times New Roman"/>
                <w:b/>
                <w:bCs/>
                <w:color w:val="auto"/>
                <w:sz w:val="24"/>
              </w:rPr>
              <w:t>二</w:t>
            </w:r>
            <w:r>
              <w:rPr>
                <w:rFonts w:ascii="Calibri" w:hAnsi="Calibri" w:eastAsia="宋体" w:cs="Times New Roman"/>
                <w:b/>
                <w:bCs/>
                <w:color w:val="auto"/>
                <w:sz w:val="24"/>
              </w:rPr>
              <w:t>、水</w:t>
            </w:r>
            <w:r>
              <w:rPr>
                <w:rFonts w:hint="eastAsia" w:ascii="Calibri" w:hAnsi="Calibri" w:eastAsia="宋体" w:cs="Times New Roman"/>
                <w:b/>
                <w:bCs/>
                <w:color w:val="auto"/>
                <w:sz w:val="24"/>
              </w:rPr>
              <w:t>环境环保措施</w:t>
            </w:r>
          </w:p>
          <w:p w14:paraId="2147E4BF">
            <w:pPr>
              <w:pStyle w:val="87"/>
              <w:keepNext w:val="0"/>
              <w:keepLines w:val="0"/>
              <w:suppressLineNumbers w:val="0"/>
              <w:adjustRightInd w:val="0"/>
              <w:snapToGrid w:val="0"/>
              <w:spacing w:before="0" w:beforeAutospacing="0" w:after="0" w:afterAutospacing="0"/>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（1）施工废水</w:t>
            </w:r>
          </w:p>
          <w:p w14:paraId="68C0F626">
            <w:pPr>
              <w:pStyle w:val="87"/>
              <w:keepNext w:val="0"/>
              <w:keepLines w:val="0"/>
              <w:suppressLineNumbers w:val="0"/>
              <w:adjustRightInd w:val="0"/>
              <w:snapToGrid w:val="0"/>
              <w:spacing w:before="0" w:beforeAutospacing="0" w:after="0" w:afterAutospacing="0"/>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项目施工场地预先修好截排水沟，在周边设置围挡措施，将废水收集并作隔油、沉淀处理后回用厂区洒水降尘。</w:t>
            </w:r>
          </w:p>
          <w:p w14:paraId="5F95CCA9">
            <w:pPr>
              <w:pStyle w:val="87"/>
              <w:keepNext w:val="0"/>
              <w:keepLines w:val="0"/>
              <w:suppressLineNumbers w:val="0"/>
              <w:adjustRightInd w:val="0"/>
              <w:snapToGrid w:val="0"/>
              <w:spacing w:before="0" w:beforeAutospacing="0" w:after="0" w:afterAutospacing="0"/>
              <w:ind w:left="0" w:righ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（2）生活污水</w:t>
            </w:r>
          </w:p>
          <w:p w14:paraId="7F091531">
            <w:pPr>
              <w:pStyle w:val="87"/>
              <w:keepNext w:val="0"/>
              <w:keepLines w:val="0"/>
              <w:suppressLineNumbers w:val="0"/>
              <w:adjustRightInd w:val="0"/>
              <w:snapToGrid w:val="0"/>
              <w:spacing w:before="0" w:beforeAutospacing="0" w:after="0" w:afterAutospacing="0"/>
              <w:ind w:left="0" w:right="0"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项目施工过程中施工人员产生的生活污水经过防渗旱厕处理后用于周边林地施肥。</w:t>
            </w:r>
          </w:p>
          <w:p w14:paraId="39FE2A43">
            <w:pPr>
              <w:keepNext w:val="0"/>
              <w:keepLines w:val="0"/>
              <w:suppressLineNumbers w:val="0"/>
              <w:adjustRightInd w:val="0"/>
              <w:snapToGrid w:val="0"/>
              <w:spacing w:before="0" w:beforeAutospacing="0" w:after="0" w:afterAutospacing="0" w:line="360" w:lineRule="auto"/>
              <w:ind w:left="0" w:right="0"/>
              <w:contextualSpacing/>
              <w:rPr>
                <w:rFonts w:ascii="Calibri" w:hAnsi="Calibri" w:eastAsia="宋体" w:cs="Times New Roman"/>
                <w:b/>
                <w:bCs/>
                <w:color w:val="auto"/>
                <w:sz w:val="24"/>
              </w:rPr>
            </w:pPr>
            <w:r>
              <w:rPr>
                <w:rFonts w:hint="eastAsia" w:ascii="Calibri" w:hAnsi="Calibri" w:eastAsia="宋体" w:cs="Times New Roman"/>
                <w:b/>
                <w:bCs/>
                <w:color w:val="auto"/>
                <w:sz w:val="24"/>
              </w:rPr>
              <w:t>三</w:t>
            </w:r>
            <w:r>
              <w:rPr>
                <w:rFonts w:ascii="Calibri" w:hAnsi="Calibri" w:eastAsia="宋体" w:cs="Times New Roman"/>
                <w:b/>
                <w:bCs/>
                <w:color w:val="auto"/>
                <w:sz w:val="24"/>
              </w:rPr>
              <w:t>、噪声</w:t>
            </w:r>
            <w:r>
              <w:rPr>
                <w:rFonts w:hint="eastAsia" w:ascii="Calibri" w:hAnsi="Calibri" w:eastAsia="宋体" w:cs="Times New Roman"/>
                <w:b/>
                <w:bCs/>
                <w:color w:val="auto"/>
                <w:sz w:val="24"/>
              </w:rPr>
              <w:t>环保措施</w:t>
            </w:r>
          </w:p>
          <w:p w14:paraId="08481F31">
            <w:pPr>
              <w:keepNext w:val="0"/>
              <w:keepLines w:val="0"/>
              <w:suppressLineNumbers w:val="0"/>
              <w:adjustRightInd w:val="0"/>
              <w:snapToGrid w:val="0"/>
              <w:spacing w:before="0" w:beforeAutospacing="0" w:after="0" w:afterAutospacing="0" w:line="360" w:lineRule="auto"/>
              <w:ind w:left="0" w:right="0" w:firstLine="480"/>
              <w:rPr>
                <w:rFonts w:hint="eastAsia" w:ascii="Calibri" w:hAnsi="Calibri" w:eastAsia="宋体" w:cs="Times New Roman"/>
                <w:color w:val="auto"/>
                <w:sz w:val="24"/>
              </w:rPr>
            </w:pPr>
            <w:bookmarkStart w:id="24" w:name="_Toc215300016"/>
            <w:bookmarkStart w:id="25" w:name="_Toc215299439"/>
            <w:r>
              <w:rPr>
                <w:rFonts w:hint="eastAsia" w:ascii="Calibri" w:hAnsi="Calibri" w:eastAsia="宋体" w:cs="Times New Roman"/>
                <w:color w:val="auto"/>
                <w:sz w:val="24"/>
              </w:rPr>
              <w:t>项目一般施工机械是在露天的环境中进行施工，通常的情况下无法进行密闭隔声处理，在施工期间对周围噪声的影响不可能完全避免，因此，为了确保周边环境不受本项目施工噪声的影响，因此，在施工过程中合理安排施工计划和施工机械设备组合，禁止高噪声设备在夜间（</w:t>
            </w:r>
            <w:r>
              <w:rPr>
                <w:rFonts w:ascii="Calibri" w:hAnsi="Calibri" w:eastAsia="宋体" w:cs="Times New Roman"/>
                <w:color w:val="auto"/>
                <w:sz w:val="24"/>
              </w:rPr>
              <w:t>22</w:t>
            </w:r>
            <w:r>
              <w:rPr>
                <w:rFonts w:hint="eastAsia" w:ascii="Calibri" w:hAnsi="Calibri" w:eastAsia="宋体" w:cs="Times New Roman"/>
                <w:color w:val="auto"/>
                <w:sz w:val="24"/>
              </w:rPr>
              <w:t>：</w:t>
            </w:r>
            <w:r>
              <w:rPr>
                <w:rFonts w:ascii="Calibri" w:hAnsi="Calibri" w:eastAsia="宋体" w:cs="Times New Roman"/>
                <w:color w:val="auto"/>
                <w:sz w:val="24"/>
              </w:rPr>
              <w:t>00</w:t>
            </w:r>
            <w:r>
              <w:rPr>
                <w:rFonts w:hint="eastAsia" w:ascii="Calibri" w:hAnsi="Calibri" w:eastAsia="宋体" w:cs="Times New Roman"/>
                <w:color w:val="auto"/>
                <w:sz w:val="24"/>
              </w:rPr>
              <w:t>～</w:t>
            </w:r>
            <w:r>
              <w:rPr>
                <w:rFonts w:ascii="Calibri" w:hAnsi="Calibri" w:eastAsia="宋体" w:cs="Times New Roman"/>
                <w:color w:val="auto"/>
                <w:sz w:val="24"/>
              </w:rPr>
              <w:t>06</w:t>
            </w:r>
            <w:r>
              <w:rPr>
                <w:rFonts w:hint="eastAsia" w:ascii="Calibri" w:hAnsi="Calibri" w:eastAsia="宋体" w:cs="Times New Roman"/>
                <w:color w:val="auto"/>
                <w:sz w:val="24"/>
              </w:rPr>
              <w:t>：</w:t>
            </w:r>
            <w:r>
              <w:rPr>
                <w:rFonts w:ascii="Calibri" w:hAnsi="Calibri" w:eastAsia="宋体" w:cs="Times New Roman"/>
                <w:color w:val="auto"/>
                <w:sz w:val="24"/>
              </w:rPr>
              <w:t>00</w:t>
            </w:r>
            <w:r>
              <w:rPr>
                <w:rFonts w:hint="eastAsia" w:ascii="Calibri" w:hAnsi="Calibri" w:eastAsia="宋体" w:cs="Times New Roman"/>
                <w:color w:val="auto"/>
                <w:sz w:val="24"/>
              </w:rPr>
              <w:t>）作业，夜间施工噪声影响有限。另外，选用高效低噪声施工机械，加强机械设备的维护；施工机械尽量布置在远离噪声敏感区的位置，尽量避免高噪声设备同时施工。</w:t>
            </w:r>
          </w:p>
          <w:bookmarkEnd w:id="24"/>
          <w:bookmarkEnd w:id="25"/>
          <w:p w14:paraId="38278EF5">
            <w:pPr>
              <w:keepNext w:val="0"/>
              <w:keepLines w:val="0"/>
              <w:widowControl/>
              <w:suppressLineNumbers w:val="0"/>
              <w:adjustRightInd w:val="0"/>
              <w:snapToGrid w:val="0"/>
              <w:spacing w:before="0" w:beforeAutospacing="0" w:after="0" w:afterAutospacing="0" w:line="360" w:lineRule="auto"/>
              <w:ind w:left="0" w:right="0"/>
              <w:jc w:val="left"/>
              <w:rPr>
                <w:rFonts w:ascii="Calibri" w:hAnsi="Calibri" w:eastAsia="宋体" w:cs="Times New Roman"/>
                <w:b/>
                <w:bCs/>
                <w:color w:val="auto"/>
                <w:sz w:val="24"/>
              </w:rPr>
            </w:pPr>
            <w:r>
              <w:rPr>
                <w:rFonts w:hint="eastAsia" w:ascii="Calibri" w:hAnsi="Calibri" w:eastAsia="宋体" w:cs="Times New Roman"/>
                <w:b/>
                <w:bCs/>
                <w:color w:val="auto"/>
                <w:sz w:val="24"/>
              </w:rPr>
              <w:t>四</w:t>
            </w:r>
            <w:r>
              <w:rPr>
                <w:rFonts w:ascii="Calibri" w:hAnsi="Calibri" w:eastAsia="宋体" w:cs="Times New Roman"/>
                <w:b/>
                <w:bCs/>
                <w:color w:val="auto"/>
                <w:sz w:val="24"/>
              </w:rPr>
              <w:t>、固体废物</w:t>
            </w:r>
            <w:r>
              <w:rPr>
                <w:rFonts w:hint="eastAsia" w:ascii="Calibri" w:hAnsi="Calibri" w:eastAsia="宋体" w:cs="Times New Roman"/>
                <w:b/>
                <w:bCs/>
                <w:color w:val="auto"/>
                <w:sz w:val="24"/>
              </w:rPr>
              <w:t>环保措施</w:t>
            </w:r>
          </w:p>
          <w:p w14:paraId="003F4E2C">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eastAsia" w:ascii="Calibri" w:hAnsi="Calibri" w:eastAsia="宋体" w:cs="Times New Roman"/>
                <w:color w:val="auto"/>
                <w:sz w:val="24"/>
              </w:rPr>
            </w:pPr>
            <w:r>
              <w:rPr>
                <w:rFonts w:hint="eastAsia" w:ascii="Calibri" w:hAnsi="Calibri" w:eastAsia="宋体" w:cs="Times New Roman"/>
                <w:color w:val="auto"/>
                <w:sz w:val="24"/>
              </w:rPr>
              <w:t>项目基础、主体工程的建设过程</w:t>
            </w:r>
            <w:r>
              <w:rPr>
                <w:rFonts w:ascii="Calibri" w:hAnsi="Calibri" w:eastAsia="宋体" w:cs="Times New Roman"/>
                <w:color w:val="auto"/>
                <w:sz w:val="24"/>
              </w:rPr>
              <w:t>产生的建筑垃圾及时清运至市政部门指定的地方堆放</w:t>
            </w:r>
            <w:r>
              <w:rPr>
                <w:rFonts w:hint="eastAsia" w:ascii="Calibri" w:hAnsi="Calibri" w:eastAsia="宋体" w:cs="Times New Roman"/>
                <w:color w:val="auto"/>
                <w:sz w:val="24"/>
              </w:rPr>
              <w:t>。</w:t>
            </w:r>
          </w:p>
          <w:p w14:paraId="10D6DE2A">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eastAsia" w:ascii="Calibri" w:hAnsi="Calibri" w:eastAsia="宋体" w:cs="Times New Roman"/>
                <w:color w:val="auto"/>
                <w:sz w:val="24"/>
              </w:rPr>
            </w:pPr>
            <w:r>
              <w:rPr>
                <w:rFonts w:ascii="Calibri" w:hAnsi="Calibri" w:eastAsia="宋体" w:cs="Times New Roman"/>
                <w:color w:val="auto"/>
                <w:sz w:val="24"/>
              </w:rPr>
              <w:t>生活垃圾应定点堆放后，由环卫部门统一清运处理</w:t>
            </w:r>
            <w:r>
              <w:rPr>
                <w:rFonts w:hint="eastAsia" w:ascii="Calibri" w:hAnsi="Calibri" w:eastAsia="宋体" w:cs="Times New Roman"/>
                <w:color w:val="auto"/>
                <w:sz w:val="24"/>
              </w:rPr>
              <w:t>。</w:t>
            </w:r>
          </w:p>
          <w:p w14:paraId="14780614">
            <w:pPr>
              <w:pStyle w:val="9"/>
              <w:keepNext w:val="0"/>
              <w:keepLines w:val="0"/>
              <w:suppressLineNumbers w:val="0"/>
              <w:spacing w:before="0" w:beforeAutospacing="0" w:after="0" w:afterAutospacing="0" w:line="360" w:lineRule="auto"/>
              <w:ind w:left="0" w:right="0"/>
              <w:rPr>
                <w:rFonts w:hint="eastAsia" w:ascii="Calibri" w:hAnsi="Calibri" w:eastAsia="宋体" w:cs="Times New Roman"/>
                <w:b/>
                <w:bCs/>
                <w:color w:val="auto"/>
                <w:kern w:val="2"/>
                <w:sz w:val="24"/>
                <w:szCs w:val="24"/>
              </w:rPr>
            </w:pPr>
            <w:r>
              <w:rPr>
                <w:rFonts w:hint="eastAsia" w:ascii="Calibri" w:hAnsi="Calibri" w:eastAsia="宋体" w:cs="Times New Roman"/>
                <w:b/>
                <w:bCs/>
                <w:color w:val="auto"/>
                <w:kern w:val="2"/>
                <w:sz w:val="24"/>
                <w:szCs w:val="24"/>
              </w:rPr>
              <w:t>五、生态治理措施</w:t>
            </w:r>
          </w:p>
          <w:p w14:paraId="75475C38">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eastAsia" w:ascii="Calibri" w:hAnsi="Calibri" w:eastAsia="宋体" w:cs="Times New Roman"/>
                <w:color w:val="auto"/>
                <w:sz w:val="24"/>
              </w:rPr>
            </w:pPr>
            <w:r>
              <w:rPr>
                <w:rFonts w:hint="eastAsia" w:ascii="Calibri" w:hAnsi="Calibri" w:eastAsia="宋体" w:cs="Times New Roman"/>
                <w:color w:val="auto"/>
                <w:sz w:val="24"/>
              </w:rPr>
              <w:t>项目所在地块为荒地，产生的弃土用于平整项目场地；产生的表土用于场地绿化；项目周边无生态保护目标分布，施工期对生态环境影响有限。在挖填土过</w:t>
            </w:r>
            <w:r>
              <w:rPr>
                <w:rFonts w:hint="eastAsia" w:ascii="Calibri" w:hAnsi="Calibri" w:eastAsia="宋体" w:cs="Times New Roman"/>
                <w:color w:val="auto"/>
                <w:sz w:val="24"/>
                <w:lang w:eastAsia="zh-CN"/>
              </w:rPr>
              <w:t>程中</w:t>
            </w:r>
            <w:r>
              <w:rPr>
                <w:rFonts w:hint="eastAsia" w:ascii="Calibri" w:hAnsi="Calibri" w:eastAsia="宋体" w:cs="Times New Roman"/>
                <w:color w:val="auto"/>
                <w:sz w:val="24"/>
              </w:rPr>
              <w:t>，避免在雨季大面积破土，及时做好排水导流工作，在施工场地内开挖临时雨水排水沟，在雨水排水口处设置沉淀池，对场地内的雨水径流进行简易沉淀处理。</w:t>
            </w:r>
          </w:p>
          <w:p w14:paraId="3198F51A">
            <w:pPr>
              <w:keepNext w:val="0"/>
              <w:keepLines w:val="0"/>
              <w:suppressLineNumbers w:val="0"/>
              <w:spacing w:before="0" w:beforeAutospacing="0" w:after="0" w:afterAutospacing="0"/>
              <w:ind w:left="0" w:right="0"/>
              <w:rPr>
                <w:rFonts w:ascii="Calibri" w:hAnsi="Calibri" w:eastAsia="宋体" w:cs="Times New Roman"/>
                <w:color w:val="auto"/>
              </w:rPr>
            </w:pPr>
          </w:p>
          <w:p w14:paraId="4E955651">
            <w:pPr>
              <w:pStyle w:val="41"/>
              <w:keepNext w:val="0"/>
              <w:keepLines w:val="0"/>
              <w:suppressLineNumbers w:val="0"/>
              <w:spacing w:before="0" w:beforeAutospacing="0" w:after="0" w:afterAutospacing="0"/>
              <w:ind w:left="0" w:right="0"/>
              <w:rPr>
                <w:color w:val="auto"/>
              </w:rPr>
            </w:pPr>
          </w:p>
          <w:p w14:paraId="238F2CD0">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5F4C3813">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3977B20E">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1FC57BEE">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0D84F431">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0EA466F0">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456CAEAE">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36828F8B">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2BADB373">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49445FEF">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3EA6FD82">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3526B71F">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30077640">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33146B16">
            <w:pPr>
              <w:pStyle w:val="16"/>
              <w:keepNext w:val="0"/>
              <w:keepLines w:val="0"/>
              <w:suppressLineNumbers w:val="0"/>
              <w:spacing w:before="0" w:beforeAutospacing="0" w:after="0" w:afterAutospacing="0"/>
              <w:ind w:left="0" w:right="0"/>
              <w:rPr>
                <w:rFonts w:ascii="Calibri" w:hAnsi="Calibri" w:eastAsia="宋体" w:cs="Times New Roman"/>
                <w:color w:val="auto"/>
              </w:rPr>
            </w:pPr>
          </w:p>
          <w:p w14:paraId="51ADE806">
            <w:pPr>
              <w:pStyle w:val="16"/>
              <w:keepNext w:val="0"/>
              <w:keepLines w:val="0"/>
              <w:suppressLineNumbers w:val="0"/>
              <w:spacing w:before="0" w:beforeAutospacing="0" w:after="0" w:afterAutospacing="0"/>
              <w:ind w:left="0" w:right="0"/>
              <w:rPr>
                <w:rFonts w:ascii="Calibri" w:hAnsi="Calibri" w:eastAsia="宋体" w:cs="Times New Roman"/>
                <w:color w:val="auto"/>
              </w:rPr>
            </w:pPr>
          </w:p>
        </w:tc>
      </w:tr>
      <w:tr w14:paraId="405F0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5" w:hRule="atLeast"/>
          <w:jc w:val="center"/>
        </w:trPr>
        <w:tc>
          <w:tcPr>
            <w:tcW w:w="296" w:type="dxa"/>
            <w:noWrap w:val="0"/>
            <w:tcMar>
              <w:left w:w="28" w:type="dxa"/>
              <w:right w:w="28" w:type="dxa"/>
            </w:tcMar>
            <w:vAlign w:val="center"/>
          </w:tcPr>
          <w:p w14:paraId="7215994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运营</w:t>
            </w:r>
          </w:p>
          <w:p w14:paraId="61885E6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期环</w:t>
            </w:r>
          </w:p>
          <w:p w14:paraId="0B39086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境影</w:t>
            </w:r>
          </w:p>
          <w:p w14:paraId="19FEC3C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响和</w:t>
            </w:r>
          </w:p>
          <w:p w14:paraId="4944B44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保护</w:t>
            </w:r>
          </w:p>
          <w:p w14:paraId="2DB423F6">
            <w:pPr>
              <w:keepNext w:val="0"/>
              <w:keepLines w:val="0"/>
              <w:suppressLineNumbers w:val="0"/>
              <w:adjustRightInd w:val="0"/>
              <w:snapToGrid w:val="0"/>
              <w:spacing w:before="0" w:beforeAutospacing="0" w:after="0" w:afterAutospacing="0" w:line="360" w:lineRule="auto"/>
              <w:ind w:left="0" w:right="0"/>
              <w:jc w:val="center"/>
              <w:rPr>
                <w:rFonts w:ascii="宋体" w:hAnsi="宋体" w:eastAsia="宋体" w:cs="宋体"/>
                <w:bCs/>
                <w:color w:val="auto"/>
                <w:sz w:val="24"/>
              </w:rPr>
            </w:pPr>
            <w:r>
              <w:rPr>
                <w:rFonts w:hint="eastAsia" w:ascii="宋体" w:hAnsi="宋体" w:eastAsia="宋体" w:cs="宋体"/>
                <w:bCs/>
                <w:color w:val="auto"/>
                <w:sz w:val="24"/>
              </w:rPr>
              <w:t>措施</w:t>
            </w:r>
          </w:p>
        </w:tc>
        <w:tc>
          <w:tcPr>
            <w:tcW w:w="8906" w:type="dxa"/>
            <w:noWrap w:val="0"/>
            <w:vAlign w:val="center"/>
          </w:tcPr>
          <w:p w14:paraId="7E1DE18F">
            <w:pPr>
              <w:pStyle w:val="76"/>
              <w:keepNext w:val="0"/>
              <w:keepLines w:val="0"/>
              <w:widowControl/>
              <w:suppressLineNumbers w:val="0"/>
              <w:autoSpaceDE w:val="0"/>
              <w:autoSpaceDN w:val="0"/>
              <w:adjustRightInd w:val="0"/>
              <w:spacing w:before="0" w:beforeAutospacing="0" w:after="0" w:afterAutospacing="0" w:line="360" w:lineRule="auto"/>
              <w:ind w:left="0" w:right="0"/>
              <w:rPr>
                <w:rFonts w:ascii="Times New Roman" w:hAnsi="Times New Roman" w:eastAsia="宋体" w:cs="Times New Roman"/>
                <w:b/>
                <w:color w:val="auto"/>
                <w:kern w:val="2"/>
                <w:sz w:val="24"/>
                <w:szCs w:val="24"/>
                <w:lang w:eastAsia="zh-CN"/>
              </w:rPr>
            </w:pPr>
            <w:r>
              <w:rPr>
                <w:rFonts w:hint="eastAsia" w:ascii="Times New Roman" w:hAnsi="Times New Roman" w:cs="Times New Roman"/>
                <w:b/>
                <w:color w:val="auto"/>
                <w:kern w:val="2"/>
                <w:sz w:val="24"/>
                <w:szCs w:val="24"/>
                <w:lang w:val="en-US" w:eastAsia="zh-CN"/>
              </w:rPr>
              <w:t>一</w:t>
            </w:r>
            <w:r>
              <w:rPr>
                <w:rFonts w:ascii="Times New Roman" w:cs="Times New Roman"/>
                <w:b/>
                <w:color w:val="auto"/>
                <w:kern w:val="2"/>
                <w:sz w:val="24"/>
                <w:szCs w:val="24"/>
                <w:lang w:eastAsia="zh-CN"/>
              </w:rPr>
              <w:t>、大气污染源分析</w:t>
            </w:r>
          </w:p>
          <w:p w14:paraId="22AF30A3">
            <w:pPr>
              <w:keepNext w:val="0"/>
              <w:keepLines w:val="0"/>
              <w:suppressLineNumbers w:val="0"/>
              <w:tabs>
                <w:tab w:val="left" w:pos="3155"/>
              </w:tabs>
              <w:spacing w:before="0" w:beforeAutospacing="0" w:after="0" w:afterAutospacing="0" w:line="360" w:lineRule="auto"/>
              <w:ind w:left="0" w:right="0" w:firstLine="480" w:firstLineChars="200"/>
              <w:rPr>
                <w:rFonts w:ascii="Calibri" w:hAnsi="Calibri" w:eastAsia="宋体" w:cs="Times New Roman"/>
                <w:bCs/>
                <w:color w:val="auto"/>
                <w:sz w:val="24"/>
              </w:rPr>
            </w:pPr>
            <w:r>
              <w:rPr>
                <w:rFonts w:hint="eastAsia" w:ascii="Calibri" w:hAnsi="Calibri" w:eastAsia="宋体" w:cs="Times New Roman"/>
                <w:bCs/>
                <w:color w:val="auto"/>
                <w:sz w:val="24"/>
              </w:rPr>
              <w:t>项目外购进厂的原料为袋装；分拣工序为人工分拣；打包生物肥料时由于发酵后的肥料含水率较高，因此产生的包装粉尘均不大，可忽略不计。本项目主要大气污染物为发酵间恶臭。</w:t>
            </w:r>
          </w:p>
          <w:p w14:paraId="6C9F6307">
            <w:pPr>
              <w:keepNext w:val="0"/>
              <w:keepLines w:val="0"/>
              <w:suppressLineNumbers w:val="0"/>
              <w:spacing w:before="0" w:beforeAutospacing="0" w:after="0" w:afterAutospacing="0" w:line="360" w:lineRule="auto"/>
              <w:ind w:left="0" w:right="0" w:firstLine="482" w:firstLineChars="200"/>
              <w:rPr>
                <w:rFonts w:ascii="Calibri" w:hAnsi="Calibri" w:eastAsia="宋体" w:cs="Times New Roman"/>
                <w:color w:val="auto"/>
                <w:sz w:val="24"/>
              </w:rPr>
            </w:pPr>
            <w:r>
              <w:rPr>
                <w:rFonts w:hint="eastAsia" w:ascii="Calibri" w:hAnsi="Calibri" w:eastAsia="宋体" w:cs="Times New Roman"/>
                <w:b/>
                <w:bCs/>
                <w:color w:val="auto"/>
                <w:sz w:val="24"/>
              </w:rPr>
              <w:t>1、发酵间恶臭源强分析</w:t>
            </w:r>
          </w:p>
          <w:p w14:paraId="586C0DB7">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hint="eastAsia" w:ascii="Calibri" w:hAnsi="Calibri" w:eastAsia="宋体" w:cs="Times New Roman"/>
                <w:color w:val="auto"/>
                <w:sz w:val="24"/>
              </w:rPr>
              <w:t>项目发酵间主要将人工分拣后的生活垃圾（即餐厨垃圾，如剩饭菜、果皮、菜叶）和废豆粕混合后高温好氧发酵，期间产生恶臭气体。根据《2625有机肥料及微生物肥料制造行业系数手册》，有机肥/生物有机肥非罐式发酵氨气产污系数为0.073kg/t-产品；H</w:t>
            </w:r>
            <w:r>
              <w:rPr>
                <w:rFonts w:hint="eastAsia" w:ascii="Calibri" w:hAnsi="Calibri" w:eastAsia="宋体" w:cs="Times New Roman"/>
                <w:color w:val="auto"/>
                <w:sz w:val="24"/>
                <w:vertAlign w:val="subscript"/>
              </w:rPr>
              <w:t>2</w:t>
            </w:r>
            <w:r>
              <w:rPr>
                <w:rFonts w:hint="eastAsia" w:ascii="Calibri" w:hAnsi="Calibri" w:eastAsia="宋体" w:cs="Times New Roman"/>
                <w:color w:val="auto"/>
                <w:sz w:val="24"/>
              </w:rPr>
              <w:t>S的产污系数约为氨的10%。项目年产有机肥2.2万t/a，则NH</w:t>
            </w:r>
            <w:r>
              <w:rPr>
                <w:rFonts w:hint="eastAsia" w:ascii="Calibri" w:hAnsi="Calibri" w:eastAsia="宋体" w:cs="Times New Roman"/>
                <w:color w:val="auto"/>
                <w:sz w:val="24"/>
                <w:vertAlign w:val="subscript"/>
              </w:rPr>
              <w:t>3</w:t>
            </w:r>
            <w:r>
              <w:rPr>
                <w:rFonts w:hint="eastAsia" w:ascii="Calibri" w:hAnsi="Calibri" w:eastAsia="宋体" w:cs="Times New Roman"/>
                <w:color w:val="auto"/>
                <w:sz w:val="24"/>
              </w:rPr>
              <w:t>的产生量为1.606t/a、H</w:t>
            </w:r>
            <w:r>
              <w:rPr>
                <w:rFonts w:hint="eastAsia" w:ascii="Calibri" w:hAnsi="Calibri" w:eastAsia="宋体" w:cs="Times New Roman"/>
                <w:color w:val="auto"/>
                <w:sz w:val="24"/>
                <w:vertAlign w:val="subscript"/>
              </w:rPr>
              <w:t>2</w:t>
            </w:r>
            <w:r>
              <w:rPr>
                <w:rFonts w:hint="eastAsia" w:ascii="Calibri" w:hAnsi="Calibri" w:eastAsia="宋体" w:cs="Times New Roman"/>
                <w:color w:val="auto"/>
                <w:sz w:val="24"/>
              </w:rPr>
              <w:t>S产生量约为0.161t/a。</w:t>
            </w:r>
          </w:p>
          <w:p w14:paraId="07163AA2">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项目整个发酵车间为封闭式（即四面围挡，上设顶棚，仅留进出口，进出口设置卷门）。根据《排放源统计调查产排污核算方法和系数手册》中“2625有机肥及微生物肥料制造业产排污系数表”可知，有机肥熟化过程废气量的产生系数为2419标立方米/吨产品。项目年产有机肥2.2万吨，故发酵工序废气量为7391m</w:t>
            </w:r>
            <w:r>
              <w:rPr>
                <w:rFonts w:hint="eastAsia" w:ascii="Calibri" w:hAnsi="Calibri" w:eastAsia="宋体" w:cs="Times New Roman"/>
                <w:color w:val="auto"/>
                <w:sz w:val="24"/>
                <w:vertAlign w:val="superscript"/>
              </w:rPr>
              <w:t>3</w:t>
            </w:r>
            <w:r>
              <w:rPr>
                <w:rFonts w:hint="eastAsia" w:ascii="Calibri" w:hAnsi="Calibri" w:eastAsia="宋体" w:cs="Times New Roman"/>
                <w:color w:val="auto"/>
                <w:sz w:val="24"/>
              </w:rPr>
              <w:t>/h（按发酵时间为300d，每天24h计算）。项目发酵车间内设置风量为8000m</w:t>
            </w:r>
            <w:r>
              <w:rPr>
                <w:rFonts w:hint="eastAsia" w:ascii="Calibri" w:hAnsi="Calibri" w:eastAsia="宋体" w:cs="Times New Roman"/>
                <w:color w:val="auto"/>
                <w:sz w:val="24"/>
                <w:vertAlign w:val="superscript"/>
              </w:rPr>
              <w:t>3</w:t>
            </w:r>
            <w:r>
              <w:rPr>
                <w:rFonts w:hint="eastAsia" w:ascii="Calibri" w:hAnsi="Calibri" w:eastAsia="宋体" w:cs="Times New Roman"/>
                <w:color w:val="auto"/>
                <w:sz w:val="24"/>
              </w:rPr>
              <w:t>/h的引风机（＞7391m</w:t>
            </w:r>
            <w:r>
              <w:rPr>
                <w:rFonts w:hint="eastAsia" w:ascii="Calibri" w:hAnsi="Calibri" w:eastAsia="宋体" w:cs="Times New Roman"/>
                <w:color w:val="auto"/>
                <w:sz w:val="24"/>
                <w:vertAlign w:val="superscript"/>
              </w:rPr>
              <w:t>3</w:t>
            </w:r>
            <w:r>
              <w:rPr>
                <w:rFonts w:hint="eastAsia" w:ascii="Calibri" w:hAnsi="Calibri" w:eastAsia="宋体" w:cs="Times New Roman"/>
                <w:color w:val="auto"/>
                <w:sz w:val="24"/>
              </w:rPr>
              <w:t>/h，满足要求），由引风机微负压收集的气体送入生物除臭塔处理后，通过15m高排气筒（DA001）排放。微负压收集效率按90%计，生物除臭塔除臭效率为87.9%计，则有组织排放的NH</w:t>
            </w:r>
            <w:r>
              <w:rPr>
                <w:rFonts w:hint="eastAsia" w:ascii="Calibri" w:hAnsi="Calibri" w:eastAsia="宋体" w:cs="Times New Roman"/>
                <w:color w:val="auto"/>
                <w:sz w:val="24"/>
                <w:vertAlign w:val="subscript"/>
              </w:rPr>
              <w:t>3</w:t>
            </w:r>
            <w:r>
              <w:rPr>
                <w:rFonts w:hint="eastAsia" w:ascii="Calibri" w:hAnsi="Calibri" w:eastAsia="宋体" w:cs="Times New Roman"/>
                <w:color w:val="auto"/>
                <w:sz w:val="24"/>
              </w:rPr>
              <w:t>、H</w:t>
            </w:r>
            <w:r>
              <w:rPr>
                <w:rFonts w:hint="eastAsia" w:ascii="Calibri" w:hAnsi="Calibri" w:eastAsia="宋体" w:cs="Times New Roman"/>
                <w:color w:val="auto"/>
                <w:sz w:val="24"/>
                <w:vertAlign w:val="subscript"/>
              </w:rPr>
              <w:t>2</w:t>
            </w:r>
            <w:r>
              <w:rPr>
                <w:rFonts w:hint="eastAsia" w:ascii="Calibri" w:hAnsi="Calibri" w:eastAsia="宋体" w:cs="Times New Roman"/>
                <w:color w:val="auto"/>
                <w:sz w:val="24"/>
              </w:rPr>
              <w:t>S分别为0.175t/a、0.018t/a，排放速率分别为0.024kg/h、0.002kg/h，排放浓度分别为3.04mg/m</w:t>
            </w:r>
            <w:r>
              <w:rPr>
                <w:rFonts w:hint="eastAsia" w:ascii="Calibri" w:hAnsi="Calibri" w:eastAsia="宋体" w:cs="Times New Roman"/>
                <w:color w:val="auto"/>
                <w:sz w:val="24"/>
                <w:vertAlign w:val="superscript"/>
              </w:rPr>
              <w:t>3</w:t>
            </w:r>
            <w:r>
              <w:rPr>
                <w:rFonts w:hint="eastAsia" w:ascii="Calibri" w:hAnsi="Calibri" w:eastAsia="宋体" w:cs="Times New Roman"/>
                <w:color w:val="auto"/>
                <w:sz w:val="24"/>
              </w:rPr>
              <w:t>、0.30mg/m</w:t>
            </w:r>
            <w:r>
              <w:rPr>
                <w:rFonts w:hint="eastAsia" w:ascii="Calibri" w:hAnsi="Calibri" w:eastAsia="宋体" w:cs="Times New Roman"/>
                <w:color w:val="auto"/>
                <w:sz w:val="24"/>
                <w:vertAlign w:val="superscript"/>
              </w:rPr>
              <w:t>3</w:t>
            </w:r>
            <w:r>
              <w:rPr>
                <w:rFonts w:hint="eastAsia" w:ascii="Calibri" w:hAnsi="Calibri" w:eastAsia="宋体" w:cs="Times New Roman"/>
                <w:color w:val="auto"/>
                <w:sz w:val="24"/>
              </w:rPr>
              <w:t>，可满足</w:t>
            </w:r>
            <w:r>
              <w:rPr>
                <w:rFonts w:hint="eastAsia" w:ascii="Times New Roman" w:hAnsi="Times New Roman" w:eastAsia="宋体" w:cs="Times New Roman"/>
                <w:color w:val="auto"/>
                <w:sz w:val="24"/>
              </w:rPr>
              <w:t>《恶臭污染物排放标准》（GB14554-93）表2恶臭污染物排放标准值</w:t>
            </w:r>
            <w:r>
              <w:rPr>
                <w:rFonts w:hint="eastAsia" w:ascii="Calibri" w:hAnsi="Calibri" w:eastAsia="宋体" w:cs="Times New Roman"/>
                <w:color w:val="auto"/>
                <w:sz w:val="24"/>
              </w:rPr>
              <w:t>。</w:t>
            </w:r>
          </w:p>
          <w:p w14:paraId="67065663">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此外，项目车间外围喷洒除臭剂以减少恶臭无组织外排，无组织NH</w:t>
            </w:r>
            <w:r>
              <w:rPr>
                <w:rFonts w:hint="eastAsia" w:ascii="Calibri" w:hAnsi="Calibri" w:eastAsia="宋体" w:cs="Times New Roman"/>
                <w:color w:val="auto"/>
                <w:sz w:val="24"/>
                <w:vertAlign w:val="subscript"/>
              </w:rPr>
              <w:t>3</w:t>
            </w:r>
            <w:r>
              <w:rPr>
                <w:rFonts w:hint="eastAsia" w:ascii="Calibri" w:hAnsi="Calibri" w:eastAsia="宋体" w:cs="Times New Roman"/>
                <w:color w:val="auto"/>
                <w:sz w:val="24"/>
              </w:rPr>
              <w:t>、H</w:t>
            </w:r>
            <w:r>
              <w:rPr>
                <w:rFonts w:hint="eastAsia" w:ascii="Calibri" w:hAnsi="Calibri" w:eastAsia="宋体" w:cs="Times New Roman"/>
                <w:color w:val="auto"/>
                <w:sz w:val="24"/>
                <w:vertAlign w:val="subscript"/>
              </w:rPr>
              <w:t>2</w:t>
            </w:r>
            <w:r>
              <w:rPr>
                <w:rFonts w:hint="eastAsia" w:ascii="Calibri" w:hAnsi="Calibri" w:eastAsia="宋体" w:cs="Times New Roman"/>
                <w:color w:val="auto"/>
                <w:sz w:val="24"/>
              </w:rPr>
              <w:t>S产生量分别为0.161t/a、0.016t/a。根据《自然科学》现代化农业，2011年第6期（总第383期）《微生物除臭剂研究进展》（赵晓锋，隋文志）的资料，经国家环境分析测试中心和陕西环境监测中心测试万洁芬对NH</w:t>
            </w:r>
            <w:r>
              <w:rPr>
                <w:rFonts w:hint="eastAsia" w:ascii="Calibri" w:hAnsi="Calibri" w:eastAsia="宋体" w:cs="Times New Roman"/>
                <w:color w:val="auto"/>
                <w:sz w:val="24"/>
                <w:vertAlign w:val="subscript"/>
              </w:rPr>
              <w:t>3</w:t>
            </w:r>
            <w:r>
              <w:rPr>
                <w:rFonts w:hint="eastAsia" w:ascii="Calibri" w:hAnsi="Calibri" w:eastAsia="宋体" w:cs="Times New Roman"/>
                <w:color w:val="auto"/>
                <w:sz w:val="24"/>
              </w:rPr>
              <w:t>和H</w:t>
            </w:r>
            <w:r>
              <w:rPr>
                <w:rFonts w:hint="eastAsia" w:ascii="Calibri" w:hAnsi="Calibri" w:eastAsia="宋体" w:cs="Times New Roman"/>
                <w:color w:val="auto"/>
                <w:sz w:val="24"/>
                <w:vertAlign w:val="subscript"/>
              </w:rPr>
              <w:t>2</w:t>
            </w:r>
            <w:r>
              <w:rPr>
                <w:rFonts w:hint="eastAsia" w:ascii="Calibri" w:hAnsi="Calibri" w:eastAsia="宋体" w:cs="Times New Roman"/>
                <w:color w:val="auto"/>
                <w:sz w:val="24"/>
              </w:rPr>
              <w:t>S的去除效率分别为92.6%和89%。本次评价保守取值，喷洒除臭剂除臭效率取85%，则NH</w:t>
            </w:r>
            <w:r>
              <w:rPr>
                <w:rFonts w:hint="eastAsia" w:ascii="Calibri" w:hAnsi="Calibri" w:eastAsia="宋体" w:cs="Times New Roman"/>
                <w:color w:val="auto"/>
                <w:sz w:val="24"/>
                <w:vertAlign w:val="subscript"/>
              </w:rPr>
              <w:t>3</w:t>
            </w:r>
            <w:r>
              <w:rPr>
                <w:rFonts w:hint="eastAsia" w:ascii="Calibri" w:hAnsi="Calibri" w:eastAsia="宋体" w:cs="Times New Roman"/>
                <w:color w:val="auto"/>
                <w:sz w:val="24"/>
              </w:rPr>
              <w:t>、H</w:t>
            </w:r>
            <w:r>
              <w:rPr>
                <w:rFonts w:hint="eastAsia" w:ascii="Calibri" w:hAnsi="Calibri" w:eastAsia="宋体" w:cs="Times New Roman"/>
                <w:color w:val="auto"/>
                <w:sz w:val="24"/>
                <w:vertAlign w:val="subscript"/>
              </w:rPr>
              <w:t>2</w:t>
            </w:r>
            <w:r>
              <w:rPr>
                <w:rFonts w:hint="eastAsia" w:ascii="Calibri" w:hAnsi="Calibri" w:eastAsia="宋体" w:cs="Times New Roman"/>
                <w:color w:val="auto"/>
                <w:sz w:val="24"/>
              </w:rPr>
              <w:t>S无组织排放量为0.024t/a、0.002t/a，排放速率分别为0.003kg/h、0.0003kg/h。</w:t>
            </w:r>
          </w:p>
          <w:p w14:paraId="07FA2507">
            <w:pPr>
              <w:pStyle w:val="41"/>
              <w:keepNext w:val="0"/>
              <w:keepLines w:val="0"/>
              <w:suppressLineNumbers w:val="0"/>
              <w:spacing w:before="0" w:beforeAutospacing="0" w:after="0" w:afterAutospacing="0" w:line="360" w:lineRule="auto"/>
              <w:ind w:left="0" w:right="0" w:firstLine="480" w:firstLineChars="200"/>
              <w:textAlignment w:val="auto"/>
              <w:rPr>
                <w:rFonts w:hint="eastAsia" w:ascii="Times New Roman" w:cs="Times New Roman"/>
                <w:color w:val="auto"/>
              </w:rPr>
            </w:pPr>
            <w:r>
              <w:rPr>
                <w:rFonts w:hint="eastAsia" w:ascii="Times New Roman" w:cs="Times New Roman"/>
                <w:color w:val="auto"/>
              </w:rPr>
              <w:t>项目有组织废气污染源汇总表，详见表4-1。</w:t>
            </w:r>
          </w:p>
          <w:p w14:paraId="0F148808">
            <w:pPr>
              <w:pStyle w:val="95"/>
              <w:keepNext w:val="0"/>
              <w:keepLines w:val="0"/>
              <w:suppressLineNumbers w:val="0"/>
              <w:spacing w:before="0" w:beforeAutospacing="0" w:after="0" w:afterAutospacing="0" w:line="240" w:lineRule="auto"/>
              <w:ind w:left="0" w:right="0" w:firstLine="482"/>
              <w:rPr>
                <w:rFonts w:cs="Times New Roman"/>
                <w:color w:val="auto"/>
                <w:sz w:val="24"/>
              </w:rPr>
            </w:pPr>
          </w:p>
          <w:p w14:paraId="4862BA4D">
            <w:pPr>
              <w:pStyle w:val="95"/>
              <w:keepNext w:val="0"/>
              <w:keepLines w:val="0"/>
              <w:suppressLineNumbers w:val="0"/>
              <w:spacing w:before="0" w:beforeAutospacing="0" w:after="0" w:afterAutospacing="0" w:line="240" w:lineRule="auto"/>
              <w:ind w:left="0" w:right="0" w:firstLine="482"/>
              <w:rPr>
                <w:rFonts w:cs="Times New Roman"/>
                <w:color w:val="auto"/>
                <w:sz w:val="24"/>
              </w:rPr>
            </w:pPr>
          </w:p>
          <w:p w14:paraId="192C13F8">
            <w:pPr>
              <w:pStyle w:val="95"/>
              <w:keepNext w:val="0"/>
              <w:keepLines w:val="0"/>
              <w:suppressLineNumbers w:val="0"/>
              <w:spacing w:before="0" w:beforeAutospacing="0" w:after="0" w:afterAutospacing="0" w:line="240" w:lineRule="auto"/>
              <w:ind w:left="0" w:right="0" w:firstLine="482"/>
              <w:rPr>
                <w:rFonts w:cs="Times New Roman"/>
                <w:color w:val="auto"/>
                <w:sz w:val="24"/>
              </w:rPr>
            </w:pPr>
          </w:p>
          <w:p w14:paraId="7281D89A">
            <w:pPr>
              <w:pStyle w:val="95"/>
              <w:keepNext w:val="0"/>
              <w:keepLines w:val="0"/>
              <w:suppressLineNumbers w:val="0"/>
              <w:spacing w:before="0" w:beforeAutospacing="0" w:after="0" w:afterAutospacing="0" w:line="240" w:lineRule="auto"/>
              <w:ind w:left="0" w:right="0" w:firstLine="482"/>
              <w:rPr>
                <w:rFonts w:cs="Times New Roman"/>
                <w:color w:val="auto"/>
                <w:sz w:val="24"/>
              </w:rPr>
            </w:pPr>
          </w:p>
          <w:p w14:paraId="033BFB9D">
            <w:pPr>
              <w:pStyle w:val="95"/>
              <w:keepNext w:val="0"/>
              <w:keepLines w:val="0"/>
              <w:suppressLineNumbers w:val="0"/>
              <w:spacing w:before="0" w:beforeAutospacing="0" w:after="0" w:afterAutospacing="0" w:line="240" w:lineRule="auto"/>
              <w:ind w:left="0" w:right="0" w:firstLine="482"/>
              <w:rPr>
                <w:rFonts w:cs="Times New Roman"/>
                <w:color w:val="auto"/>
                <w:sz w:val="24"/>
              </w:rPr>
            </w:pPr>
            <w:r>
              <w:rPr>
                <w:rFonts w:cs="Times New Roman"/>
                <w:color w:val="auto"/>
                <w:sz w:val="24"/>
              </w:rPr>
              <w:t>表4-</w:t>
            </w:r>
            <w:r>
              <w:rPr>
                <w:rFonts w:hint="eastAsia" w:cs="Times New Roman"/>
                <w:color w:val="auto"/>
                <w:sz w:val="24"/>
              </w:rPr>
              <w:t>1</w:t>
            </w:r>
            <w:r>
              <w:rPr>
                <w:rFonts w:cs="Times New Roman"/>
                <w:color w:val="auto"/>
                <w:sz w:val="24"/>
              </w:rPr>
              <w:t xml:space="preserve"> </w:t>
            </w:r>
            <w:r>
              <w:rPr>
                <w:rFonts w:hint="eastAsia" w:cs="Times New Roman"/>
                <w:color w:val="auto"/>
                <w:sz w:val="24"/>
              </w:rPr>
              <w:t>恶臭</w:t>
            </w:r>
            <w:r>
              <w:rPr>
                <w:rFonts w:cs="Times New Roman"/>
                <w:color w:val="auto"/>
                <w:sz w:val="24"/>
              </w:rPr>
              <w:t>有组织产排放情况一览表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396"/>
              <w:gridCol w:w="778"/>
              <w:gridCol w:w="719"/>
              <w:gridCol w:w="621"/>
              <w:gridCol w:w="656"/>
              <w:gridCol w:w="559"/>
              <w:gridCol w:w="528"/>
              <w:gridCol w:w="681"/>
              <w:gridCol w:w="721"/>
              <w:gridCol w:w="621"/>
              <w:gridCol w:w="908"/>
              <w:gridCol w:w="698"/>
            </w:tblGrid>
            <w:tr w14:paraId="14E0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restart"/>
                  <w:noWrap w:val="0"/>
                  <w:vAlign w:val="center"/>
                </w:tcPr>
                <w:p w14:paraId="385E9F22">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ascii="Calibri" w:hAnsi="Calibri" w:eastAsia="宋体" w:cs="Times New Roman"/>
                      <w:bCs/>
                      <w:color w:val="auto"/>
                      <w:sz w:val="18"/>
                      <w:szCs w:val="18"/>
                    </w:rPr>
                    <w:t>污染源名称</w:t>
                  </w:r>
                </w:p>
              </w:tc>
              <w:tc>
                <w:tcPr>
                  <w:tcW w:w="235" w:type="pct"/>
                  <w:vMerge w:val="restart"/>
                  <w:noWrap w:val="0"/>
                  <w:vAlign w:val="center"/>
                </w:tcPr>
                <w:p w14:paraId="2550F9E5">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ascii="Calibri" w:hAnsi="Calibri" w:eastAsia="宋体" w:cs="Times New Roman"/>
                      <w:bCs/>
                      <w:color w:val="auto"/>
                      <w:sz w:val="18"/>
                      <w:szCs w:val="18"/>
                    </w:rPr>
                    <w:t>工序</w:t>
                  </w:r>
                </w:p>
              </w:tc>
              <w:tc>
                <w:tcPr>
                  <w:tcW w:w="463" w:type="pct"/>
                  <w:vMerge w:val="restart"/>
                  <w:noWrap w:val="0"/>
                  <w:vAlign w:val="center"/>
                </w:tcPr>
                <w:p w14:paraId="1ADA8C53">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ascii="Calibri" w:hAnsi="Calibri" w:eastAsia="宋体" w:cs="Times New Roman"/>
                      <w:bCs/>
                      <w:color w:val="auto"/>
                      <w:sz w:val="18"/>
                      <w:szCs w:val="18"/>
                    </w:rPr>
                    <w:t>污染物</w:t>
                  </w:r>
                </w:p>
              </w:tc>
              <w:tc>
                <w:tcPr>
                  <w:tcW w:w="1141" w:type="pct"/>
                  <w:gridSpan w:val="3"/>
                  <w:noWrap w:val="0"/>
                  <w:vAlign w:val="center"/>
                </w:tcPr>
                <w:p w14:paraId="2DCCEE25">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ascii="Calibri" w:hAnsi="Calibri" w:eastAsia="宋体" w:cs="Times New Roman"/>
                      <w:bCs/>
                      <w:color w:val="auto"/>
                      <w:sz w:val="18"/>
                      <w:szCs w:val="18"/>
                    </w:rPr>
                    <w:t>产生情况</w:t>
                  </w:r>
                </w:p>
              </w:tc>
              <w:tc>
                <w:tcPr>
                  <w:tcW w:w="333" w:type="pct"/>
                  <w:vMerge w:val="restart"/>
                  <w:noWrap w:val="0"/>
                  <w:vAlign w:val="center"/>
                </w:tcPr>
                <w:p w14:paraId="63284671">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hint="eastAsia" w:ascii="Calibri" w:hAnsi="Calibri" w:eastAsia="宋体" w:cs="Times New Roman"/>
                      <w:bCs/>
                      <w:color w:val="auto"/>
                      <w:sz w:val="18"/>
                      <w:szCs w:val="18"/>
                    </w:rPr>
                    <w:t>收集能力</w:t>
                  </w:r>
                </w:p>
              </w:tc>
              <w:tc>
                <w:tcPr>
                  <w:tcW w:w="315" w:type="pct"/>
                  <w:vMerge w:val="restart"/>
                  <w:noWrap w:val="0"/>
                  <w:vAlign w:val="center"/>
                </w:tcPr>
                <w:p w14:paraId="7B5753E8">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ascii="Calibri" w:hAnsi="Calibri" w:eastAsia="宋体" w:cs="Times New Roman"/>
                      <w:bCs/>
                      <w:color w:val="auto"/>
                      <w:sz w:val="18"/>
                      <w:szCs w:val="18"/>
                    </w:rPr>
                    <w:t>治理措施</w:t>
                  </w:r>
                </w:p>
              </w:tc>
              <w:tc>
                <w:tcPr>
                  <w:tcW w:w="314" w:type="pct"/>
                  <w:vMerge w:val="restart"/>
                  <w:noWrap w:val="0"/>
                  <w:vAlign w:val="center"/>
                </w:tcPr>
                <w:p w14:paraId="43CC046E">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ascii="Calibri" w:hAnsi="Calibri" w:eastAsia="宋体" w:cs="Times New Roman"/>
                      <w:bCs/>
                      <w:color w:val="auto"/>
                      <w:sz w:val="18"/>
                      <w:szCs w:val="18"/>
                    </w:rPr>
                    <w:t>治理效率</w:t>
                  </w:r>
                </w:p>
              </w:tc>
              <w:tc>
                <w:tcPr>
                  <w:tcW w:w="1317" w:type="pct"/>
                  <w:gridSpan w:val="3"/>
                  <w:noWrap w:val="0"/>
                  <w:vAlign w:val="center"/>
                </w:tcPr>
                <w:p w14:paraId="6744BBC9">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ascii="Calibri" w:hAnsi="Calibri" w:eastAsia="宋体" w:cs="Times New Roman"/>
                      <w:bCs/>
                      <w:color w:val="auto"/>
                      <w:sz w:val="18"/>
                      <w:szCs w:val="18"/>
                    </w:rPr>
                    <w:t>排放情况</w:t>
                  </w:r>
                </w:p>
              </w:tc>
              <w:tc>
                <w:tcPr>
                  <w:tcW w:w="413" w:type="pct"/>
                  <w:vMerge w:val="restart"/>
                  <w:noWrap w:val="0"/>
                  <w:vAlign w:val="center"/>
                </w:tcPr>
                <w:p w14:paraId="20225EC5">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hint="eastAsia" w:ascii="Calibri" w:hAnsi="Calibri" w:eastAsia="宋体" w:cs="Times New Roman"/>
                      <w:bCs/>
                      <w:color w:val="auto"/>
                      <w:sz w:val="18"/>
                      <w:szCs w:val="18"/>
                    </w:rPr>
                    <w:t>是否为可行措施</w:t>
                  </w:r>
                </w:p>
              </w:tc>
            </w:tr>
            <w:tr w14:paraId="35BC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noWrap w:val="0"/>
                  <w:vAlign w:val="center"/>
                </w:tcPr>
                <w:p w14:paraId="178BE364">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p>
              </w:tc>
              <w:tc>
                <w:tcPr>
                  <w:tcW w:w="235" w:type="pct"/>
                  <w:vMerge w:val="continue"/>
                  <w:noWrap w:val="0"/>
                  <w:vAlign w:val="center"/>
                </w:tcPr>
                <w:p w14:paraId="68308160">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p>
              </w:tc>
              <w:tc>
                <w:tcPr>
                  <w:tcW w:w="463" w:type="pct"/>
                  <w:vMerge w:val="continue"/>
                  <w:noWrap w:val="0"/>
                  <w:vAlign w:val="center"/>
                </w:tcPr>
                <w:p w14:paraId="5F7825E2">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p>
              </w:tc>
              <w:tc>
                <w:tcPr>
                  <w:tcW w:w="425" w:type="pct"/>
                  <w:noWrap w:val="0"/>
                  <w:vAlign w:val="center"/>
                </w:tcPr>
                <w:p w14:paraId="3B9F8553">
                  <w:pPr>
                    <w:pStyle w:val="60"/>
                    <w:keepNext w:val="0"/>
                    <w:keepLines w:val="0"/>
                    <w:suppressLineNumbers w:val="0"/>
                    <w:spacing w:before="24" w:beforeAutospacing="0" w:after="24" w:afterAutospacing="0"/>
                    <w:ind w:left="0" w:right="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浓度</w:t>
                  </w:r>
                </w:p>
                <w:p w14:paraId="18512C3E">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r>
                    <w:rPr>
                      <w:rFonts w:ascii="Times New Roman" w:hAnsi="Times New Roman" w:eastAsia="宋体" w:cs="Times New Roman"/>
                      <w:color w:val="auto"/>
                      <w:sz w:val="18"/>
                      <w:szCs w:val="18"/>
                    </w:rPr>
                    <w:t>mg/m</w:t>
                  </w:r>
                  <w:r>
                    <w:rPr>
                      <w:rFonts w:ascii="Times New Roman" w:hAnsi="Times New Roman" w:eastAsia="宋体" w:cs="Times New Roman"/>
                      <w:color w:val="auto"/>
                      <w:sz w:val="18"/>
                      <w:szCs w:val="18"/>
                      <w:vertAlign w:val="superscript"/>
                    </w:rPr>
                    <w:t>3</w:t>
                  </w:r>
                </w:p>
              </w:tc>
              <w:tc>
                <w:tcPr>
                  <w:tcW w:w="327" w:type="pct"/>
                  <w:noWrap w:val="0"/>
                  <w:vAlign w:val="center"/>
                </w:tcPr>
                <w:p w14:paraId="46FAE35B">
                  <w:pPr>
                    <w:pStyle w:val="60"/>
                    <w:keepNext w:val="0"/>
                    <w:keepLines w:val="0"/>
                    <w:suppressLineNumbers w:val="0"/>
                    <w:spacing w:before="24" w:beforeAutospacing="0" w:after="24" w:afterAutospacing="0"/>
                    <w:ind w:left="0" w:right="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速率</w:t>
                  </w:r>
                </w:p>
                <w:p w14:paraId="58FCE3A2">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r>
                    <w:rPr>
                      <w:rFonts w:ascii="Times New Roman" w:hAnsi="Times New Roman" w:eastAsia="宋体" w:cs="Times New Roman"/>
                      <w:color w:val="auto"/>
                      <w:sz w:val="18"/>
                      <w:szCs w:val="18"/>
                    </w:rPr>
                    <w:t>kg/h</w:t>
                  </w:r>
                </w:p>
              </w:tc>
              <w:tc>
                <w:tcPr>
                  <w:tcW w:w="388" w:type="pct"/>
                  <w:noWrap w:val="0"/>
                  <w:vAlign w:val="center"/>
                </w:tcPr>
                <w:p w14:paraId="646F3E38">
                  <w:pPr>
                    <w:pStyle w:val="60"/>
                    <w:keepNext w:val="0"/>
                    <w:keepLines w:val="0"/>
                    <w:suppressLineNumbers w:val="0"/>
                    <w:spacing w:before="24" w:beforeAutospacing="0" w:after="24" w:afterAutospacing="0"/>
                    <w:ind w:left="0" w:right="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产生量</w:t>
                  </w:r>
                </w:p>
                <w:p w14:paraId="045AADB8">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r>
                    <w:rPr>
                      <w:rFonts w:ascii="Times New Roman" w:hAnsi="Times New Roman" w:eastAsia="宋体" w:cs="Times New Roman"/>
                      <w:color w:val="auto"/>
                      <w:sz w:val="18"/>
                      <w:szCs w:val="18"/>
                    </w:rPr>
                    <w:t>t/a</w:t>
                  </w:r>
                </w:p>
              </w:tc>
              <w:tc>
                <w:tcPr>
                  <w:tcW w:w="333" w:type="pct"/>
                  <w:vMerge w:val="continue"/>
                  <w:noWrap w:val="0"/>
                  <w:vAlign w:val="center"/>
                </w:tcPr>
                <w:p w14:paraId="056BF53B">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p>
              </w:tc>
              <w:tc>
                <w:tcPr>
                  <w:tcW w:w="315" w:type="pct"/>
                  <w:vMerge w:val="continue"/>
                  <w:noWrap w:val="0"/>
                  <w:vAlign w:val="center"/>
                </w:tcPr>
                <w:p w14:paraId="5EDEA28E">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p>
              </w:tc>
              <w:tc>
                <w:tcPr>
                  <w:tcW w:w="314" w:type="pct"/>
                  <w:vMerge w:val="continue"/>
                  <w:noWrap w:val="0"/>
                  <w:vAlign w:val="center"/>
                </w:tcPr>
                <w:p w14:paraId="7A3E456B">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p>
              </w:tc>
              <w:tc>
                <w:tcPr>
                  <w:tcW w:w="426" w:type="pct"/>
                  <w:noWrap w:val="0"/>
                  <w:vAlign w:val="center"/>
                </w:tcPr>
                <w:p w14:paraId="644ABAEE">
                  <w:pPr>
                    <w:pStyle w:val="60"/>
                    <w:keepNext w:val="0"/>
                    <w:keepLines w:val="0"/>
                    <w:suppressLineNumbers w:val="0"/>
                    <w:spacing w:before="24" w:beforeAutospacing="0" w:after="24" w:afterAutospacing="0"/>
                    <w:ind w:left="0" w:right="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浓度</w:t>
                  </w:r>
                </w:p>
                <w:p w14:paraId="71B9E69D">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r>
                    <w:rPr>
                      <w:rFonts w:ascii="Times New Roman" w:hAnsi="Times New Roman" w:eastAsia="宋体" w:cs="Times New Roman"/>
                      <w:color w:val="auto"/>
                      <w:sz w:val="18"/>
                      <w:szCs w:val="18"/>
                    </w:rPr>
                    <w:t>mg/m</w:t>
                  </w:r>
                  <w:r>
                    <w:rPr>
                      <w:rFonts w:ascii="Times New Roman" w:hAnsi="Times New Roman" w:eastAsia="宋体" w:cs="Times New Roman"/>
                      <w:color w:val="auto"/>
                      <w:sz w:val="18"/>
                      <w:szCs w:val="18"/>
                      <w:vertAlign w:val="superscript"/>
                    </w:rPr>
                    <w:t>3</w:t>
                  </w:r>
                </w:p>
              </w:tc>
              <w:tc>
                <w:tcPr>
                  <w:tcW w:w="357" w:type="pct"/>
                  <w:noWrap w:val="0"/>
                  <w:vAlign w:val="center"/>
                </w:tcPr>
                <w:p w14:paraId="4BD2CDCD">
                  <w:pPr>
                    <w:pStyle w:val="60"/>
                    <w:keepNext w:val="0"/>
                    <w:keepLines w:val="0"/>
                    <w:suppressLineNumbers w:val="0"/>
                    <w:spacing w:before="24" w:beforeAutospacing="0" w:after="24" w:afterAutospacing="0"/>
                    <w:ind w:left="0" w:right="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速率</w:t>
                  </w:r>
                </w:p>
                <w:p w14:paraId="66CF8A0A">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r>
                    <w:rPr>
                      <w:rFonts w:ascii="Times New Roman" w:hAnsi="Times New Roman" w:eastAsia="宋体" w:cs="Times New Roman"/>
                      <w:color w:val="auto"/>
                      <w:sz w:val="18"/>
                      <w:szCs w:val="18"/>
                    </w:rPr>
                    <w:t>kg/h</w:t>
                  </w:r>
                </w:p>
              </w:tc>
              <w:tc>
                <w:tcPr>
                  <w:tcW w:w="532" w:type="pct"/>
                  <w:noWrap w:val="0"/>
                  <w:vAlign w:val="center"/>
                </w:tcPr>
                <w:p w14:paraId="09B7D3E6">
                  <w:pPr>
                    <w:pStyle w:val="60"/>
                    <w:keepNext w:val="0"/>
                    <w:keepLines w:val="0"/>
                    <w:suppressLineNumbers w:val="0"/>
                    <w:spacing w:before="24" w:beforeAutospacing="0" w:after="24" w:afterAutospacing="0"/>
                    <w:ind w:left="0" w:right="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排放量</w:t>
                  </w:r>
                </w:p>
                <w:p w14:paraId="4EC0E8E7">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r>
                    <w:rPr>
                      <w:rFonts w:ascii="Times New Roman" w:hAnsi="Times New Roman" w:eastAsia="宋体" w:cs="Times New Roman"/>
                      <w:color w:val="auto"/>
                      <w:sz w:val="18"/>
                      <w:szCs w:val="18"/>
                    </w:rPr>
                    <w:t>t/a</w:t>
                  </w:r>
                </w:p>
              </w:tc>
              <w:tc>
                <w:tcPr>
                  <w:tcW w:w="413" w:type="pct"/>
                  <w:vMerge w:val="continue"/>
                  <w:noWrap w:val="0"/>
                  <w:vAlign w:val="center"/>
                </w:tcPr>
                <w:p w14:paraId="1E8BAE61">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p>
              </w:tc>
            </w:tr>
            <w:tr w14:paraId="0F26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466" w:type="pct"/>
                  <w:vMerge w:val="restart"/>
                  <w:noWrap w:val="0"/>
                  <w:vAlign w:val="center"/>
                </w:tcPr>
                <w:p w14:paraId="610CD48B">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ascii="Calibri" w:hAnsi="Calibri" w:eastAsia="宋体" w:cs="Times New Roman"/>
                      <w:bCs/>
                      <w:color w:val="auto"/>
                      <w:sz w:val="18"/>
                      <w:szCs w:val="18"/>
                    </w:rPr>
                    <w:t>DA001</w:t>
                  </w:r>
                </w:p>
              </w:tc>
              <w:tc>
                <w:tcPr>
                  <w:tcW w:w="235" w:type="pct"/>
                  <w:vMerge w:val="restart"/>
                  <w:noWrap w:val="0"/>
                  <w:vAlign w:val="center"/>
                </w:tcPr>
                <w:p w14:paraId="68A4A329">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r>
                    <w:rPr>
                      <w:rFonts w:hint="eastAsia" w:ascii="Calibri" w:hAnsi="Calibri" w:eastAsia="宋体" w:cs="Times New Roman"/>
                      <w:bCs/>
                      <w:color w:val="auto"/>
                      <w:sz w:val="18"/>
                      <w:szCs w:val="18"/>
                    </w:rPr>
                    <w:t>发酵工序</w:t>
                  </w:r>
                </w:p>
              </w:tc>
              <w:tc>
                <w:tcPr>
                  <w:tcW w:w="463" w:type="pct"/>
                  <w:noWrap w:val="0"/>
                  <w:vAlign w:val="center"/>
                </w:tcPr>
                <w:p w14:paraId="75511DB6">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p>
              </w:tc>
              <w:tc>
                <w:tcPr>
                  <w:tcW w:w="425" w:type="pct"/>
                  <w:noWrap w:val="0"/>
                  <w:vAlign w:val="center"/>
                </w:tcPr>
                <w:p w14:paraId="70CC9DC2">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25.09</w:t>
                  </w:r>
                </w:p>
              </w:tc>
              <w:tc>
                <w:tcPr>
                  <w:tcW w:w="327" w:type="pct"/>
                  <w:noWrap w:val="0"/>
                  <w:vAlign w:val="center"/>
                </w:tcPr>
                <w:p w14:paraId="10B301AC">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0.201</w:t>
                  </w:r>
                </w:p>
              </w:tc>
              <w:tc>
                <w:tcPr>
                  <w:tcW w:w="388" w:type="pct"/>
                  <w:noWrap w:val="0"/>
                  <w:vAlign w:val="center"/>
                </w:tcPr>
                <w:p w14:paraId="3E53122E">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1.445</w:t>
                  </w:r>
                </w:p>
              </w:tc>
              <w:tc>
                <w:tcPr>
                  <w:tcW w:w="333" w:type="pct"/>
                  <w:vMerge w:val="restart"/>
                  <w:noWrap w:val="0"/>
                  <w:vAlign w:val="center"/>
                </w:tcPr>
                <w:p w14:paraId="3F4A7A9B">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集气罩90%</w:t>
                  </w:r>
                </w:p>
              </w:tc>
              <w:tc>
                <w:tcPr>
                  <w:tcW w:w="315" w:type="pct"/>
                  <w:vMerge w:val="restart"/>
                  <w:noWrap w:val="0"/>
                  <w:vAlign w:val="center"/>
                </w:tcPr>
                <w:p w14:paraId="1ECDDC14">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生物除臭塔除臭</w:t>
                  </w:r>
                </w:p>
              </w:tc>
              <w:tc>
                <w:tcPr>
                  <w:tcW w:w="314" w:type="pct"/>
                  <w:vMerge w:val="restart"/>
                  <w:noWrap w:val="0"/>
                  <w:vAlign w:val="center"/>
                </w:tcPr>
                <w:p w14:paraId="6408F602">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87.9</w:t>
                  </w:r>
                  <w:r>
                    <w:rPr>
                      <w:rFonts w:ascii="Times New Roman" w:hAnsi="Times New Roman" w:eastAsia="宋体" w:cs="Times New Roman"/>
                      <w:bCs/>
                      <w:color w:val="auto"/>
                      <w:sz w:val="18"/>
                      <w:szCs w:val="18"/>
                    </w:rPr>
                    <w:t>%</w:t>
                  </w:r>
                </w:p>
              </w:tc>
              <w:tc>
                <w:tcPr>
                  <w:tcW w:w="426" w:type="pct"/>
                  <w:noWrap w:val="0"/>
                  <w:vAlign w:val="center"/>
                </w:tcPr>
                <w:p w14:paraId="601505BE">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3.04</w:t>
                  </w:r>
                </w:p>
              </w:tc>
              <w:tc>
                <w:tcPr>
                  <w:tcW w:w="357" w:type="pct"/>
                  <w:noWrap w:val="0"/>
                  <w:vAlign w:val="center"/>
                </w:tcPr>
                <w:p w14:paraId="2F930147">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0.024</w:t>
                  </w:r>
                </w:p>
              </w:tc>
              <w:tc>
                <w:tcPr>
                  <w:tcW w:w="532" w:type="pct"/>
                  <w:noWrap w:val="0"/>
                  <w:vAlign w:val="center"/>
                </w:tcPr>
                <w:p w14:paraId="5E539F6D">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0.175</w:t>
                  </w:r>
                </w:p>
              </w:tc>
              <w:tc>
                <w:tcPr>
                  <w:tcW w:w="413" w:type="pct"/>
                  <w:vMerge w:val="restart"/>
                  <w:noWrap w:val="0"/>
                  <w:vAlign w:val="center"/>
                </w:tcPr>
                <w:p w14:paraId="58483402">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是</w:t>
                  </w:r>
                </w:p>
              </w:tc>
            </w:tr>
            <w:tr w14:paraId="002D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noWrap w:val="0"/>
                  <w:vAlign w:val="center"/>
                </w:tcPr>
                <w:p w14:paraId="0DFABC01">
                  <w:pPr>
                    <w:pStyle w:val="44"/>
                    <w:keepNext w:val="0"/>
                    <w:keepLines w:val="0"/>
                    <w:suppressLineNumbers w:val="0"/>
                    <w:spacing w:before="0" w:beforeAutospacing="0" w:after="0" w:afterAutospacing="0" w:line="240" w:lineRule="auto"/>
                    <w:ind w:left="0" w:right="0" w:firstLine="0" w:firstLineChars="0"/>
                    <w:jc w:val="center"/>
                    <w:rPr>
                      <w:rFonts w:ascii="Calibri" w:hAnsi="Calibri" w:eastAsia="宋体" w:cs="Times New Roman"/>
                      <w:bCs/>
                      <w:color w:val="auto"/>
                      <w:sz w:val="18"/>
                      <w:szCs w:val="18"/>
                    </w:rPr>
                  </w:pPr>
                </w:p>
              </w:tc>
              <w:tc>
                <w:tcPr>
                  <w:tcW w:w="235" w:type="pct"/>
                  <w:vMerge w:val="continue"/>
                  <w:noWrap w:val="0"/>
                  <w:vAlign w:val="center"/>
                </w:tcPr>
                <w:p w14:paraId="3A0B2C83">
                  <w:pPr>
                    <w:pStyle w:val="44"/>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Times New Roman"/>
                      <w:bCs/>
                      <w:color w:val="auto"/>
                      <w:sz w:val="18"/>
                      <w:szCs w:val="18"/>
                    </w:rPr>
                  </w:pPr>
                </w:p>
              </w:tc>
              <w:tc>
                <w:tcPr>
                  <w:tcW w:w="463" w:type="pct"/>
                  <w:noWrap w:val="0"/>
                  <w:vAlign w:val="center"/>
                </w:tcPr>
                <w:p w14:paraId="09186C9C">
                  <w:pPr>
                    <w:pStyle w:val="60"/>
                    <w:keepNext w:val="0"/>
                    <w:keepLines w:val="0"/>
                    <w:suppressLineNumbers w:val="0"/>
                    <w:spacing w:before="24" w:beforeAutospacing="0" w:after="24" w:afterAutospacing="0"/>
                    <w:ind w:left="0" w:right="0"/>
                    <w:rPr>
                      <w:rFonts w:ascii="Times New Roman" w:hAnsi="Times New Roman" w:eastAsia="宋体" w:cs="Times New Roman"/>
                      <w:bCs/>
                      <w:color w:val="auto"/>
                      <w:sz w:val="18"/>
                      <w:szCs w:val="18"/>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425" w:type="pct"/>
                  <w:noWrap w:val="0"/>
                  <w:vAlign w:val="center"/>
                </w:tcPr>
                <w:p w14:paraId="1B94430C">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2.52</w:t>
                  </w:r>
                </w:p>
              </w:tc>
              <w:tc>
                <w:tcPr>
                  <w:tcW w:w="327" w:type="pct"/>
                  <w:noWrap w:val="0"/>
                  <w:vAlign w:val="center"/>
                </w:tcPr>
                <w:p w14:paraId="7FF9B490">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0.020</w:t>
                  </w:r>
                </w:p>
              </w:tc>
              <w:tc>
                <w:tcPr>
                  <w:tcW w:w="388" w:type="pct"/>
                  <w:noWrap w:val="0"/>
                  <w:vAlign w:val="center"/>
                </w:tcPr>
                <w:p w14:paraId="6056EE96">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0.145</w:t>
                  </w:r>
                </w:p>
              </w:tc>
              <w:tc>
                <w:tcPr>
                  <w:tcW w:w="333" w:type="pct"/>
                  <w:vMerge w:val="continue"/>
                  <w:noWrap w:val="0"/>
                  <w:vAlign w:val="center"/>
                </w:tcPr>
                <w:p w14:paraId="5F366120">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18"/>
                      <w:szCs w:val="18"/>
                    </w:rPr>
                  </w:pPr>
                </w:p>
              </w:tc>
              <w:tc>
                <w:tcPr>
                  <w:tcW w:w="315" w:type="pct"/>
                  <w:vMerge w:val="continue"/>
                  <w:noWrap w:val="0"/>
                  <w:vAlign w:val="center"/>
                </w:tcPr>
                <w:p w14:paraId="3BBB1F87">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18"/>
                      <w:szCs w:val="18"/>
                    </w:rPr>
                  </w:pPr>
                </w:p>
              </w:tc>
              <w:tc>
                <w:tcPr>
                  <w:tcW w:w="314" w:type="pct"/>
                  <w:vMerge w:val="continue"/>
                  <w:noWrap w:val="0"/>
                  <w:vAlign w:val="center"/>
                </w:tcPr>
                <w:p w14:paraId="22879461">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p>
              </w:tc>
              <w:tc>
                <w:tcPr>
                  <w:tcW w:w="426" w:type="pct"/>
                  <w:noWrap w:val="0"/>
                  <w:vAlign w:val="center"/>
                </w:tcPr>
                <w:p w14:paraId="185ACF72">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0.30</w:t>
                  </w:r>
                </w:p>
              </w:tc>
              <w:tc>
                <w:tcPr>
                  <w:tcW w:w="357" w:type="pct"/>
                  <w:noWrap w:val="0"/>
                  <w:vAlign w:val="center"/>
                </w:tcPr>
                <w:p w14:paraId="6013A9AB">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0.002</w:t>
                  </w:r>
                </w:p>
              </w:tc>
              <w:tc>
                <w:tcPr>
                  <w:tcW w:w="532" w:type="pct"/>
                  <w:noWrap w:val="0"/>
                  <w:vAlign w:val="center"/>
                </w:tcPr>
                <w:p w14:paraId="1226E824">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0.018</w:t>
                  </w:r>
                </w:p>
              </w:tc>
              <w:tc>
                <w:tcPr>
                  <w:tcW w:w="413" w:type="pct"/>
                  <w:vMerge w:val="continue"/>
                  <w:noWrap w:val="0"/>
                  <w:vAlign w:val="center"/>
                </w:tcPr>
                <w:p w14:paraId="55C2596C">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18"/>
                      <w:szCs w:val="18"/>
                    </w:rPr>
                  </w:pPr>
                </w:p>
              </w:tc>
            </w:tr>
          </w:tbl>
          <w:p w14:paraId="72BFBB2C">
            <w:pPr>
              <w:pStyle w:val="97"/>
              <w:keepNext w:val="0"/>
              <w:keepLines w:val="0"/>
              <w:widowControl/>
              <w:suppressLineNumbers w:val="0"/>
              <w:spacing w:before="0" w:beforeAutospacing="0" w:after="0" w:afterAutospacing="0"/>
              <w:ind w:left="0" w:right="0" w:firstLine="480"/>
              <w:rPr>
                <w:rFonts w:ascii="Calibri" w:hAnsi="Calibri" w:eastAsia="宋体" w:cs="Times New Roman"/>
                <w:color w:val="auto"/>
              </w:rPr>
            </w:pPr>
            <w:r>
              <w:rPr>
                <w:rFonts w:hint="eastAsia" w:ascii="Calibri" w:hAnsi="Calibri" w:eastAsia="宋体" w:cs="Times New Roman"/>
                <w:color w:val="auto"/>
              </w:rPr>
              <w:t>项目废气排放口基本情况详见表4-2。</w:t>
            </w:r>
          </w:p>
          <w:p w14:paraId="39029E59">
            <w:pPr>
              <w:keepNext w:val="0"/>
              <w:keepLines w:val="0"/>
              <w:suppressLineNumbers w:val="0"/>
              <w:adjustRightInd w:val="0"/>
              <w:snapToGrid w:val="0"/>
              <w:spacing w:before="0" w:beforeAutospacing="0" w:after="0" w:afterAutospacing="0"/>
              <w:ind w:left="0" w:right="0" w:firstLine="482" w:firstLineChars="200"/>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hint="eastAsia" w:ascii="Times New Roman" w:hAnsi="Times New Roman" w:eastAsia="宋体" w:cs="Times New Roman"/>
                <w:b/>
                <w:bCs/>
                <w:color w:val="auto"/>
                <w:sz w:val="24"/>
              </w:rPr>
              <w:t>2</w:t>
            </w:r>
            <w:r>
              <w:rPr>
                <w:rFonts w:ascii="Times New Roman" w:hAnsi="Times New Roman" w:eastAsia="宋体" w:cs="Times New Roman"/>
                <w:b/>
                <w:bCs/>
                <w:color w:val="auto"/>
                <w:sz w:val="24"/>
              </w:rPr>
              <w:t xml:space="preserve">  项目废气排气口一览表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924"/>
              <w:gridCol w:w="693"/>
              <w:gridCol w:w="948"/>
              <w:gridCol w:w="946"/>
              <w:gridCol w:w="787"/>
              <w:gridCol w:w="636"/>
              <w:gridCol w:w="474"/>
              <w:gridCol w:w="674"/>
              <w:gridCol w:w="1945"/>
            </w:tblGrid>
            <w:tr w14:paraId="2957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vMerge w:val="restart"/>
                  <w:noWrap w:val="0"/>
                  <w:tcMar>
                    <w:top w:w="0" w:type="dxa"/>
                    <w:left w:w="0" w:type="dxa"/>
                    <w:bottom w:w="0" w:type="dxa"/>
                    <w:right w:w="0" w:type="dxa"/>
                  </w:tcMar>
                  <w:vAlign w:val="center"/>
                </w:tcPr>
                <w:p w14:paraId="2833AFFE">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名称</w:t>
                  </w:r>
                </w:p>
              </w:tc>
              <w:tc>
                <w:tcPr>
                  <w:tcW w:w="532" w:type="pct"/>
                  <w:vMerge w:val="restart"/>
                  <w:noWrap w:val="0"/>
                  <w:tcMar>
                    <w:top w:w="0" w:type="dxa"/>
                    <w:left w:w="0" w:type="dxa"/>
                    <w:bottom w:w="0" w:type="dxa"/>
                    <w:right w:w="0" w:type="dxa"/>
                  </w:tcMar>
                  <w:vAlign w:val="center"/>
                </w:tcPr>
                <w:p w14:paraId="16228C83">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w:t>
                  </w:r>
                </w:p>
              </w:tc>
              <w:tc>
                <w:tcPr>
                  <w:tcW w:w="399" w:type="pct"/>
                  <w:vMerge w:val="restart"/>
                  <w:noWrap w:val="0"/>
                  <w:tcMar>
                    <w:top w:w="0" w:type="dxa"/>
                    <w:left w:w="0" w:type="dxa"/>
                    <w:bottom w:w="0" w:type="dxa"/>
                    <w:right w:w="0" w:type="dxa"/>
                  </w:tcMar>
                  <w:vAlign w:val="center"/>
                </w:tcPr>
                <w:p w14:paraId="3EE81AAF">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治理措施</w:t>
                  </w:r>
                </w:p>
              </w:tc>
              <w:tc>
                <w:tcPr>
                  <w:tcW w:w="546" w:type="pct"/>
                  <w:vMerge w:val="restart"/>
                  <w:noWrap w:val="0"/>
                  <w:tcMar>
                    <w:top w:w="0" w:type="dxa"/>
                    <w:left w:w="0" w:type="dxa"/>
                    <w:bottom w:w="0" w:type="dxa"/>
                    <w:right w:w="0" w:type="dxa"/>
                  </w:tcMar>
                  <w:vAlign w:val="center"/>
                </w:tcPr>
                <w:p w14:paraId="7C44167D">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风机风量（m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/h）</w:t>
                  </w:r>
                </w:p>
              </w:tc>
              <w:tc>
                <w:tcPr>
                  <w:tcW w:w="998" w:type="pct"/>
                  <w:gridSpan w:val="2"/>
                  <w:noWrap w:val="0"/>
                  <w:tcMar>
                    <w:top w:w="0" w:type="dxa"/>
                    <w:left w:w="0" w:type="dxa"/>
                    <w:bottom w:w="0" w:type="dxa"/>
                    <w:right w:w="0" w:type="dxa"/>
                  </w:tcMar>
                  <w:vAlign w:val="center"/>
                </w:tcPr>
                <w:p w14:paraId="359811F7">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排放口地理坐标</w:t>
                  </w:r>
                </w:p>
              </w:tc>
              <w:tc>
                <w:tcPr>
                  <w:tcW w:w="366" w:type="pct"/>
                  <w:vMerge w:val="restart"/>
                  <w:noWrap w:val="0"/>
                  <w:tcMar>
                    <w:top w:w="0" w:type="dxa"/>
                    <w:left w:w="0" w:type="dxa"/>
                    <w:bottom w:w="0" w:type="dxa"/>
                    <w:right w:w="0" w:type="dxa"/>
                  </w:tcMar>
                  <w:vAlign w:val="center"/>
                </w:tcPr>
                <w:p w14:paraId="4EB97939">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高度（m）</w:t>
                  </w:r>
                </w:p>
              </w:tc>
              <w:tc>
                <w:tcPr>
                  <w:tcW w:w="273" w:type="pct"/>
                  <w:vMerge w:val="restart"/>
                  <w:noWrap w:val="0"/>
                  <w:tcMar>
                    <w:top w:w="0" w:type="dxa"/>
                    <w:left w:w="0" w:type="dxa"/>
                    <w:bottom w:w="0" w:type="dxa"/>
                    <w:right w:w="0" w:type="dxa"/>
                  </w:tcMar>
                  <w:vAlign w:val="center"/>
                </w:tcPr>
                <w:p w14:paraId="7911D27C">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内径</w:t>
                  </w:r>
                  <w:r>
                    <w:rPr>
                      <w:rStyle w:val="31"/>
                      <w:rFonts w:ascii="Times New Roman" w:hAnsi="Times New Roman" w:eastAsia="宋体" w:cs="Times New Roman"/>
                      <w:b/>
                      <w:bCs/>
                      <w:color w:val="auto"/>
                      <w:szCs w:val="21"/>
                    </w:rPr>
                    <w:t>(m)</w:t>
                  </w:r>
                </w:p>
              </w:tc>
              <w:tc>
                <w:tcPr>
                  <w:tcW w:w="388" w:type="pct"/>
                  <w:vMerge w:val="restart"/>
                  <w:noWrap w:val="0"/>
                  <w:tcMar>
                    <w:top w:w="0" w:type="dxa"/>
                    <w:left w:w="0" w:type="dxa"/>
                    <w:bottom w:w="0" w:type="dxa"/>
                    <w:right w:w="0" w:type="dxa"/>
                  </w:tcMar>
                  <w:vAlign w:val="center"/>
                </w:tcPr>
                <w:p w14:paraId="700ED747">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温度（℃）</w:t>
                  </w:r>
                </w:p>
              </w:tc>
              <w:tc>
                <w:tcPr>
                  <w:tcW w:w="1120" w:type="pct"/>
                  <w:vMerge w:val="restart"/>
                  <w:noWrap w:val="0"/>
                  <w:tcMar>
                    <w:top w:w="0" w:type="dxa"/>
                    <w:left w:w="0" w:type="dxa"/>
                    <w:bottom w:w="0" w:type="dxa"/>
                    <w:right w:w="0" w:type="dxa"/>
                  </w:tcMar>
                  <w:vAlign w:val="center"/>
                </w:tcPr>
                <w:p w14:paraId="39F309F5">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排放标准</w:t>
                  </w:r>
                </w:p>
              </w:tc>
            </w:tr>
            <w:tr w14:paraId="3B23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4" w:type="pct"/>
                  <w:vMerge w:val="continue"/>
                  <w:noWrap w:val="0"/>
                  <w:tcMar>
                    <w:top w:w="0" w:type="dxa"/>
                    <w:left w:w="0" w:type="dxa"/>
                    <w:bottom w:w="0" w:type="dxa"/>
                    <w:right w:w="0" w:type="dxa"/>
                  </w:tcMar>
                  <w:vAlign w:val="center"/>
                </w:tcPr>
                <w:p w14:paraId="0A6065F6">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p>
              </w:tc>
              <w:tc>
                <w:tcPr>
                  <w:tcW w:w="532" w:type="pct"/>
                  <w:vMerge w:val="continue"/>
                  <w:noWrap w:val="0"/>
                  <w:tcMar>
                    <w:top w:w="0" w:type="dxa"/>
                    <w:left w:w="0" w:type="dxa"/>
                    <w:bottom w:w="0" w:type="dxa"/>
                    <w:right w:w="0" w:type="dxa"/>
                  </w:tcMar>
                  <w:vAlign w:val="center"/>
                </w:tcPr>
                <w:p w14:paraId="189F9335">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p>
              </w:tc>
              <w:tc>
                <w:tcPr>
                  <w:tcW w:w="399" w:type="pct"/>
                  <w:vMerge w:val="continue"/>
                  <w:noWrap w:val="0"/>
                  <w:tcMar>
                    <w:top w:w="0" w:type="dxa"/>
                    <w:left w:w="0" w:type="dxa"/>
                    <w:bottom w:w="0" w:type="dxa"/>
                    <w:right w:w="0" w:type="dxa"/>
                  </w:tcMar>
                  <w:vAlign w:val="center"/>
                </w:tcPr>
                <w:p w14:paraId="421381BB">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p>
              </w:tc>
              <w:tc>
                <w:tcPr>
                  <w:tcW w:w="546" w:type="pct"/>
                  <w:vMerge w:val="continue"/>
                  <w:noWrap w:val="0"/>
                  <w:tcMar>
                    <w:top w:w="0" w:type="dxa"/>
                    <w:left w:w="0" w:type="dxa"/>
                    <w:bottom w:w="0" w:type="dxa"/>
                    <w:right w:w="0" w:type="dxa"/>
                  </w:tcMar>
                  <w:vAlign w:val="center"/>
                </w:tcPr>
                <w:p w14:paraId="6A45F551">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p>
              </w:tc>
              <w:tc>
                <w:tcPr>
                  <w:tcW w:w="545" w:type="pct"/>
                  <w:noWrap w:val="0"/>
                  <w:tcMar>
                    <w:top w:w="0" w:type="dxa"/>
                    <w:left w:w="0" w:type="dxa"/>
                    <w:bottom w:w="0" w:type="dxa"/>
                    <w:right w:w="0" w:type="dxa"/>
                  </w:tcMar>
                  <w:vAlign w:val="center"/>
                </w:tcPr>
                <w:p w14:paraId="469784C8">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经度</w:t>
                  </w:r>
                </w:p>
              </w:tc>
              <w:tc>
                <w:tcPr>
                  <w:tcW w:w="453" w:type="pct"/>
                  <w:noWrap w:val="0"/>
                  <w:tcMar>
                    <w:top w:w="0" w:type="dxa"/>
                    <w:left w:w="0" w:type="dxa"/>
                    <w:bottom w:w="0" w:type="dxa"/>
                    <w:right w:w="0" w:type="dxa"/>
                  </w:tcMar>
                  <w:vAlign w:val="center"/>
                </w:tcPr>
                <w:p w14:paraId="4CA46028">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纬度</w:t>
                  </w:r>
                </w:p>
              </w:tc>
              <w:tc>
                <w:tcPr>
                  <w:tcW w:w="366" w:type="pct"/>
                  <w:vMerge w:val="continue"/>
                  <w:noWrap w:val="0"/>
                  <w:tcMar>
                    <w:top w:w="0" w:type="dxa"/>
                    <w:left w:w="0" w:type="dxa"/>
                    <w:bottom w:w="0" w:type="dxa"/>
                    <w:right w:w="0" w:type="dxa"/>
                  </w:tcMar>
                  <w:vAlign w:val="center"/>
                </w:tcPr>
                <w:p w14:paraId="6B80AFC0">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p>
              </w:tc>
              <w:tc>
                <w:tcPr>
                  <w:tcW w:w="273" w:type="pct"/>
                  <w:vMerge w:val="continue"/>
                  <w:noWrap w:val="0"/>
                  <w:tcMar>
                    <w:top w:w="0" w:type="dxa"/>
                    <w:left w:w="0" w:type="dxa"/>
                    <w:bottom w:w="0" w:type="dxa"/>
                    <w:right w:w="0" w:type="dxa"/>
                  </w:tcMar>
                  <w:vAlign w:val="center"/>
                </w:tcPr>
                <w:p w14:paraId="569FA808">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p>
              </w:tc>
              <w:tc>
                <w:tcPr>
                  <w:tcW w:w="388" w:type="pct"/>
                  <w:vMerge w:val="continue"/>
                  <w:noWrap w:val="0"/>
                  <w:tcMar>
                    <w:top w:w="0" w:type="dxa"/>
                    <w:left w:w="0" w:type="dxa"/>
                    <w:bottom w:w="0" w:type="dxa"/>
                    <w:right w:w="0" w:type="dxa"/>
                  </w:tcMar>
                  <w:vAlign w:val="center"/>
                </w:tcPr>
                <w:p w14:paraId="3E764976">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p>
              </w:tc>
              <w:tc>
                <w:tcPr>
                  <w:tcW w:w="1120" w:type="pct"/>
                  <w:vMerge w:val="continue"/>
                  <w:noWrap w:val="0"/>
                  <w:tcMar>
                    <w:top w:w="0" w:type="dxa"/>
                    <w:left w:w="0" w:type="dxa"/>
                    <w:bottom w:w="0" w:type="dxa"/>
                    <w:right w:w="0" w:type="dxa"/>
                  </w:tcMar>
                  <w:vAlign w:val="center"/>
                </w:tcPr>
                <w:p w14:paraId="2EE8DC7C">
                  <w:pPr>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b/>
                      <w:bCs/>
                      <w:color w:val="auto"/>
                      <w:szCs w:val="21"/>
                    </w:rPr>
                  </w:pPr>
                </w:p>
              </w:tc>
            </w:tr>
            <w:tr w14:paraId="411D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74" w:type="pct"/>
                  <w:noWrap w:val="0"/>
                  <w:tcMar>
                    <w:top w:w="0" w:type="dxa"/>
                    <w:left w:w="0" w:type="dxa"/>
                    <w:bottom w:w="0" w:type="dxa"/>
                    <w:right w:w="0" w:type="dxa"/>
                  </w:tcMar>
                  <w:vAlign w:val="center"/>
                </w:tcPr>
                <w:p w14:paraId="51F27B3A">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DA001</w:t>
                  </w:r>
                </w:p>
              </w:tc>
              <w:tc>
                <w:tcPr>
                  <w:tcW w:w="532" w:type="pct"/>
                  <w:noWrap w:val="0"/>
                  <w:tcMar>
                    <w:top w:w="0" w:type="dxa"/>
                    <w:left w:w="0" w:type="dxa"/>
                    <w:bottom w:w="0" w:type="dxa"/>
                    <w:right w:w="0" w:type="dxa"/>
                  </w:tcMar>
                  <w:vAlign w:val="center"/>
                </w:tcPr>
                <w:p w14:paraId="09645AE0">
                  <w:pPr>
                    <w:pStyle w:val="111"/>
                    <w:keepNext w:val="0"/>
                    <w:keepLines w:val="0"/>
                    <w:suppressLineNumbers w:val="0"/>
                    <w:adjustRightInd w:val="0"/>
                    <w:snapToGrid w:val="0"/>
                    <w:spacing w:before="0" w:beforeAutospacing="0" w:after="0" w:afterAutospacing="0" w:line="260" w:lineRule="exact"/>
                    <w:ind w:left="0" w:right="0"/>
                    <w:rPr>
                      <w:rFonts w:hint="eastAsia" w:ascii="Times New Roman" w:hAnsi="Times New Roman" w:eastAsia="宋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399" w:type="pct"/>
                  <w:noWrap w:val="0"/>
                  <w:tcMar>
                    <w:top w:w="0" w:type="dxa"/>
                    <w:left w:w="0" w:type="dxa"/>
                    <w:bottom w:w="0" w:type="dxa"/>
                    <w:right w:w="0" w:type="dxa"/>
                  </w:tcMar>
                  <w:vAlign w:val="center"/>
                </w:tcPr>
                <w:p w14:paraId="1672F5D6">
                  <w:pPr>
                    <w:keepNext w:val="0"/>
                    <w:keepLines w:val="0"/>
                    <w:widowControl/>
                    <w:suppressLineNumbers w:val="0"/>
                    <w:adjustRightInd w:val="0"/>
                    <w:snapToGrid w:val="0"/>
                    <w:spacing w:before="0" w:beforeAutospacing="0" w:after="0" w:afterAutospacing="0" w:line="260" w:lineRule="exact"/>
                    <w:ind w:left="0" w:right="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bCs/>
                      <w:color w:val="auto"/>
                      <w:sz w:val="18"/>
                      <w:szCs w:val="18"/>
                    </w:rPr>
                    <w:t>生物除臭塔除臭</w:t>
                  </w:r>
                </w:p>
              </w:tc>
              <w:tc>
                <w:tcPr>
                  <w:tcW w:w="546" w:type="pct"/>
                  <w:noWrap w:val="0"/>
                  <w:tcMar>
                    <w:top w:w="0" w:type="dxa"/>
                    <w:left w:w="0" w:type="dxa"/>
                    <w:bottom w:w="0" w:type="dxa"/>
                    <w:right w:w="0" w:type="dxa"/>
                  </w:tcMar>
                  <w:vAlign w:val="center"/>
                </w:tcPr>
                <w:p w14:paraId="583733B1">
                  <w:pPr>
                    <w:keepNext w:val="0"/>
                    <w:keepLines w:val="0"/>
                    <w:widowControl/>
                    <w:suppressLineNumbers w:val="0"/>
                    <w:spacing w:before="0" w:beforeAutospacing="0" w:after="0" w:afterAutospacing="0" w:line="260" w:lineRule="exact"/>
                    <w:ind w:left="0" w:right="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000</w:t>
                  </w:r>
                </w:p>
              </w:tc>
              <w:tc>
                <w:tcPr>
                  <w:tcW w:w="545" w:type="pct"/>
                  <w:noWrap w:val="0"/>
                  <w:tcMar>
                    <w:top w:w="0" w:type="dxa"/>
                    <w:left w:w="0" w:type="dxa"/>
                    <w:bottom w:w="0" w:type="dxa"/>
                    <w:right w:w="0" w:type="dxa"/>
                  </w:tcMar>
                  <w:vAlign w:val="center"/>
                </w:tcPr>
                <w:p w14:paraId="69EAB637">
                  <w:pPr>
                    <w:keepNext w:val="0"/>
                    <w:keepLines w:val="0"/>
                    <w:widowControl/>
                    <w:suppressLineNumbers w:val="0"/>
                    <w:adjustRightInd w:val="0"/>
                    <w:snapToGrid w:val="0"/>
                    <w:spacing w:before="0" w:beforeAutospacing="0" w:after="0" w:afterAutospacing="0" w:line="260" w:lineRule="exact"/>
                    <w:ind w:left="0" w:right="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108.2866</w:t>
                  </w:r>
                </w:p>
              </w:tc>
              <w:tc>
                <w:tcPr>
                  <w:tcW w:w="453" w:type="pct"/>
                  <w:noWrap w:val="0"/>
                  <w:tcMar>
                    <w:top w:w="0" w:type="dxa"/>
                    <w:left w:w="0" w:type="dxa"/>
                    <w:bottom w:w="0" w:type="dxa"/>
                    <w:right w:w="0" w:type="dxa"/>
                  </w:tcMar>
                  <w:vAlign w:val="center"/>
                </w:tcPr>
                <w:p w14:paraId="7F1F2BBF">
                  <w:pPr>
                    <w:keepNext w:val="0"/>
                    <w:keepLines w:val="0"/>
                    <w:widowControl/>
                    <w:suppressLineNumbers w:val="0"/>
                    <w:adjustRightInd w:val="0"/>
                    <w:snapToGrid w:val="0"/>
                    <w:spacing w:before="0" w:beforeAutospacing="0" w:after="0" w:afterAutospacing="0" w:line="260" w:lineRule="exact"/>
                    <w:ind w:left="0" w:right="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24.6380</w:t>
                  </w:r>
                </w:p>
              </w:tc>
              <w:tc>
                <w:tcPr>
                  <w:tcW w:w="366" w:type="pct"/>
                  <w:noWrap w:val="0"/>
                  <w:tcMar>
                    <w:top w:w="0" w:type="dxa"/>
                    <w:left w:w="0" w:type="dxa"/>
                    <w:bottom w:w="0" w:type="dxa"/>
                    <w:right w:w="0" w:type="dxa"/>
                  </w:tcMar>
                  <w:vAlign w:val="center"/>
                </w:tcPr>
                <w:p w14:paraId="21975537">
                  <w:pPr>
                    <w:pStyle w:val="111"/>
                    <w:keepNext w:val="0"/>
                    <w:keepLines w:val="0"/>
                    <w:suppressLineNumbers w:val="0"/>
                    <w:adjustRightInd w:val="0"/>
                    <w:snapToGrid w:val="0"/>
                    <w:spacing w:before="0" w:beforeAutospacing="0" w:after="0" w:afterAutospacing="0" w:line="26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15</w:t>
                  </w:r>
                </w:p>
              </w:tc>
              <w:tc>
                <w:tcPr>
                  <w:tcW w:w="273" w:type="pct"/>
                  <w:noWrap w:val="0"/>
                  <w:tcMar>
                    <w:top w:w="0" w:type="dxa"/>
                    <w:left w:w="0" w:type="dxa"/>
                    <w:bottom w:w="0" w:type="dxa"/>
                    <w:right w:w="0" w:type="dxa"/>
                  </w:tcMar>
                  <w:vAlign w:val="center"/>
                </w:tcPr>
                <w:p w14:paraId="3F73A4E9">
                  <w:pPr>
                    <w:pStyle w:val="111"/>
                    <w:keepNext w:val="0"/>
                    <w:keepLines w:val="0"/>
                    <w:suppressLineNumbers w:val="0"/>
                    <w:adjustRightInd w:val="0"/>
                    <w:snapToGrid w:val="0"/>
                    <w:spacing w:before="0" w:beforeAutospacing="0" w:after="0" w:afterAutospacing="0" w:line="260" w:lineRule="exact"/>
                    <w:ind w:left="0" w:right="0"/>
                    <w:rPr>
                      <w:rFonts w:hint="eastAsia" w:ascii="Times New Roman" w:hAnsi="Times New Roman" w:eastAsia="宋体" w:cs="Times New Roman"/>
                      <w:color w:val="auto"/>
                      <w:szCs w:val="21"/>
                    </w:rPr>
                  </w:pPr>
                  <w:r>
                    <w:rPr>
                      <w:rFonts w:ascii="Times New Roman" w:hAnsi="Times New Roman" w:eastAsia="宋体" w:cs="Times New Roman"/>
                      <w:color w:val="auto"/>
                      <w:szCs w:val="21"/>
                    </w:rPr>
                    <w:t>0.</w:t>
                  </w:r>
                  <w:r>
                    <w:rPr>
                      <w:rFonts w:hint="eastAsia" w:ascii="Times New Roman" w:hAnsi="Times New Roman" w:eastAsia="宋体" w:cs="Times New Roman"/>
                      <w:color w:val="auto"/>
                      <w:szCs w:val="21"/>
                    </w:rPr>
                    <w:t>5</w:t>
                  </w:r>
                </w:p>
              </w:tc>
              <w:tc>
                <w:tcPr>
                  <w:tcW w:w="388" w:type="pct"/>
                  <w:noWrap w:val="0"/>
                  <w:tcMar>
                    <w:top w:w="0" w:type="dxa"/>
                    <w:left w:w="0" w:type="dxa"/>
                    <w:bottom w:w="0" w:type="dxa"/>
                    <w:right w:w="0" w:type="dxa"/>
                  </w:tcMar>
                  <w:vAlign w:val="center"/>
                </w:tcPr>
                <w:p w14:paraId="7D55BEE4">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40</w:t>
                  </w:r>
                </w:p>
              </w:tc>
              <w:tc>
                <w:tcPr>
                  <w:tcW w:w="1120" w:type="pct"/>
                  <w:noWrap w:val="0"/>
                  <w:tcMar>
                    <w:top w:w="0" w:type="dxa"/>
                    <w:left w:w="0" w:type="dxa"/>
                    <w:bottom w:w="0" w:type="dxa"/>
                    <w:right w:w="0" w:type="dxa"/>
                  </w:tcMar>
                  <w:vAlign w:val="center"/>
                </w:tcPr>
                <w:p w14:paraId="07A034DC">
                  <w:pPr>
                    <w:keepNext w:val="0"/>
                    <w:keepLines w:val="0"/>
                    <w:suppressLineNumbers w:val="0"/>
                    <w:adjustRightInd w:val="0"/>
                    <w:snapToGrid w:val="0"/>
                    <w:spacing w:before="0" w:beforeAutospacing="0" w:after="0" w:afterAutospacing="0" w:line="260" w:lineRule="exact"/>
                    <w:ind w:left="0" w:right="0" w:firstLine="2"/>
                    <w:jc w:val="left"/>
                    <w:rPr>
                      <w:rFonts w:ascii="Times New Roman" w:hAnsi="Times New Roman" w:eastAsia="宋体" w:cs="Times New Roman"/>
                      <w:color w:val="auto"/>
                      <w:spacing w:val="7"/>
                      <w:szCs w:val="21"/>
                    </w:rPr>
                  </w:pPr>
                  <w:r>
                    <w:rPr>
                      <w:rFonts w:ascii="Times New Roman" w:hAnsi="Times New Roman" w:eastAsia="宋体" w:cs="Times New Roman"/>
                      <w:color w:val="auto"/>
                      <w:spacing w:val="7"/>
                      <w:szCs w:val="21"/>
                    </w:rPr>
                    <w:t>《恶臭污染物排放标准</w:t>
                  </w:r>
                  <w:r>
                    <w:rPr>
                      <w:rFonts w:hint="eastAsia" w:ascii="Times New Roman" w:hAnsi="Times New Roman" w:eastAsia="宋体" w:cs="Times New Roman"/>
                      <w:color w:val="auto"/>
                      <w:spacing w:val="7"/>
                      <w:szCs w:val="21"/>
                    </w:rPr>
                    <w:t>》</w:t>
                  </w:r>
                  <w:r>
                    <w:rPr>
                      <w:rFonts w:ascii="Times New Roman" w:hAnsi="Times New Roman" w:eastAsia="宋体" w:cs="Times New Roman"/>
                      <w:color w:val="auto"/>
                      <w:spacing w:val="7"/>
                      <w:szCs w:val="21"/>
                    </w:rPr>
                    <w:t>（GB14554-93）2</w:t>
                  </w:r>
                </w:p>
              </w:tc>
            </w:tr>
          </w:tbl>
          <w:p w14:paraId="0CE436E8">
            <w:pPr>
              <w:pStyle w:val="41"/>
              <w:keepNext w:val="0"/>
              <w:keepLines w:val="0"/>
              <w:suppressLineNumbers w:val="0"/>
              <w:spacing w:before="0" w:beforeAutospacing="0" w:after="0" w:afterAutospacing="0" w:line="360" w:lineRule="auto"/>
              <w:ind w:left="0" w:right="0" w:firstLine="480" w:firstLineChars="200"/>
              <w:textAlignment w:val="auto"/>
              <w:rPr>
                <w:rFonts w:ascii="Times New Roman" w:cs="Times New Roman"/>
                <w:color w:val="auto"/>
              </w:rPr>
            </w:pPr>
            <w:r>
              <w:rPr>
                <w:rFonts w:hint="eastAsia" w:ascii="Times New Roman" w:cs="Times New Roman"/>
                <w:color w:val="auto"/>
              </w:rPr>
              <w:t>项目无组织废气污染源汇总表，详见表4-3。</w:t>
            </w:r>
          </w:p>
          <w:p w14:paraId="7E810D3D">
            <w:pPr>
              <w:pStyle w:val="95"/>
              <w:keepNext w:val="0"/>
              <w:keepLines w:val="0"/>
              <w:suppressLineNumbers w:val="0"/>
              <w:spacing w:before="0" w:beforeAutospacing="0" w:after="0" w:afterAutospacing="0" w:line="240" w:lineRule="auto"/>
              <w:ind w:left="0" w:right="0" w:firstLine="482"/>
              <w:rPr>
                <w:rFonts w:cs="Times New Roman"/>
                <w:color w:val="auto"/>
                <w:sz w:val="24"/>
              </w:rPr>
            </w:pPr>
            <w:r>
              <w:rPr>
                <w:rFonts w:cs="Times New Roman"/>
                <w:color w:val="auto"/>
                <w:sz w:val="24"/>
              </w:rPr>
              <w:t>表</w:t>
            </w:r>
            <w:r>
              <w:rPr>
                <w:rFonts w:hint="eastAsia" w:cs="Times New Roman"/>
                <w:color w:val="auto"/>
                <w:sz w:val="24"/>
              </w:rPr>
              <w:t>4-3 恶臭</w:t>
            </w:r>
            <w:r>
              <w:rPr>
                <w:rFonts w:cs="Times New Roman"/>
                <w:color w:val="auto"/>
                <w:sz w:val="24"/>
              </w:rPr>
              <w:t>无组织产排放情况一览表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092"/>
              <w:gridCol w:w="1444"/>
              <w:gridCol w:w="1444"/>
              <w:gridCol w:w="1307"/>
              <w:gridCol w:w="1037"/>
              <w:gridCol w:w="1181"/>
            </w:tblGrid>
            <w:tr w14:paraId="6D42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pct"/>
                  <w:noWrap w:val="0"/>
                  <w:vAlign w:val="center"/>
                </w:tcPr>
                <w:p w14:paraId="2E1E4794">
                  <w:pPr>
                    <w:pStyle w:val="60"/>
                    <w:keepNext w:val="0"/>
                    <w:keepLines w:val="0"/>
                    <w:suppressLineNumbers w:val="0"/>
                    <w:spacing w:before="24" w:beforeAutospacing="0" w:after="24" w:afterAutospacing="0"/>
                    <w:ind w:left="0" w:right="0"/>
                    <w:rPr>
                      <w:rFonts w:ascii="Times New Roman" w:hAnsi="Times New Roman" w:eastAsia="宋体" w:cs="Times New Roman"/>
                      <w:b/>
                      <w:bCs/>
                      <w:color w:val="auto"/>
                    </w:rPr>
                  </w:pPr>
                  <w:r>
                    <w:rPr>
                      <w:rFonts w:ascii="Times New Roman" w:hAnsi="Times New Roman" w:eastAsia="宋体" w:cs="Times New Roman"/>
                      <w:b/>
                      <w:bCs/>
                      <w:color w:val="auto"/>
                    </w:rPr>
                    <w:t>污染物名称</w:t>
                  </w:r>
                </w:p>
              </w:tc>
              <w:tc>
                <w:tcPr>
                  <w:tcW w:w="629" w:type="pct"/>
                  <w:noWrap w:val="0"/>
                  <w:vAlign w:val="center"/>
                </w:tcPr>
                <w:p w14:paraId="1C069752">
                  <w:pPr>
                    <w:pStyle w:val="60"/>
                    <w:keepNext w:val="0"/>
                    <w:keepLines w:val="0"/>
                    <w:suppressLineNumbers w:val="0"/>
                    <w:spacing w:before="24" w:beforeAutospacing="0" w:after="24" w:afterAutospacing="0"/>
                    <w:ind w:left="0" w:right="0"/>
                    <w:rPr>
                      <w:rFonts w:ascii="Times New Roman" w:hAnsi="Times New Roman" w:eastAsia="宋体" w:cs="Times New Roman"/>
                      <w:b/>
                      <w:bCs/>
                      <w:color w:val="auto"/>
                    </w:rPr>
                  </w:pPr>
                  <w:r>
                    <w:rPr>
                      <w:rFonts w:ascii="Times New Roman" w:hAnsi="Times New Roman" w:eastAsia="宋体" w:cs="Times New Roman"/>
                      <w:b/>
                      <w:bCs/>
                      <w:color w:val="auto"/>
                    </w:rPr>
                    <w:t>产生量t/a</w:t>
                  </w:r>
                </w:p>
              </w:tc>
              <w:tc>
                <w:tcPr>
                  <w:tcW w:w="832" w:type="pct"/>
                  <w:noWrap w:val="0"/>
                  <w:vAlign w:val="center"/>
                </w:tcPr>
                <w:p w14:paraId="4F896B86">
                  <w:pPr>
                    <w:pStyle w:val="60"/>
                    <w:keepNext w:val="0"/>
                    <w:keepLines w:val="0"/>
                    <w:suppressLineNumbers w:val="0"/>
                    <w:spacing w:before="24" w:beforeAutospacing="0" w:after="24" w:afterAutospacing="0"/>
                    <w:ind w:left="0" w:right="0"/>
                    <w:rPr>
                      <w:rFonts w:ascii="Times New Roman" w:hAnsi="Times New Roman" w:eastAsia="宋体" w:cs="Times New Roman"/>
                      <w:b/>
                      <w:bCs/>
                      <w:color w:val="auto"/>
                    </w:rPr>
                  </w:pPr>
                  <w:r>
                    <w:rPr>
                      <w:rFonts w:hint="eastAsia" w:ascii="Times New Roman" w:hAnsi="Times New Roman" w:eastAsia="宋体" w:cs="Times New Roman"/>
                      <w:b/>
                      <w:bCs/>
                      <w:color w:val="auto"/>
                    </w:rPr>
                    <w:t>产生速率</w:t>
                  </w:r>
                  <w:r>
                    <w:rPr>
                      <w:rFonts w:ascii="Times New Roman" w:hAnsi="Times New Roman" w:eastAsia="宋体" w:cs="Times New Roman"/>
                      <w:b/>
                      <w:bCs/>
                      <w:color w:val="auto"/>
                    </w:rPr>
                    <w:t>kg/h</w:t>
                  </w:r>
                </w:p>
              </w:tc>
              <w:tc>
                <w:tcPr>
                  <w:tcW w:w="832" w:type="pct"/>
                  <w:noWrap w:val="0"/>
                  <w:vAlign w:val="center"/>
                </w:tcPr>
                <w:p w14:paraId="1195ABE0">
                  <w:pPr>
                    <w:pStyle w:val="60"/>
                    <w:keepNext w:val="0"/>
                    <w:keepLines w:val="0"/>
                    <w:suppressLineNumbers w:val="0"/>
                    <w:spacing w:before="24" w:beforeAutospacing="0" w:after="24" w:afterAutospacing="0"/>
                    <w:ind w:left="0" w:right="0"/>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治理</w:t>
                  </w:r>
                </w:p>
                <w:p w14:paraId="3EFD8741">
                  <w:pPr>
                    <w:pStyle w:val="60"/>
                    <w:keepNext w:val="0"/>
                    <w:keepLines w:val="0"/>
                    <w:suppressLineNumbers w:val="0"/>
                    <w:spacing w:before="24" w:beforeAutospacing="0" w:after="24" w:afterAutospacing="0"/>
                    <w:ind w:left="0" w:right="0"/>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措施</w:t>
                  </w:r>
                </w:p>
              </w:tc>
              <w:tc>
                <w:tcPr>
                  <w:tcW w:w="753" w:type="pct"/>
                  <w:noWrap w:val="0"/>
                  <w:vAlign w:val="center"/>
                </w:tcPr>
                <w:p w14:paraId="7F878B35">
                  <w:pPr>
                    <w:pStyle w:val="60"/>
                    <w:keepNext w:val="0"/>
                    <w:keepLines w:val="0"/>
                    <w:suppressLineNumbers w:val="0"/>
                    <w:spacing w:before="24" w:beforeAutospacing="0" w:after="24" w:afterAutospacing="0"/>
                    <w:ind w:left="0" w:right="0"/>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治理</w:t>
                  </w:r>
                </w:p>
                <w:p w14:paraId="617F8032">
                  <w:pPr>
                    <w:pStyle w:val="60"/>
                    <w:keepNext w:val="0"/>
                    <w:keepLines w:val="0"/>
                    <w:suppressLineNumbers w:val="0"/>
                    <w:spacing w:before="24" w:beforeAutospacing="0" w:after="24" w:afterAutospacing="0"/>
                    <w:ind w:left="0" w:right="0"/>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效率</w:t>
                  </w:r>
                </w:p>
              </w:tc>
              <w:tc>
                <w:tcPr>
                  <w:tcW w:w="597" w:type="pct"/>
                  <w:noWrap w:val="0"/>
                  <w:vAlign w:val="center"/>
                </w:tcPr>
                <w:p w14:paraId="22932E72">
                  <w:pPr>
                    <w:pStyle w:val="60"/>
                    <w:keepNext w:val="0"/>
                    <w:keepLines w:val="0"/>
                    <w:suppressLineNumbers w:val="0"/>
                    <w:spacing w:before="24" w:beforeAutospacing="0" w:after="24" w:afterAutospacing="0"/>
                    <w:ind w:left="0" w:right="0"/>
                    <w:rPr>
                      <w:rFonts w:ascii="Times New Roman" w:hAnsi="Times New Roman" w:eastAsia="宋体" w:cs="Times New Roman"/>
                      <w:b/>
                      <w:bCs/>
                      <w:color w:val="auto"/>
                    </w:rPr>
                  </w:pPr>
                  <w:r>
                    <w:rPr>
                      <w:rFonts w:ascii="Times New Roman" w:hAnsi="Times New Roman" w:eastAsia="宋体" w:cs="Times New Roman"/>
                      <w:b/>
                      <w:bCs/>
                      <w:color w:val="auto"/>
                    </w:rPr>
                    <w:t>排放量t/a</w:t>
                  </w:r>
                </w:p>
              </w:tc>
              <w:tc>
                <w:tcPr>
                  <w:tcW w:w="680" w:type="pct"/>
                  <w:noWrap w:val="0"/>
                  <w:vAlign w:val="top"/>
                </w:tcPr>
                <w:p w14:paraId="300884F7">
                  <w:pPr>
                    <w:pStyle w:val="60"/>
                    <w:keepNext w:val="0"/>
                    <w:keepLines w:val="0"/>
                    <w:suppressLineNumbers w:val="0"/>
                    <w:spacing w:before="24" w:beforeAutospacing="0" w:after="24" w:afterAutospacing="0"/>
                    <w:ind w:left="0" w:right="0"/>
                    <w:rPr>
                      <w:rFonts w:ascii="Times New Roman" w:hAnsi="Times New Roman" w:eastAsia="宋体" w:cs="Times New Roman"/>
                      <w:b/>
                      <w:bCs/>
                      <w:color w:val="auto"/>
                    </w:rPr>
                  </w:pPr>
                  <w:r>
                    <w:rPr>
                      <w:rFonts w:ascii="Times New Roman" w:hAnsi="Times New Roman" w:eastAsia="宋体" w:cs="Times New Roman"/>
                      <w:b/>
                      <w:bCs/>
                      <w:color w:val="auto"/>
                    </w:rPr>
                    <w:t>排放速率kg/h</w:t>
                  </w:r>
                </w:p>
              </w:tc>
            </w:tr>
            <w:tr w14:paraId="5E70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74" w:type="pct"/>
                  <w:noWrap w:val="0"/>
                  <w:vAlign w:val="center"/>
                </w:tcPr>
                <w:p w14:paraId="0A48FD47">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p>
              </w:tc>
              <w:tc>
                <w:tcPr>
                  <w:tcW w:w="629" w:type="pct"/>
                  <w:noWrap w:val="0"/>
                  <w:vAlign w:val="center"/>
                </w:tcPr>
                <w:p w14:paraId="28CEC2F6">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0.161</w:t>
                  </w:r>
                </w:p>
              </w:tc>
              <w:tc>
                <w:tcPr>
                  <w:tcW w:w="832" w:type="pct"/>
                  <w:noWrap w:val="0"/>
                  <w:vAlign w:val="center"/>
                </w:tcPr>
                <w:p w14:paraId="610785E9">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0.022</w:t>
                  </w:r>
                </w:p>
              </w:tc>
              <w:tc>
                <w:tcPr>
                  <w:tcW w:w="832" w:type="pct"/>
                  <w:vMerge w:val="restart"/>
                  <w:noWrap w:val="0"/>
                  <w:vAlign w:val="center"/>
                </w:tcPr>
                <w:p w14:paraId="199723D7">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喷洒除臭剂</w:t>
                  </w:r>
                </w:p>
              </w:tc>
              <w:tc>
                <w:tcPr>
                  <w:tcW w:w="753" w:type="pct"/>
                  <w:noWrap w:val="0"/>
                  <w:vAlign w:val="center"/>
                </w:tcPr>
                <w:p w14:paraId="69C97E04">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85%</w:t>
                  </w:r>
                </w:p>
              </w:tc>
              <w:tc>
                <w:tcPr>
                  <w:tcW w:w="597" w:type="pct"/>
                  <w:noWrap w:val="0"/>
                  <w:vAlign w:val="center"/>
                </w:tcPr>
                <w:p w14:paraId="3F7DD411">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0.024</w:t>
                  </w:r>
                </w:p>
              </w:tc>
              <w:tc>
                <w:tcPr>
                  <w:tcW w:w="680" w:type="pct"/>
                  <w:noWrap w:val="0"/>
                  <w:vAlign w:val="center"/>
                </w:tcPr>
                <w:p w14:paraId="08184381">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0.003</w:t>
                  </w:r>
                </w:p>
              </w:tc>
            </w:tr>
            <w:tr w14:paraId="2F0E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pct"/>
                  <w:noWrap w:val="0"/>
                  <w:vAlign w:val="center"/>
                </w:tcPr>
                <w:p w14:paraId="60E82758">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629" w:type="pct"/>
                  <w:noWrap w:val="0"/>
                  <w:vAlign w:val="center"/>
                </w:tcPr>
                <w:p w14:paraId="350CB2D6">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0.016</w:t>
                  </w:r>
                </w:p>
              </w:tc>
              <w:tc>
                <w:tcPr>
                  <w:tcW w:w="832" w:type="pct"/>
                  <w:noWrap w:val="0"/>
                  <w:vAlign w:val="center"/>
                </w:tcPr>
                <w:p w14:paraId="0E3C7A1F">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0.002</w:t>
                  </w:r>
                </w:p>
              </w:tc>
              <w:tc>
                <w:tcPr>
                  <w:tcW w:w="832" w:type="pct"/>
                  <w:vMerge w:val="continue"/>
                  <w:noWrap w:val="0"/>
                  <w:vAlign w:val="center"/>
                </w:tcPr>
                <w:p w14:paraId="2DBFB06B">
                  <w:pPr>
                    <w:pStyle w:val="60"/>
                    <w:keepNext w:val="0"/>
                    <w:keepLines w:val="0"/>
                    <w:suppressLineNumbers w:val="0"/>
                    <w:spacing w:before="24" w:beforeAutospacing="0" w:after="24" w:afterAutospacing="0"/>
                    <w:ind w:left="0" w:right="0"/>
                    <w:rPr>
                      <w:rFonts w:hint="eastAsia" w:ascii="Times New Roman" w:hAnsi="Times New Roman" w:eastAsia="宋体" w:cs="Times New Roman"/>
                      <w:color w:val="auto"/>
                    </w:rPr>
                  </w:pPr>
                </w:p>
              </w:tc>
              <w:tc>
                <w:tcPr>
                  <w:tcW w:w="753" w:type="pct"/>
                  <w:noWrap w:val="0"/>
                  <w:vAlign w:val="center"/>
                </w:tcPr>
                <w:p w14:paraId="4A219C7A">
                  <w:pPr>
                    <w:pStyle w:val="60"/>
                    <w:keepNext w:val="0"/>
                    <w:keepLines w:val="0"/>
                    <w:suppressLineNumbers w:val="0"/>
                    <w:spacing w:before="24" w:beforeAutospacing="0" w:after="24"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85%</w:t>
                  </w:r>
                </w:p>
              </w:tc>
              <w:tc>
                <w:tcPr>
                  <w:tcW w:w="597" w:type="pct"/>
                  <w:noWrap w:val="0"/>
                  <w:vAlign w:val="center"/>
                </w:tcPr>
                <w:p w14:paraId="270ECC42">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0.002</w:t>
                  </w:r>
                </w:p>
              </w:tc>
              <w:tc>
                <w:tcPr>
                  <w:tcW w:w="680" w:type="pct"/>
                  <w:noWrap w:val="0"/>
                  <w:vAlign w:val="center"/>
                </w:tcPr>
                <w:p w14:paraId="06CB3C64">
                  <w:pPr>
                    <w:pStyle w:val="60"/>
                    <w:keepNext w:val="0"/>
                    <w:keepLines w:val="0"/>
                    <w:suppressLineNumbers w:val="0"/>
                    <w:spacing w:before="24" w:beforeAutospacing="0" w:after="24" w:afterAutospacing="0"/>
                    <w:ind w:left="0" w:right="0"/>
                    <w:rPr>
                      <w:rFonts w:ascii="Times New Roman" w:hAnsi="Times New Roman" w:eastAsia="宋体" w:cs="Times New Roman"/>
                      <w:color w:val="auto"/>
                    </w:rPr>
                  </w:pPr>
                  <w:r>
                    <w:rPr>
                      <w:rFonts w:hint="eastAsia" w:ascii="Times New Roman" w:hAnsi="Times New Roman" w:eastAsia="宋体" w:cs="Times New Roman"/>
                      <w:color w:val="auto"/>
                    </w:rPr>
                    <w:t>0.0003</w:t>
                  </w:r>
                </w:p>
              </w:tc>
            </w:tr>
          </w:tbl>
          <w:p w14:paraId="27848665">
            <w:pPr>
              <w:keepNext w:val="0"/>
              <w:keepLines w:val="0"/>
              <w:suppressLineNumbers w:val="0"/>
              <w:tabs>
                <w:tab w:val="left" w:pos="3155"/>
              </w:tabs>
              <w:spacing w:before="120" w:beforeLines="50" w:beforeAutospacing="0" w:after="0" w:afterAutospacing="0" w:line="360" w:lineRule="auto"/>
              <w:ind w:left="0" w:right="0" w:firstLine="482" w:firstLineChars="200"/>
              <w:rPr>
                <w:rFonts w:ascii="Calibri" w:hAnsi="Calibri" w:eastAsia="宋体" w:cs="Times New Roman"/>
                <w:b/>
                <w:color w:val="auto"/>
                <w:sz w:val="24"/>
              </w:rPr>
            </w:pPr>
            <w:r>
              <w:rPr>
                <w:rFonts w:hint="eastAsia" w:ascii="Calibri" w:hAnsi="Calibri" w:eastAsia="宋体" w:cs="Times New Roman"/>
                <w:b/>
                <w:color w:val="auto"/>
                <w:sz w:val="24"/>
              </w:rPr>
              <w:t>2、恶臭治理措施可行性分析</w:t>
            </w:r>
          </w:p>
          <w:p w14:paraId="15F28525">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b/>
                <w:bCs/>
                <w:color w:val="auto"/>
                <w:szCs w:val="21"/>
              </w:rPr>
            </w:pPr>
            <w:r>
              <w:rPr>
                <w:rFonts w:ascii="Times New Roman" w:hAnsi="Times New Roman" w:eastAsia="宋体" w:cs="Times New Roman"/>
                <w:color w:val="auto"/>
                <w:sz w:val="24"/>
              </w:rPr>
              <w:t>根据《排污许可证申请与核发技术规范 磷肥、钾肥、复混肥料、有机肥料及微生物肥料工业（HJ 864.2-2018）》</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本项目采用废气治理措施可行技术对照情况见表4-</w:t>
            </w: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p>
          <w:p w14:paraId="18B431B4">
            <w:pPr>
              <w:keepNext w:val="0"/>
              <w:keepLines w:val="0"/>
              <w:suppressLineNumbers w:val="0"/>
              <w:adjustRightInd w:val="0"/>
              <w:snapToGrid w:val="0"/>
              <w:spacing w:before="0" w:beforeAutospacing="0" w:after="0" w:afterAutospacing="0"/>
              <w:ind w:left="0" w:right="0" w:firstLine="2409" w:firstLineChars="1000"/>
              <w:rPr>
                <w:rFonts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hint="eastAsia" w:ascii="Times New Roman" w:hAnsi="Times New Roman" w:eastAsia="宋体" w:cs="Times New Roman"/>
                <w:b/>
                <w:bCs/>
                <w:color w:val="auto"/>
                <w:sz w:val="24"/>
              </w:rPr>
              <w:t>4</w:t>
            </w:r>
            <w:r>
              <w:rPr>
                <w:rFonts w:ascii="Times New Roman" w:hAnsi="Times New Roman" w:eastAsia="宋体" w:cs="Times New Roman"/>
                <w:b/>
                <w:bCs/>
                <w:color w:val="auto"/>
                <w:sz w:val="24"/>
              </w:rPr>
              <w:t xml:space="preserve"> 本项目废气治理设施情况表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1490"/>
              <w:gridCol w:w="1806"/>
              <w:gridCol w:w="1945"/>
              <w:gridCol w:w="1413"/>
            </w:tblGrid>
            <w:tr w14:paraId="1102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65" w:type="pct"/>
                  <w:noWrap w:val="0"/>
                  <w:tcMar>
                    <w:left w:w="28" w:type="dxa"/>
                    <w:right w:w="28" w:type="dxa"/>
                  </w:tcMar>
                  <w:vAlign w:val="center"/>
                </w:tcPr>
                <w:p w14:paraId="1383A78A">
                  <w:pPr>
                    <w:keepNext w:val="0"/>
                    <w:keepLines w:val="0"/>
                    <w:widowControl/>
                    <w:suppressLineNumbers w:val="0"/>
                    <w:spacing w:before="0" w:beforeAutospacing="0" w:after="0" w:afterAutospacing="0"/>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主要生产单元</w:t>
                  </w:r>
                  <w:r>
                    <w:rPr>
                      <w:rFonts w:hint="eastAsia" w:ascii="Times New Roman" w:hAnsi="Times New Roman" w:eastAsia="宋体" w:cs="Times New Roman"/>
                      <w:b/>
                      <w:bCs/>
                      <w:color w:val="auto"/>
                      <w:szCs w:val="21"/>
                    </w:rPr>
                    <w:t>或设施废气</w:t>
                  </w:r>
                </w:p>
              </w:tc>
              <w:tc>
                <w:tcPr>
                  <w:tcW w:w="858" w:type="pct"/>
                  <w:noWrap w:val="0"/>
                  <w:tcMar>
                    <w:left w:w="28" w:type="dxa"/>
                    <w:right w:w="28" w:type="dxa"/>
                  </w:tcMar>
                  <w:vAlign w:val="center"/>
                </w:tcPr>
                <w:p w14:paraId="2CAE0274">
                  <w:pPr>
                    <w:keepNext w:val="0"/>
                    <w:keepLines w:val="0"/>
                    <w:widowControl/>
                    <w:suppressLineNumbers w:val="0"/>
                    <w:spacing w:before="0" w:beforeAutospacing="0" w:after="0" w:afterAutospacing="0"/>
                    <w:ind w:left="0" w:right="0"/>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主要控制污染物</w:t>
                  </w:r>
                </w:p>
              </w:tc>
              <w:tc>
                <w:tcPr>
                  <w:tcW w:w="1040" w:type="pct"/>
                  <w:noWrap w:val="0"/>
                  <w:tcMar>
                    <w:left w:w="28" w:type="dxa"/>
                    <w:right w:w="28" w:type="dxa"/>
                  </w:tcMar>
                  <w:vAlign w:val="center"/>
                </w:tcPr>
                <w:p w14:paraId="33C806CF">
                  <w:pPr>
                    <w:keepNext w:val="0"/>
                    <w:keepLines w:val="0"/>
                    <w:widowControl/>
                    <w:suppressLineNumbers w:val="0"/>
                    <w:spacing w:before="0" w:beforeAutospacing="0" w:after="0" w:afterAutospacing="0"/>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可行技术</w:t>
                  </w:r>
                </w:p>
              </w:tc>
              <w:tc>
                <w:tcPr>
                  <w:tcW w:w="1120" w:type="pct"/>
                  <w:noWrap w:val="0"/>
                  <w:tcMar>
                    <w:left w:w="28" w:type="dxa"/>
                    <w:right w:w="28" w:type="dxa"/>
                  </w:tcMar>
                  <w:vAlign w:val="center"/>
                </w:tcPr>
                <w:p w14:paraId="5F521C07">
                  <w:pPr>
                    <w:keepNext w:val="0"/>
                    <w:keepLines w:val="0"/>
                    <w:widowControl/>
                    <w:suppressLineNumbers w:val="0"/>
                    <w:spacing w:before="0" w:beforeAutospacing="0" w:after="0" w:afterAutospacing="0"/>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本项目使用</w:t>
                  </w:r>
                </w:p>
                <w:p w14:paraId="19215E65">
                  <w:pPr>
                    <w:keepNext w:val="0"/>
                    <w:keepLines w:val="0"/>
                    <w:widowControl/>
                    <w:suppressLineNumbers w:val="0"/>
                    <w:spacing w:before="0" w:beforeAutospacing="0" w:after="0" w:afterAutospacing="0"/>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技术</w:t>
                  </w:r>
                </w:p>
              </w:tc>
              <w:tc>
                <w:tcPr>
                  <w:tcW w:w="814" w:type="pct"/>
                  <w:noWrap w:val="0"/>
                  <w:tcMar>
                    <w:left w:w="28" w:type="dxa"/>
                    <w:right w:w="28" w:type="dxa"/>
                  </w:tcMar>
                  <w:vAlign w:val="center"/>
                </w:tcPr>
                <w:p w14:paraId="2A39A3CD">
                  <w:pPr>
                    <w:keepNext w:val="0"/>
                    <w:keepLines w:val="0"/>
                    <w:widowControl/>
                    <w:suppressLineNumbers w:val="0"/>
                    <w:spacing w:before="0" w:beforeAutospacing="0" w:after="0" w:afterAutospacing="0"/>
                    <w:ind w:left="0" w:right="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是否为可行技术</w:t>
                  </w:r>
                </w:p>
              </w:tc>
            </w:tr>
            <w:tr w14:paraId="1B2C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65" w:type="pct"/>
                  <w:noWrap w:val="0"/>
                  <w:tcMar>
                    <w:left w:w="28" w:type="dxa"/>
                    <w:right w:w="28" w:type="dxa"/>
                  </w:tcMar>
                  <w:vAlign w:val="center"/>
                </w:tcPr>
                <w:p w14:paraId="15664B5F">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发酵</w:t>
                  </w:r>
                </w:p>
              </w:tc>
              <w:tc>
                <w:tcPr>
                  <w:tcW w:w="858" w:type="pct"/>
                  <w:noWrap w:val="0"/>
                  <w:tcMar>
                    <w:left w:w="28" w:type="dxa"/>
                    <w:right w:w="28" w:type="dxa"/>
                  </w:tcMar>
                  <w:vAlign w:val="center"/>
                </w:tcPr>
                <w:p w14:paraId="6F3ABBE8">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氨、硫化氢</w:t>
                  </w:r>
                </w:p>
              </w:tc>
              <w:tc>
                <w:tcPr>
                  <w:tcW w:w="1040" w:type="pct"/>
                  <w:noWrap w:val="0"/>
                  <w:tcMar>
                    <w:left w:w="28" w:type="dxa"/>
                    <w:right w:w="28" w:type="dxa"/>
                  </w:tcMar>
                  <w:vAlign w:val="center"/>
                </w:tcPr>
                <w:p w14:paraId="1CACF7F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生物除臭（滴滤法、过滤法）</w:t>
                  </w:r>
                </w:p>
              </w:tc>
              <w:tc>
                <w:tcPr>
                  <w:tcW w:w="1120" w:type="pct"/>
                  <w:noWrap w:val="0"/>
                  <w:tcMar>
                    <w:left w:w="28" w:type="dxa"/>
                    <w:right w:w="28" w:type="dxa"/>
                  </w:tcMar>
                  <w:vAlign w:val="center"/>
                </w:tcPr>
                <w:p w14:paraId="6BDB7A15">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生物除臭塔除臭（滴滤法）</w:t>
                  </w:r>
                </w:p>
              </w:tc>
              <w:tc>
                <w:tcPr>
                  <w:tcW w:w="814" w:type="pct"/>
                  <w:noWrap w:val="0"/>
                  <w:tcMar>
                    <w:left w:w="28" w:type="dxa"/>
                    <w:right w:w="28" w:type="dxa"/>
                  </w:tcMar>
                  <w:vAlign w:val="center"/>
                </w:tcPr>
                <w:p w14:paraId="5AFAC293">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是</w:t>
                  </w:r>
                </w:p>
              </w:tc>
            </w:tr>
          </w:tbl>
          <w:p w14:paraId="169434C5">
            <w:pPr>
              <w:keepNext w:val="0"/>
              <w:keepLines w:val="0"/>
              <w:suppressLineNumbers w:val="0"/>
              <w:spacing w:before="120" w:beforeLines="50" w:beforeAutospacing="0" w:after="0" w:afterAutospacing="0" w:line="360" w:lineRule="auto"/>
              <w:ind w:left="0" w:right="0" w:firstLine="480" w:firstLineChars="200"/>
              <w:rPr>
                <w:rFonts w:ascii="Calibri" w:hAnsi="Calibri" w:eastAsia="宋体" w:cs="Times New Roman"/>
                <w:bCs/>
                <w:color w:val="auto"/>
                <w:sz w:val="24"/>
              </w:rPr>
            </w:pPr>
            <w:r>
              <w:rPr>
                <w:rFonts w:hint="eastAsia" w:ascii="Calibri" w:hAnsi="Calibri" w:eastAsia="宋体" w:cs="Times New Roman"/>
                <w:bCs/>
                <w:color w:val="auto"/>
                <w:sz w:val="24"/>
              </w:rPr>
              <w:t>由上表可知，项目发酵车间采用喷淋除臭工艺是可行措施。</w:t>
            </w:r>
          </w:p>
          <w:p w14:paraId="7B14FCF8">
            <w:pPr>
              <w:keepNext w:val="0"/>
              <w:keepLines w:val="0"/>
              <w:suppressLineNumbers w:val="0"/>
              <w:tabs>
                <w:tab w:val="left" w:pos="3155"/>
              </w:tabs>
              <w:spacing w:before="0" w:beforeAutospacing="0" w:after="0" w:afterAutospacing="0" w:line="360" w:lineRule="auto"/>
              <w:ind w:left="0" w:right="0" w:firstLine="482" w:firstLineChars="200"/>
              <w:rPr>
                <w:rFonts w:ascii="Calibri" w:hAnsi="Calibri" w:eastAsia="宋体" w:cs="Times New Roman"/>
                <w:b/>
                <w:color w:val="auto"/>
                <w:sz w:val="24"/>
              </w:rPr>
            </w:pPr>
            <w:r>
              <w:rPr>
                <w:rFonts w:hint="eastAsia" w:ascii="Calibri" w:hAnsi="Calibri" w:eastAsia="宋体" w:cs="Times New Roman"/>
                <w:b/>
                <w:color w:val="auto"/>
                <w:sz w:val="24"/>
              </w:rPr>
              <w:t>3、大气环境影响分析</w:t>
            </w:r>
          </w:p>
          <w:p w14:paraId="71BDCCFE">
            <w:pPr>
              <w:pStyle w:val="44"/>
              <w:keepNext w:val="0"/>
              <w:keepLines w:val="0"/>
              <w:suppressLineNumbers w:val="0"/>
              <w:spacing w:before="0" w:beforeAutospacing="0" w:after="0" w:afterAutospacing="0" w:line="360" w:lineRule="auto"/>
              <w:ind w:left="0" w:right="0" w:firstLine="480"/>
              <w:jc w:val="both"/>
              <w:rPr>
                <w:rFonts w:hint="eastAsia" w:ascii="Calibri" w:hAnsi="Calibri" w:eastAsia="宋体" w:cs="Times New Roman"/>
                <w:color w:val="auto"/>
              </w:rPr>
            </w:pPr>
            <w:r>
              <w:rPr>
                <w:rFonts w:hint="eastAsia" w:ascii="Calibri" w:hAnsi="Calibri" w:eastAsia="宋体" w:cs="Times New Roman"/>
                <w:bCs/>
                <w:color w:val="auto"/>
              </w:rPr>
              <w:t>项目</w:t>
            </w:r>
            <w:r>
              <w:rPr>
                <w:rFonts w:hint="eastAsia" w:ascii="宋体" w:hAnsi="宋体" w:eastAsia="宋体" w:cs="宋体"/>
                <w:bCs/>
                <w:color w:val="auto"/>
                <w:spacing w:val="-10"/>
              </w:rPr>
              <w:t>所处区域为达标区，周边植被覆盖率较高，距离最近的敏感点为</w:t>
            </w:r>
            <w:r>
              <w:rPr>
                <w:rFonts w:hint="eastAsia" w:ascii="Calibri" w:hAnsi="Calibri" w:eastAsia="宋体" w:cs="Times New Roman"/>
                <w:color w:val="auto"/>
              </w:rPr>
              <w:t>西南面300m的黎竹坪村</w:t>
            </w:r>
            <w:r>
              <w:rPr>
                <w:rFonts w:hint="eastAsia" w:ascii="宋体" w:hAnsi="宋体" w:eastAsia="宋体" w:cs="宋体"/>
                <w:bCs/>
                <w:color w:val="auto"/>
                <w:spacing w:val="-10"/>
              </w:rPr>
              <w:t>，</w:t>
            </w:r>
            <w:r>
              <w:rPr>
                <w:rFonts w:hint="eastAsia" w:ascii="Calibri" w:hAnsi="Calibri" w:eastAsia="宋体" w:cs="Times New Roman"/>
                <w:color w:val="auto"/>
              </w:rPr>
              <w:t>根据《自治区生态环境厅关于通报2025年设区城市及各县（市、区）环境空气质量的函》（桂环函〔2026〕110号）可知，项目所在区域为达标区，大气环境质量现状良好，因此本项目对周边环境影响不大。</w:t>
            </w:r>
          </w:p>
          <w:p w14:paraId="73229CCB">
            <w:pPr>
              <w:pStyle w:val="44"/>
              <w:keepNext w:val="0"/>
              <w:keepLines w:val="0"/>
              <w:suppressLineNumbers w:val="0"/>
              <w:spacing w:before="0" w:beforeAutospacing="0" w:after="0" w:afterAutospacing="0" w:line="360" w:lineRule="auto"/>
              <w:ind w:left="0" w:right="0" w:firstLine="482"/>
              <w:jc w:val="both"/>
              <w:rPr>
                <w:rFonts w:hint="eastAsia" w:ascii="Calibri" w:hAnsi="Calibri" w:eastAsia="宋体" w:cs="Times New Roman"/>
                <w:b/>
                <w:color w:val="auto"/>
              </w:rPr>
            </w:pPr>
            <w:r>
              <w:rPr>
                <w:rFonts w:hint="eastAsia" w:ascii="Calibri" w:hAnsi="Calibri" w:eastAsia="宋体" w:cs="Times New Roman"/>
                <w:b/>
                <w:color w:val="auto"/>
              </w:rPr>
              <w:t>4、非正常排放情况废气源强及应对措施</w:t>
            </w:r>
          </w:p>
          <w:p w14:paraId="4BA8E160">
            <w:pPr>
              <w:keepNext w:val="0"/>
              <w:keepLines w:val="0"/>
              <w:suppressLineNumbers w:val="0"/>
              <w:adjustRightInd w:val="0"/>
              <w:snapToGrid w:val="0"/>
              <w:spacing w:before="0" w:beforeAutospacing="0" w:after="0" w:afterAutospacing="0"/>
              <w:ind w:left="0" w:right="0" w:firstLine="2409" w:firstLineChars="1000"/>
              <w:rPr>
                <w:rFonts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hint="eastAsia" w:ascii="Times New Roman" w:hAnsi="Times New Roman" w:eastAsia="宋体" w:cs="Times New Roman"/>
                <w:b/>
                <w:bCs/>
                <w:color w:val="auto"/>
                <w:sz w:val="24"/>
              </w:rPr>
              <w:t>5</w:t>
            </w:r>
            <w:r>
              <w:rPr>
                <w:rFonts w:ascii="Times New Roman" w:hAnsi="Times New Roman" w:eastAsia="宋体" w:cs="Times New Roman"/>
                <w:b/>
                <w:bCs/>
                <w:color w:val="auto"/>
                <w:sz w:val="24"/>
              </w:rPr>
              <w:t xml:space="preserve">  非正常排放大气污染源强汇总表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981"/>
              <w:gridCol w:w="981"/>
              <w:gridCol w:w="1104"/>
              <w:gridCol w:w="1309"/>
              <w:gridCol w:w="941"/>
              <w:gridCol w:w="989"/>
            </w:tblGrid>
            <w:tr w14:paraId="2A8D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790" w:type="pct"/>
                  <w:noWrap w:val="0"/>
                  <w:vAlign w:val="center"/>
                </w:tcPr>
                <w:p w14:paraId="4A057937">
                  <w:pPr>
                    <w:pStyle w:val="71"/>
                    <w:keepNext w:val="0"/>
                    <w:keepLines w:val="0"/>
                    <w:suppressLineNumbers w:val="0"/>
                    <w:spacing w:before="0" w:beforeAutospacing="0" w:after="0" w:afterAutospacing="0"/>
                    <w:ind w:left="0" w:right="0"/>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非正常</w:t>
                  </w:r>
                </w:p>
                <w:p w14:paraId="6C51BE3C">
                  <w:pPr>
                    <w:pStyle w:val="71"/>
                    <w:keepNext w:val="0"/>
                    <w:keepLines w:val="0"/>
                    <w:suppressLineNumbers w:val="0"/>
                    <w:spacing w:before="0" w:beforeAutospacing="0" w:after="0" w:afterAutospacing="0"/>
                    <w:ind w:left="0" w:right="0"/>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排放源</w:t>
                  </w:r>
                </w:p>
              </w:tc>
              <w:tc>
                <w:tcPr>
                  <w:tcW w:w="1141" w:type="pct"/>
                  <w:noWrap w:val="0"/>
                  <w:vAlign w:val="center"/>
                </w:tcPr>
                <w:p w14:paraId="57EA6AC8">
                  <w:pPr>
                    <w:pStyle w:val="71"/>
                    <w:keepNext w:val="0"/>
                    <w:keepLines w:val="0"/>
                    <w:suppressLineNumbers w:val="0"/>
                    <w:spacing w:before="0" w:beforeAutospacing="0" w:after="0" w:afterAutospacing="0"/>
                    <w:ind w:left="0" w:right="0"/>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非正常排放原因</w:t>
                  </w:r>
                </w:p>
              </w:tc>
              <w:tc>
                <w:tcPr>
                  <w:tcW w:w="565" w:type="pct"/>
                  <w:noWrap w:val="0"/>
                  <w:vAlign w:val="center"/>
                </w:tcPr>
                <w:p w14:paraId="344E3560">
                  <w:pPr>
                    <w:pStyle w:val="71"/>
                    <w:keepNext w:val="0"/>
                    <w:keepLines w:val="0"/>
                    <w:suppressLineNumbers w:val="0"/>
                    <w:spacing w:before="0" w:beforeAutospacing="0" w:after="0" w:afterAutospacing="0"/>
                    <w:ind w:left="0" w:right="0"/>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污染物</w:t>
                  </w:r>
                </w:p>
              </w:tc>
              <w:tc>
                <w:tcPr>
                  <w:tcW w:w="636" w:type="pct"/>
                  <w:noWrap w:val="0"/>
                  <w:vAlign w:val="center"/>
                </w:tcPr>
                <w:p w14:paraId="56F0675E">
                  <w:pPr>
                    <w:pStyle w:val="71"/>
                    <w:keepNext w:val="0"/>
                    <w:keepLines w:val="0"/>
                    <w:suppressLineNumbers w:val="0"/>
                    <w:spacing w:before="0" w:beforeAutospacing="0" w:after="0" w:afterAutospacing="0"/>
                    <w:ind w:left="0" w:right="0"/>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非正常排放速率/（kg/h）</w:t>
                  </w:r>
                </w:p>
              </w:tc>
              <w:tc>
                <w:tcPr>
                  <w:tcW w:w="754" w:type="pct"/>
                  <w:noWrap w:val="0"/>
                  <w:vAlign w:val="center"/>
                </w:tcPr>
                <w:p w14:paraId="41C7D0BE">
                  <w:pPr>
                    <w:pStyle w:val="71"/>
                    <w:keepNext w:val="0"/>
                    <w:keepLines w:val="0"/>
                    <w:suppressLineNumbers w:val="0"/>
                    <w:spacing w:before="0" w:beforeAutospacing="0" w:after="0" w:afterAutospacing="0"/>
                    <w:ind w:left="0" w:right="0"/>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非正常排放浓度/（mg/m</w:t>
                  </w:r>
                  <w:r>
                    <w:rPr>
                      <w:rFonts w:ascii="Times New Roman" w:hAnsi="Times New Roman" w:eastAsia="宋体" w:cs="Times New Roman"/>
                      <w:b/>
                      <w:bCs/>
                      <w:color w:val="auto"/>
                      <w:kern w:val="0"/>
                      <w:szCs w:val="21"/>
                      <w:vertAlign w:val="superscript"/>
                    </w:rPr>
                    <w:t>3</w:t>
                  </w:r>
                  <w:r>
                    <w:rPr>
                      <w:rFonts w:ascii="Times New Roman" w:hAnsi="Times New Roman" w:eastAsia="宋体" w:cs="Times New Roman"/>
                      <w:b/>
                      <w:bCs/>
                      <w:color w:val="auto"/>
                      <w:kern w:val="0"/>
                      <w:szCs w:val="21"/>
                    </w:rPr>
                    <w:t>）</w:t>
                  </w:r>
                </w:p>
              </w:tc>
              <w:tc>
                <w:tcPr>
                  <w:tcW w:w="542" w:type="pct"/>
                  <w:noWrap w:val="0"/>
                  <w:vAlign w:val="center"/>
                </w:tcPr>
                <w:p w14:paraId="68651E27">
                  <w:pPr>
                    <w:pStyle w:val="71"/>
                    <w:keepNext w:val="0"/>
                    <w:keepLines w:val="0"/>
                    <w:suppressLineNumbers w:val="0"/>
                    <w:spacing w:before="0" w:beforeAutospacing="0" w:after="0" w:afterAutospacing="0"/>
                    <w:ind w:left="0" w:right="0"/>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单次持续时间/h</w:t>
                  </w:r>
                </w:p>
              </w:tc>
              <w:tc>
                <w:tcPr>
                  <w:tcW w:w="569" w:type="pct"/>
                  <w:noWrap w:val="0"/>
                  <w:vAlign w:val="center"/>
                </w:tcPr>
                <w:p w14:paraId="467CE07C">
                  <w:pPr>
                    <w:pStyle w:val="71"/>
                    <w:keepNext w:val="0"/>
                    <w:keepLines w:val="0"/>
                    <w:suppressLineNumbers w:val="0"/>
                    <w:spacing w:before="0" w:beforeAutospacing="0" w:after="0" w:afterAutospacing="0"/>
                    <w:ind w:left="0" w:right="0"/>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年发生频次/（次/年）</w:t>
                  </w:r>
                </w:p>
              </w:tc>
            </w:tr>
            <w:tr w14:paraId="6EB6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90" w:type="pct"/>
                  <w:vMerge w:val="restart"/>
                  <w:noWrap w:val="0"/>
                  <w:vAlign w:val="center"/>
                </w:tcPr>
                <w:p w14:paraId="4576548B">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排气筒（DA001）</w:t>
                  </w:r>
                </w:p>
              </w:tc>
              <w:tc>
                <w:tcPr>
                  <w:tcW w:w="1141" w:type="pct"/>
                  <w:vMerge w:val="restart"/>
                  <w:noWrap w:val="0"/>
                  <w:vAlign w:val="center"/>
                </w:tcPr>
                <w:p w14:paraId="146D4067">
                  <w:pPr>
                    <w:pStyle w:val="71"/>
                    <w:keepNext w:val="0"/>
                    <w:keepLines w:val="0"/>
                    <w:suppressLineNumbers w:val="0"/>
                    <w:spacing w:before="0" w:beforeAutospacing="0" w:after="0" w:afterAutospacing="0"/>
                    <w:ind w:left="0" w:right="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生物除臭塔</w:t>
                  </w:r>
                </w:p>
                <w:p w14:paraId="58A6A371">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发生故障</w:t>
                  </w:r>
                </w:p>
                <w:p w14:paraId="7A26C082">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（净化效率为</w:t>
                  </w:r>
                  <w:r>
                    <w:rPr>
                      <w:rFonts w:hint="eastAsia" w:ascii="Times New Roman" w:hAnsi="Times New Roman" w:eastAsia="宋体" w:cs="Times New Roman"/>
                      <w:color w:val="auto"/>
                      <w:kern w:val="0"/>
                      <w:szCs w:val="21"/>
                    </w:rPr>
                    <w:t>20%</w:t>
                  </w:r>
                  <w:r>
                    <w:rPr>
                      <w:rFonts w:ascii="Times New Roman" w:hAnsi="Times New Roman" w:eastAsia="宋体" w:cs="Times New Roman"/>
                      <w:color w:val="auto"/>
                      <w:kern w:val="0"/>
                      <w:szCs w:val="21"/>
                    </w:rPr>
                    <w:t>）</w:t>
                  </w:r>
                </w:p>
              </w:tc>
              <w:tc>
                <w:tcPr>
                  <w:tcW w:w="981" w:type="dxa"/>
                  <w:noWrap w:val="0"/>
                  <w:vAlign w:val="center"/>
                </w:tcPr>
                <w:p w14:paraId="4E87EA34">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p>
              </w:tc>
              <w:tc>
                <w:tcPr>
                  <w:tcW w:w="636" w:type="pct"/>
                  <w:noWrap w:val="0"/>
                  <w:vAlign w:val="center"/>
                </w:tcPr>
                <w:p w14:paraId="43D57827">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0.161</w:t>
                  </w:r>
                </w:p>
              </w:tc>
              <w:tc>
                <w:tcPr>
                  <w:tcW w:w="754" w:type="pct"/>
                  <w:noWrap w:val="0"/>
                  <w:vAlign w:val="center"/>
                </w:tcPr>
                <w:p w14:paraId="3218F79E">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20.08</w:t>
                  </w:r>
                </w:p>
              </w:tc>
              <w:tc>
                <w:tcPr>
                  <w:tcW w:w="542" w:type="pct"/>
                  <w:vMerge w:val="restart"/>
                  <w:noWrap w:val="0"/>
                  <w:vAlign w:val="center"/>
                </w:tcPr>
                <w:p w14:paraId="70885EBC">
                  <w:pPr>
                    <w:pStyle w:val="71"/>
                    <w:keepNext w:val="0"/>
                    <w:keepLines w:val="0"/>
                    <w:suppressLineNumbers w:val="0"/>
                    <w:spacing w:before="0" w:beforeAutospacing="0" w:after="0" w:afterAutospacing="0"/>
                    <w:ind w:left="0" w:right="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w:t>
                  </w:r>
                </w:p>
              </w:tc>
              <w:tc>
                <w:tcPr>
                  <w:tcW w:w="569" w:type="pct"/>
                  <w:vMerge w:val="restart"/>
                  <w:noWrap w:val="0"/>
                  <w:vAlign w:val="center"/>
                </w:tcPr>
                <w:p w14:paraId="11679371">
                  <w:pPr>
                    <w:pStyle w:val="71"/>
                    <w:keepNext w:val="0"/>
                    <w:keepLines w:val="0"/>
                    <w:suppressLineNumbers w:val="0"/>
                    <w:spacing w:before="0" w:beforeAutospacing="0" w:after="0" w:afterAutospacing="0"/>
                    <w:ind w:left="0" w:right="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w:t>
                  </w:r>
                </w:p>
              </w:tc>
            </w:tr>
            <w:tr w14:paraId="1798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90" w:type="pct"/>
                  <w:vMerge w:val="continue"/>
                  <w:noWrap w:val="0"/>
                  <w:vAlign w:val="center"/>
                </w:tcPr>
                <w:p w14:paraId="13DAD702">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p>
              </w:tc>
              <w:tc>
                <w:tcPr>
                  <w:tcW w:w="1141" w:type="pct"/>
                  <w:vMerge w:val="continue"/>
                  <w:noWrap w:val="0"/>
                  <w:vAlign w:val="center"/>
                </w:tcPr>
                <w:p w14:paraId="4368FD1B">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p>
              </w:tc>
              <w:tc>
                <w:tcPr>
                  <w:tcW w:w="981" w:type="dxa"/>
                  <w:noWrap w:val="0"/>
                  <w:vAlign w:val="center"/>
                </w:tcPr>
                <w:p w14:paraId="538D44F8">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636" w:type="pct"/>
                  <w:noWrap w:val="0"/>
                  <w:vAlign w:val="center"/>
                </w:tcPr>
                <w:p w14:paraId="51CCD8B3">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0.016</w:t>
                  </w:r>
                </w:p>
              </w:tc>
              <w:tc>
                <w:tcPr>
                  <w:tcW w:w="754" w:type="pct"/>
                  <w:noWrap w:val="0"/>
                  <w:vAlign w:val="center"/>
                </w:tcPr>
                <w:p w14:paraId="070B4913">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2.012</w:t>
                  </w:r>
                </w:p>
              </w:tc>
              <w:tc>
                <w:tcPr>
                  <w:tcW w:w="542" w:type="pct"/>
                  <w:vMerge w:val="continue"/>
                  <w:noWrap w:val="0"/>
                  <w:vAlign w:val="center"/>
                </w:tcPr>
                <w:p w14:paraId="563AB2FF">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p>
              </w:tc>
              <w:tc>
                <w:tcPr>
                  <w:tcW w:w="569" w:type="pct"/>
                  <w:vMerge w:val="continue"/>
                  <w:noWrap w:val="0"/>
                  <w:vAlign w:val="center"/>
                </w:tcPr>
                <w:p w14:paraId="4348E251">
                  <w:pPr>
                    <w:pStyle w:val="71"/>
                    <w:keepNext w:val="0"/>
                    <w:keepLines w:val="0"/>
                    <w:suppressLineNumbers w:val="0"/>
                    <w:spacing w:before="0" w:beforeAutospacing="0" w:after="0" w:afterAutospacing="0"/>
                    <w:ind w:left="0" w:right="0"/>
                    <w:rPr>
                      <w:rFonts w:ascii="Times New Roman" w:hAnsi="Times New Roman" w:eastAsia="宋体" w:cs="Times New Roman"/>
                      <w:color w:val="auto"/>
                      <w:kern w:val="0"/>
                      <w:szCs w:val="21"/>
                    </w:rPr>
                  </w:pPr>
                </w:p>
              </w:tc>
            </w:tr>
          </w:tbl>
          <w:p w14:paraId="5E59F5C8">
            <w:pPr>
              <w:pStyle w:val="44"/>
              <w:keepNext w:val="0"/>
              <w:keepLines w:val="0"/>
              <w:suppressLineNumbers w:val="0"/>
              <w:spacing w:before="0" w:beforeAutospacing="0" w:after="0" w:afterAutospacing="0" w:line="360" w:lineRule="auto"/>
              <w:ind w:left="0" w:right="0" w:firstLine="482"/>
              <w:jc w:val="both"/>
              <w:rPr>
                <w:rFonts w:hint="eastAsia" w:ascii="Calibri" w:hAnsi="Calibri" w:eastAsia="宋体" w:cs="Times New Roman"/>
                <w:color w:val="auto"/>
              </w:rPr>
            </w:pPr>
            <w:r>
              <w:rPr>
                <w:rFonts w:hint="eastAsia" w:ascii="Calibri" w:hAnsi="Calibri" w:eastAsia="宋体" w:cs="Times New Roman"/>
                <w:b/>
                <w:color w:val="auto"/>
              </w:rPr>
              <w:t>5、</w:t>
            </w:r>
            <w:r>
              <w:rPr>
                <w:rFonts w:hint="eastAsia" w:ascii="Calibri" w:hAnsi="Calibri" w:eastAsia="宋体" w:cs="Times New Roman"/>
                <w:b/>
                <w:bCs/>
                <w:color w:val="auto"/>
              </w:rPr>
              <w:t>大气污染物排放量核算</w:t>
            </w:r>
          </w:p>
          <w:p w14:paraId="7590B16A">
            <w:pPr>
              <w:pStyle w:val="44"/>
              <w:keepNext w:val="0"/>
              <w:keepLines w:val="0"/>
              <w:suppressLineNumbers w:val="0"/>
              <w:spacing w:before="0" w:beforeAutospacing="0" w:after="0" w:afterAutospacing="0" w:line="360" w:lineRule="auto"/>
              <w:ind w:left="0" w:right="0" w:firstLine="480"/>
              <w:jc w:val="both"/>
              <w:rPr>
                <w:rFonts w:hint="eastAsia" w:ascii="Calibri" w:hAnsi="Calibri" w:eastAsia="宋体" w:cs="Times New Roman"/>
                <w:color w:val="auto"/>
              </w:rPr>
            </w:pPr>
            <w:r>
              <w:rPr>
                <w:rFonts w:ascii="Times New Roman" w:hAnsi="Times New Roman" w:eastAsia="宋体" w:cs="Times New Roman"/>
                <w:bCs/>
                <w:color w:val="auto"/>
                <w:lang w:bidi="ar"/>
              </w:rPr>
              <w:t>项目有组织排放量核算情况详见表4-</w:t>
            </w:r>
            <w:r>
              <w:rPr>
                <w:rFonts w:hint="eastAsia" w:ascii="Times New Roman" w:hAnsi="Times New Roman" w:eastAsia="宋体" w:cs="Times New Roman"/>
                <w:bCs/>
                <w:color w:val="auto"/>
                <w:lang w:bidi="ar"/>
              </w:rPr>
              <w:t>6</w:t>
            </w:r>
            <w:r>
              <w:rPr>
                <w:rFonts w:ascii="Times New Roman" w:hAnsi="Times New Roman" w:eastAsia="宋体" w:cs="Times New Roman"/>
                <w:bCs/>
                <w:color w:val="auto"/>
                <w:lang w:bidi="ar"/>
              </w:rPr>
              <w:t>，</w:t>
            </w:r>
            <w:r>
              <w:rPr>
                <w:rFonts w:hint="eastAsia" w:ascii="Times New Roman" w:hAnsi="Times New Roman" w:eastAsia="宋体" w:cs="Times New Roman"/>
                <w:bCs/>
                <w:color w:val="auto"/>
                <w:lang w:bidi="ar"/>
              </w:rPr>
              <w:t>无组织排放量核算情况详见表4-7，年排放核算详见表4-8</w:t>
            </w:r>
            <w:r>
              <w:rPr>
                <w:rFonts w:ascii="Times New Roman" w:hAnsi="Times New Roman" w:eastAsia="宋体" w:cs="Times New Roman"/>
                <w:bCs/>
                <w:color w:val="auto"/>
                <w:lang w:bidi="ar"/>
              </w:rPr>
              <w:t>。</w:t>
            </w:r>
          </w:p>
          <w:p w14:paraId="4EAB3D8E">
            <w:pPr>
              <w:pStyle w:val="117"/>
              <w:keepNext w:val="0"/>
              <w:keepLines w:val="0"/>
              <w:pageBreakBefore/>
              <w:suppressLineNumbers w:val="0"/>
              <w:spacing w:before="0" w:beforeAutospacing="0" w:after="0" w:afterAutospacing="0"/>
              <w:ind w:left="0" w:right="0"/>
              <w:rPr>
                <w:rFonts w:ascii="Times New Roman" w:hAnsi="Times New Roman" w:eastAsia="宋体" w:cs="Times New Roman"/>
                <w:color w:val="auto"/>
                <w:sz w:val="24"/>
              </w:rPr>
            </w:pPr>
            <w:r>
              <w:rPr>
                <w:rFonts w:ascii="Times New Roman" w:hAnsi="Times New Roman" w:eastAsia="宋体" w:cs="Times New Roman"/>
                <w:color w:val="auto"/>
                <w:sz w:val="24"/>
              </w:rPr>
              <w:t>表4-</w:t>
            </w:r>
            <w:r>
              <w:rPr>
                <w:rFonts w:hint="eastAsia" w:ascii="Times New Roman" w:hAnsi="Times New Roman" w:eastAsia="宋体" w:cs="Times New Roman"/>
                <w:color w:val="auto"/>
                <w:sz w:val="24"/>
              </w:rPr>
              <w:t>56</w:t>
            </w:r>
            <w:r>
              <w:rPr>
                <w:rFonts w:ascii="Times New Roman" w:hAnsi="Times New Roman" w:eastAsia="宋体" w:cs="Times New Roman"/>
                <w:color w:val="auto"/>
                <w:sz w:val="24"/>
              </w:rPr>
              <w:t xml:space="preserve"> 项目大气污染物有组织排放核算表</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186"/>
              <w:gridCol w:w="1301"/>
              <w:gridCol w:w="1854"/>
              <w:gridCol w:w="1568"/>
              <w:gridCol w:w="2148"/>
            </w:tblGrid>
            <w:tr w14:paraId="6A2B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4" w:type="pct"/>
                  <w:noWrap w:val="0"/>
                  <w:vAlign w:val="center"/>
                </w:tcPr>
                <w:p w14:paraId="24D03405">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683" w:type="pct"/>
                  <w:noWrap w:val="0"/>
                  <w:tcMar>
                    <w:top w:w="0" w:type="dxa"/>
                    <w:left w:w="0" w:type="dxa"/>
                    <w:bottom w:w="0" w:type="dxa"/>
                    <w:right w:w="0" w:type="dxa"/>
                  </w:tcMar>
                  <w:vAlign w:val="center"/>
                </w:tcPr>
                <w:p w14:paraId="00408FCA">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排放口编号</w:t>
                  </w:r>
                </w:p>
              </w:tc>
              <w:tc>
                <w:tcPr>
                  <w:tcW w:w="750" w:type="pct"/>
                  <w:noWrap w:val="0"/>
                  <w:vAlign w:val="center"/>
                </w:tcPr>
                <w:p w14:paraId="35AB8253">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污染物</w:t>
                  </w:r>
                </w:p>
              </w:tc>
              <w:tc>
                <w:tcPr>
                  <w:tcW w:w="1069" w:type="pct"/>
                  <w:noWrap w:val="0"/>
                  <w:vAlign w:val="center"/>
                </w:tcPr>
                <w:p w14:paraId="628058DE">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核算排放浓度（mg/m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p>
              </w:tc>
              <w:tc>
                <w:tcPr>
                  <w:tcW w:w="904" w:type="pct"/>
                  <w:noWrap w:val="0"/>
                  <w:vAlign w:val="center"/>
                </w:tcPr>
                <w:p w14:paraId="592C561C">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核算排放速率（kg/h）</w:t>
                  </w:r>
                </w:p>
              </w:tc>
              <w:tc>
                <w:tcPr>
                  <w:tcW w:w="1238" w:type="pct"/>
                  <w:noWrap w:val="0"/>
                  <w:vAlign w:val="center"/>
                </w:tcPr>
                <w:p w14:paraId="3DAC0C71">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核算年排放量（t/a）</w:t>
                  </w:r>
                </w:p>
              </w:tc>
            </w:tr>
            <w:tr w14:paraId="67D7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4" w:type="pct"/>
                  <w:noWrap w:val="0"/>
                  <w:vAlign w:val="center"/>
                </w:tcPr>
                <w:p w14:paraId="7F2BA7F8">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683" w:type="pct"/>
                  <w:vMerge w:val="restart"/>
                  <w:noWrap w:val="0"/>
                  <w:vAlign w:val="center"/>
                </w:tcPr>
                <w:p w14:paraId="72380931">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DA001</w:t>
                  </w:r>
                </w:p>
              </w:tc>
              <w:tc>
                <w:tcPr>
                  <w:tcW w:w="750" w:type="pct"/>
                  <w:noWrap w:val="0"/>
                  <w:vAlign w:val="center"/>
                </w:tcPr>
                <w:p w14:paraId="58450115">
                  <w:pPr>
                    <w:pStyle w:val="60"/>
                    <w:keepNext w:val="0"/>
                    <w:keepLines w:val="0"/>
                    <w:suppressLineNumbers w:val="0"/>
                    <w:spacing w:before="24" w:beforeAutospacing="0" w:after="24" w:afterAutospacing="0"/>
                    <w:ind w:left="0" w:right="0"/>
                    <w:rPr>
                      <w:rFonts w:ascii="Times New Roman" w:hAnsi="Times New Roman" w:eastAsia="黑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p>
              </w:tc>
              <w:tc>
                <w:tcPr>
                  <w:tcW w:w="1069" w:type="pct"/>
                  <w:noWrap w:val="0"/>
                  <w:vAlign w:val="center"/>
                </w:tcPr>
                <w:p w14:paraId="4865C4D5">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bCs/>
                      <w:color w:val="auto"/>
                      <w:sz w:val="21"/>
                      <w:szCs w:val="21"/>
                    </w:rPr>
                    <w:t>3.04</w:t>
                  </w:r>
                </w:p>
              </w:tc>
              <w:tc>
                <w:tcPr>
                  <w:tcW w:w="904" w:type="pct"/>
                  <w:noWrap w:val="0"/>
                  <w:vAlign w:val="center"/>
                </w:tcPr>
                <w:p w14:paraId="3939263E">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黑体" w:cs="Times New Roman"/>
                      <w:color w:val="auto"/>
                      <w:kern w:val="0"/>
                      <w:sz w:val="21"/>
                      <w:szCs w:val="21"/>
                    </w:rPr>
                  </w:pPr>
                  <w:r>
                    <w:rPr>
                      <w:rFonts w:hint="eastAsia" w:ascii="Times New Roman" w:hAnsi="Times New Roman" w:eastAsia="宋体" w:cs="Times New Roman"/>
                      <w:bCs/>
                      <w:color w:val="auto"/>
                      <w:sz w:val="21"/>
                      <w:szCs w:val="21"/>
                    </w:rPr>
                    <w:t>0.024</w:t>
                  </w:r>
                </w:p>
              </w:tc>
              <w:tc>
                <w:tcPr>
                  <w:tcW w:w="1238" w:type="pct"/>
                  <w:noWrap w:val="0"/>
                  <w:vAlign w:val="center"/>
                </w:tcPr>
                <w:p w14:paraId="3A6FAB43">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bCs/>
                      <w:color w:val="auto"/>
                      <w:sz w:val="21"/>
                      <w:szCs w:val="21"/>
                    </w:rPr>
                    <w:t>0.175</w:t>
                  </w:r>
                </w:p>
              </w:tc>
            </w:tr>
            <w:tr w14:paraId="56CA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4" w:type="pct"/>
                  <w:noWrap w:val="0"/>
                  <w:vAlign w:val="center"/>
                </w:tcPr>
                <w:p w14:paraId="161828BC">
                  <w:pPr>
                    <w:pStyle w:val="60"/>
                    <w:keepNext w:val="0"/>
                    <w:keepLines w:val="0"/>
                    <w:suppressLineNumbers w:val="0"/>
                    <w:spacing w:before="24" w:beforeAutospacing="0" w:after="24" w:afterAutospacing="0" w:line="240" w:lineRule="exact"/>
                    <w:ind w:left="0" w:right="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683" w:type="pct"/>
                  <w:vMerge w:val="continue"/>
                  <w:noWrap w:val="0"/>
                  <w:vAlign w:val="center"/>
                </w:tcPr>
                <w:p w14:paraId="6C583814">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750" w:type="pct"/>
                  <w:noWrap w:val="0"/>
                  <w:vAlign w:val="center"/>
                </w:tcPr>
                <w:p w14:paraId="484C2518">
                  <w:pPr>
                    <w:pStyle w:val="60"/>
                    <w:keepNext w:val="0"/>
                    <w:keepLines w:val="0"/>
                    <w:suppressLineNumbers w:val="0"/>
                    <w:spacing w:before="24" w:beforeAutospacing="0" w:after="24" w:afterAutospacing="0"/>
                    <w:ind w:left="0" w:right="0"/>
                    <w:rPr>
                      <w:rFonts w:ascii="Times New Roman" w:hAnsi="Times New Roman" w:eastAsia="宋体" w:cs="Times New Roman"/>
                      <w:color w:val="auto"/>
                      <w:sz w:val="20"/>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1069" w:type="pct"/>
                  <w:noWrap w:val="0"/>
                  <w:vAlign w:val="center"/>
                </w:tcPr>
                <w:p w14:paraId="6B5F80AA">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0.30</w:t>
                  </w:r>
                </w:p>
              </w:tc>
              <w:tc>
                <w:tcPr>
                  <w:tcW w:w="904" w:type="pct"/>
                  <w:noWrap w:val="0"/>
                  <w:vAlign w:val="center"/>
                </w:tcPr>
                <w:p w14:paraId="7B4C8236">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0.002</w:t>
                  </w:r>
                </w:p>
              </w:tc>
              <w:tc>
                <w:tcPr>
                  <w:tcW w:w="1238" w:type="pct"/>
                  <w:noWrap w:val="0"/>
                  <w:vAlign w:val="center"/>
                </w:tcPr>
                <w:p w14:paraId="73B60764">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0.018</w:t>
                  </w:r>
                </w:p>
              </w:tc>
            </w:tr>
            <w:tr w14:paraId="5DAE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6"/>
                  <w:noWrap w:val="0"/>
                  <w:vAlign w:val="center"/>
                </w:tcPr>
                <w:p w14:paraId="3D452181">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有组织排放合计</w:t>
                  </w:r>
                </w:p>
              </w:tc>
            </w:tr>
            <w:tr w14:paraId="6CC7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8" w:type="pct"/>
                  <w:gridSpan w:val="2"/>
                  <w:vMerge w:val="restart"/>
                  <w:noWrap w:val="0"/>
                  <w:vAlign w:val="center"/>
                </w:tcPr>
                <w:p w14:paraId="17F69D7C">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有组织排放合计</w:t>
                  </w:r>
                </w:p>
              </w:tc>
              <w:tc>
                <w:tcPr>
                  <w:tcW w:w="2723" w:type="pct"/>
                  <w:gridSpan w:val="3"/>
                  <w:noWrap w:val="0"/>
                  <w:vAlign w:val="center"/>
                </w:tcPr>
                <w:p w14:paraId="6B0737AF">
                  <w:pPr>
                    <w:pStyle w:val="60"/>
                    <w:keepNext w:val="0"/>
                    <w:keepLines w:val="0"/>
                    <w:suppressLineNumbers w:val="0"/>
                    <w:spacing w:before="24" w:beforeAutospacing="0" w:after="24" w:afterAutospacing="0"/>
                    <w:ind w:left="0" w:right="0"/>
                    <w:rPr>
                      <w:rFonts w:ascii="Times New Roman" w:hAnsi="Times New Roman" w:eastAsia="黑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p>
              </w:tc>
              <w:tc>
                <w:tcPr>
                  <w:tcW w:w="1238" w:type="pct"/>
                  <w:noWrap w:val="0"/>
                  <w:vAlign w:val="center"/>
                </w:tcPr>
                <w:p w14:paraId="2E5114E6">
                  <w:pPr>
                    <w:pStyle w:val="44"/>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bCs/>
                      <w:color w:val="auto"/>
                      <w:sz w:val="21"/>
                      <w:szCs w:val="21"/>
                    </w:rPr>
                    <w:t>0.175</w:t>
                  </w:r>
                </w:p>
              </w:tc>
            </w:tr>
            <w:tr w14:paraId="0E00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8" w:type="pct"/>
                  <w:gridSpan w:val="2"/>
                  <w:vMerge w:val="continue"/>
                  <w:noWrap w:val="0"/>
                  <w:vAlign w:val="center"/>
                </w:tcPr>
                <w:p w14:paraId="631B6F18">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2723" w:type="pct"/>
                  <w:gridSpan w:val="3"/>
                  <w:noWrap w:val="0"/>
                  <w:vAlign w:val="center"/>
                </w:tcPr>
                <w:p w14:paraId="23B75095">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1238" w:type="pct"/>
                  <w:noWrap w:val="0"/>
                  <w:vAlign w:val="center"/>
                </w:tcPr>
                <w:p w14:paraId="17D0E125">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0.018</w:t>
                  </w:r>
                </w:p>
              </w:tc>
            </w:tr>
          </w:tbl>
          <w:p w14:paraId="4C99B3F1">
            <w:pPr>
              <w:pStyle w:val="117"/>
              <w:keepNext w:val="0"/>
              <w:keepLines w:val="0"/>
              <w:pageBreakBefore/>
              <w:suppressLineNumbers w:val="0"/>
              <w:spacing w:before="0" w:beforeAutospacing="0" w:after="0" w:afterAutospacing="0"/>
              <w:ind w:left="0" w:right="0"/>
              <w:rPr>
                <w:rFonts w:ascii="Calibri" w:hAnsi="Calibri" w:eastAsia="宋体" w:cs="Times New Roman"/>
                <w:color w:val="auto"/>
                <w:sz w:val="24"/>
              </w:rPr>
            </w:pPr>
            <w:r>
              <w:rPr>
                <w:rFonts w:hint="eastAsia" w:ascii="Calibri" w:hAnsi="Calibri" w:eastAsia="宋体" w:cs="Times New Roman"/>
                <w:color w:val="auto"/>
                <w:sz w:val="24"/>
              </w:rPr>
              <w:t>表4-7 项目大气污染物无组织排放量核算表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762"/>
              <w:gridCol w:w="1039"/>
              <w:gridCol w:w="871"/>
              <w:gridCol w:w="1397"/>
              <w:gridCol w:w="1947"/>
              <w:gridCol w:w="1235"/>
              <w:gridCol w:w="956"/>
            </w:tblGrid>
            <w:tr w14:paraId="0BDC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0" w:type="pct"/>
                  <w:vMerge w:val="restart"/>
                  <w:noWrap w:val="0"/>
                  <w:tcMar>
                    <w:left w:w="0" w:type="dxa"/>
                    <w:right w:w="0" w:type="dxa"/>
                  </w:tcMar>
                  <w:vAlign w:val="center"/>
                </w:tcPr>
                <w:p w14:paraId="50CB3448">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序号</w:t>
                  </w:r>
                </w:p>
              </w:tc>
              <w:tc>
                <w:tcPr>
                  <w:tcW w:w="439" w:type="pct"/>
                  <w:vMerge w:val="restart"/>
                  <w:noWrap w:val="0"/>
                  <w:tcMar>
                    <w:top w:w="0" w:type="dxa"/>
                    <w:left w:w="0" w:type="dxa"/>
                    <w:bottom w:w="0" w:type="dxa"/>
                    <w:right w:w="0" w:type="dxa"/>
                  </w:tcMar>
                  <w:vAlign w:val="center"/>
                </w:tcPr>
                <w:p w14:paraId="4EBDD742">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排放口编号</w:t>
                  </w:r>
                </w:p>
              </w:tc>
              <w:tc>
                <w:tcPr>
                  <w:tcW w:w="598" w:type="pct"/>
                  <w:vMerge w:val="restart"/>
                  <w:noWrap w:val="0"/>
                  <w:tcMar>
                    <w:top w:w="0" w:type="dxa"/>
                    <w:left w:w="0" w:type="dxa"/>
                    <w:bottom w:w="0" w:type="dxa"/>
                    <w:right w:w="0" w:type="dxa"/>
                  </w:tcMar>
                  <w:vAlign w:val="center"/>
                </w:tcPr>
                <w:p w14:paraId="5D32C9C9">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产污环节</w:t>
                  </w:r>
                </w:p>
              </w:tc>
              <w:tc>
                <w:tcPr>
                  <w:tcW w:w="502" w:type="pct"/>
                  <w:vMerge w:val="restart"/>
                  <w:noWrap w:val="0"/>
                  <w:tcMar>
                    <w:left w:w="0" w:type="dxa"/>
                    <w:right w:w="0" w:type="dxa"/>
                  </w:tcMar>
                  <w:vAlign w:val="center"/>
                </w:tcPr>
                <w:p w14:paraId="68CDBB26">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w:t>
                  </w:r>
                </w:p>
              </w:tc>
              <w:tc>
                <w:tcPr>
                  <w:tcW w:w="805" w:type="pct"/>
                  <w:vMerge w:val="restart"/>
                  <w:noWrap w:val="0"/>
                  <w:tcMar>
                    <w:left w:w="0" w:type="dxa"/>
                    <w:right w:w="0" w:type="dxa"/>
                  </w:tcMar>
                  <w:vAlign w:val="center"/>
                </w:tcPr>
                <w:p w14:paraId="0D910718">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主要污染防治措施</w:t>
                  </w:r>
                </w:p>
              </w:tc>
              <w:tc>
                <w:tcPr>
                  <w:tcW w:w="1834" w:type="pct"/>
                  <w:gridSpan w:val="2"/>
                  <w:noWrap w:val="0"/>
                  <w:tcMar>
                    <w:left w:w="0" w:type="dxa"/>
                    <w:right w:w="0" w:type="dxa"/>
                  </w:tcMar>
                  <w:vAlign w:val="center"/>
                </w:tcPr>
                <w:p w14:paraId="761AB151">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国家或地方污染物排放标准</w:t>
                  </w:r>
                </w:p>
              </w:tc>
              <w:tc>
                <w:tcPr>
                  <w:tcW w:w="549" w:type="pct"/>
                  <w:vMerge w:val="restart"/>
                  <w:noWrap w:val="0"/>
                  <w:tcMar>
                    <w:left w:w="0" w:type="dxa"/>
                    <w:right w:w="0" w:type="dxa"/>
                  </w:tcMar>
                  <w:vAlign w:val="center"/>
                </w:tcPr>
                <w:p w14:paraId="4242FFE9">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年排放量（t/a）</w:t>
                  </w:r>
                </w:p>
              </w:tc>
            </w:tr>
            <w:tr w14:paraId="3B45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0" w:type="pct"/>
                  <w:vMerge w:val="continue"/>
                  <w:noWrap w:val="0"/>
                  <w:tcMar>
                    <w:left w:w="0" w:type="dxa"/>
                    <w:right w:w="0" w:type="dxa"/>
                  </w:tcMar>
                  <w:vAlign w:val="center"/>
                </w:tcPr>
                <w:p w14:paraId="7DEE8F82">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439" w:type="pct"/>
                  <w:vMerge w:val="continue"/>
                  <w:noWrap w:val="0"/>
                  <w:tcMar>
                    <w:left w:w="0" w:type="dxa"/>
                    <w:right w:w="0" w:type="dxa"/>
                  </w:tcMar>
                  <w:vAlign w:val="center"/>
                </w:tcPr>
                <w:p w14:paraId="5CA2505E">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598" w:type="pct"/>
                  <w:vMerge w:val="continue"/>
                  <w:noWrap w:val="0"/>
                  <w:tcMar>
                    <w:top w:w="0" w:type="dxa"/>
                    <w:left w:w="0" w:type="dxa"/>
                    <w:bottom w:w="0" w:type="dxa"/>
                    <w:right w:w="0" w:type="dxa"/>
                  </w:tcMar>
                  <w:vAlign w:val="center"/>
                </w:tcPr>
                <w:p w14:paraId="094CAE21">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502" w:type="pct"/>
                  <w:vMerge w:val="continue"/>
                  <w:noWrap w:val="0"/>
                  <w:tcMar>
                    <w:left w:w="0" w:type="dxa"/>
                    <w:right w:w="0" w:type="dxa"/>
                  </w:tcMar>
                  <w:vAlign w:val="center"/>
                </w:tcPr>
                <w:p w14:paraId="77BB1095">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805" w:type="pct"/>
                  <w:vMerge w:val="continue"/>
                  <w:noWrap w:val="0"/>
                  <w:tcMar>
                    <w:left w:w="0" w:type="dxa"/>
                    <w:right w:w="0" w:type="dxa"/>
                  </w:tcMar>
                  <w:vAlign w:val="center"/>
                </w:tcPr>
                <w:p w14:paraId="4C07DD22">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1122" w:type="pct"/>
                  <w:noWrap w:val="0"/>
                  <w:tcMar>
                    <w:left w:w="0" w:type="dxa"/>
                    <w:right w:w="0" w:type="dxa"/>
                  </w:tcMar>
                  <w:vAlign w:val="center"/>
                </w:tcPr>
                <w:p w14:paraId="5399F7FD">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标准名称</w:t>
                  </w:r>
                </w:p>
              </w:tc>
              <w:tc>
                <w:tcPr>
                  <w:tcW w:w="711" w:type="pct"/>
                  <w:noWrap w:val="0"/>
                  <w:tcMar>
                    <w:left w:w="0" w:type="dxa"/>
                    <w:right w:w="0" w:type="dxa"/>
                  </w:tcMar>
                  <w:vAlign w:val="center"/>
                </w:tcPr>
                <w:p w14:paraId="1793C01D">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污染物排放标准</w:t>
                  </w:r>
                </w:p>
              </w:tc>
              <w:tc>
                <w:tcPr>
                  <w:tcW w:w="549" w:type="pct"/>
                  <w:vMerge w:val="continue"/>
                  <w:noWrap w:val="0"/>
                  <w:tcMar>
                    <w:left w:w="0" w:type="dxa"/>
                    <w:right w:w="0" w:type="dxa"/>
                  </w:tcMar>
                  <w:vAlign w:val="center"/>
                </w:tcPr>
                <w:p w14:paraId="71A6741C">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r>
            <w:tr w14:paraId="4596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0" w:type="pct"/>
                  <w:vMerge w:val="restart"/>
                  <w:noWrap w:val="0"/>
                  <w:tcMar>
                    <w:left w:w="0" w:type="dxa"/>
                    <w:right w:w="0" w:type="dxa"/>
                  </w:tcMar>
                  <w:vAlign w:val="center"/>
                </w:tcPr>
                <w:p w14:paraId="335C906F">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439" w:type="pct"/>
                  <w:vMerge w:val="restart"/>
                  <w:noWrap w:val="0"/>
                  <w:tcMar>
                    <w:left w:w="0" w:type="dxa"/>
                    <w:right w:w="0" w:type="dxa"/>
                  </w:tcMar>
                  <w:vAlign w:val="center"/>
                </w:tcPr>
                <w:p w14:paraId="1570BC30">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598" w:type="pct"/>
                  <w:vMerge w:val="restart"/>
                  <w:noWrap w:val="0"/>
                  <w:tcMar>
                    <w:top w:w="0" w:type="dxa"/>
                    <w:left w:w="0" w:type="dxa"/>
                    <w:bottom w:w="0" w:type="dxa"/>
                    <w:right w:w="0" w:type="dxa"/>
                  </w:tcMar>
                  <w:vAlign w:val="center"/>
                </w:tcPr>
                <w:p w14:paraId="4963519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发酵工序</w:t>
                  </w:r>
                </w:p>
              </w:tc>
              <w:tc>
                <w:tcPr>
                  <w:tcW w:w="502" w:type="pct"/>
                  <w:noWrap w:val="0"/>
                  <w:tcMar>
                    <w:left w:w="0" w:type="dxa"/>
                    <w:right w:w="0" w:type="dxa"/>
                  </w:tcMar>
                  <w:vAlign w:val="center"/>
                </w:tcPr>
                <w:p w14:paraId="5B995E72">
                  <w:pPr>
                    <w:pStyle w:val="60"/>
                    <w:keepNext w:val="0"/>
                    <w:keepLines w:val="0"/>
                    <w:suppressLineNumbers w:val="0"/>
                    <w:spacing w:before="24" w:beforeAutospacing="0" w:after="24" w:afterAutospacing="0"/>
                    <w:ind w:left="0" w:right="0"/>
                    <w:rPr>
                      <w:rFonts w:eastAsia="宋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p>
              </w:tc>
              <w:tc>
                <w:tcPr>
                  <w:tcW w:w="805" w:type="pct"/>
                  <w:vMerge w:val="restart"/>
                  <w:noWrap w:val="0"/>
                  <w:tcMar>
                    <w:left w:w="0" w:type="dxa"/>
                    <w:right w:w="0" w:type="dxa"/>
                  </w:tcMar>
                  <w:vAlign w:val="center"/>
                </w:tcPr>
                <w:p w14:paraId="1268C10D">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喷洒除臭剂</w:t>
                  </w:r>
                </w:p>
              </w:tc>
              <w:tc>
                <w:tcPr>
                  <w:tcW w:w="1122" w:type="pct"/>
                  <w:vMerge w:val="restart"/>
                  <w:noWrap w:val="0"/>
                  <w:tcMar>
                    <w:left w:w="0" w:type="dxa"/>
                    <w:right w:w="0" w:type="dxa"/>
                  </w:tcMar>
                  <w:vAlign w:val="center"/>
                </w:tcPr>
                <w:p w14:paraId="53075208">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GB14554-93</w:t>
                  </w:r>
                </w:p>
              </w:tc>
              <w:tc>
                <w:tcPr>
                  <w:tcW w:w="711" w:type="pct"/>
                  <w:noWrap w:val="0"/>
                  <w:tcMar>
                    <w:left w:w="0" w:type="dxa"/>
                    <w:right w:w="0" w:type="dxa"/>
                  </w:tcMar>
                  <w:vAlign w:val="center"/>
                </w:tcPr>
                <w:p w14:paraId="2A2C0590">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p>
              </w:tc>
              <w:tc>
                <w:tcPr>
                  <w:tcW w:w="956" w:type="dxa"/>
                  <w:noWrap w:val="0"/>
                  <w:tcMar>
                    <w:left w:w="0" w:type="dxa"/>
                    <w:right w:w="0" w:type="dxa"/>
                  </w:tcMar>
                  <w:vAlign w:val="center"/>
                </w:tcPr>
                <w:p w14:paraId="28EBE6F5">
                  <w:pPr>
                    <w:pStyle w:val="60"/>
                    <w:keepNext w:val="0"/>
                    <w:keepLines w:val="0"/>
                    <w:suppressLineNumbers w:val="0"/>
                    <w:spacing w:before="24" w:beforeAutospacing="0" w:after="24" w:afterAutospacing="0"/>
                    <w:ind w:left="0" w:right="0"/>
                    <w:rPr>
                      <w:rFonts w:eastAsia="宋体" w:cs="Times New Roman"/>
                      <w:color w:val="auto"/>
                      <w:szCs w:val="21"/>
                    </w:rPr>
                  </w:pPr>
                  <w:r>
                    <w:rPr>
                      <w:rFonts w:hint="eastAsia" w:ascii="Times New Roman" w:hAnsi="Times New Roman" w:eastAsia="宋体" w:cs="Times New Roman"/>
                      <w:color w:val="auto"/>
                    </w:rPr>
                    <w:t>0.024</w:t>
                  </w:r>
                </w:p>
              </w:tc>
            </w:tr>
            <w:tr w14:paraId="3FEF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70" w:type="pct"/>
                  <w:vMerge w:val="continue"/>
                  <w:noWrap w:val="0"/>
                  <w:tcMar>
                    <w:left w:w="0" w:type="dxa"/>
                    <w:right w:w="0" w:type="dxa"/>
                  </w:tcMar>
                  <w:vAlign w:val="center"/>
                </w:tcPr>
                <w:p w14:paraId="571F2745">
                  <w:pPr>
                    <w:pStyle w:val="60"/>
                    <w:keepNext w:val="0"/>
                    <w:keepLines w:val="0"/>
                    <w:suppressLineNumbers w:val="0"/>
                    <w:spacing w:before="24" w:beforeAutospacing="0" w:after="24" w:afterAutospacing="0" w:line="240" w:lineRule="exact"/>
                    <w:ind w:left="0" w:right="0"/>
                    <w:rPr>
                      <w:rFonts w:hint="eastAsia" w:ascii="Times New Roman" w:hAnsi="Times New Roman" w:eastAsia="宋体" w:cs="Times New Roman"/>
                      <w:color w:val="auto"/>
                      <w:szCs w:val="21"/>
                    </w:rPr>
                  </w:pPr>
                </w:p>
              </w:tc>
              <w:tc>
                <w:tcPr>
                  <w:tcW w:w="439" w:type="pct"/>
                  <w:vMerge w:val="continue"/>
                  <w:noWrap w:val="0"/>
                  <w:tcMar>
                    <w:left w:w="0" w:type="dxa"/>
                    <w:right w:w="0" w:type="dxa"/>
                  </w:tcMar>
                  <w:vAlign w:val="center"/>
                </w:tcPr>
                <w:p w14:paraId="237F0414">
                  <w:pPr>
                    <w:pStyle w:val="60"/>
                    <w:keepNext w:val="0"/>
                    <w:keepLines w:val="0"/>
                    <w:suppressLineNumbers w:val="0"/>
                    <w:spacing w:before="24" w:beforeAutospacing="0" w:after="24" w:afterAutospacing="0" w:line="240" w:lineRule="exact"/>
                    <w:ind w:left="0" w:right="0"/>
                    <w:rPr>
                      <w:rFonts w:hint="eastAsia" w:ascii="Times New Roman" w:hAnsi="Times New Roman" w:eastAsia="宋体" w:cs="Times New Roman"/>
                      <w:color w:val="auto"/>
                      <w:szCs w:val="21"/>
                    </w:rPr>
                  </w:pPr>
                </w:p>
              </w:tc>
              <w:tc>
                <w:tcPr>
                  <w:tcW w:w="598" w:type="pct"/>
                  <w:vMerge w:val="continue"/>
                  <w:noWrap w:val="0"/>
                  <w:tcMar>
                    <w:top w:w="0" w:type="dxa"/>
                    <w:left w:w="0" w:type="dxa"/>
                    <w:bottom w:w="0" w:type="dxa"/>
                    <w:right w:w="0" w:type="dxa"/>
                  </w:tcMar>
                  <w:vAlign w:val="center"/>
                </w:tcPr>
                <w:p w14:paraId="64B8598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p>
              </w:tc>
              <w:tc>
                <w:tcPr>
                  <w:tcW w:w="502" w:type="pct"/>
                  <w:noWrap w:val="0"/>
                  <w:tcMar>
                    <w:left w:w="0" w:type="dxa"/>
                    <w:right w:w="0" w:type="dxa"/>
                  </w:tcMar>
                  <w:vAlign w:val="center"/>
                </w:tcPr>
                <w:p w14:paraId="40F2598E">
                  <w:pPr>
                    <w:pStyle w:val="60"/>
                    <w:keepNext w:val="0"/>
                    <w:keepLines w:val="0"/>
                    <w:suppressLineNumbers w:val="0"/>
                    <w:spacing w:before="24" w:beforeAutospacing="0" w:after="24" w:afterAutospacing="0"/>
                    <w:ind w:left="0" w:right="0"/>
                    <w:rPr>
                      <w:rFonts w:hint="eastAsia" w:eastAsia="宋体" w:cs="Times New Roman"/>
                      <w:color w:val="auto"/>
                      <w:szCs w:val="21"/>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805" w:type="pct"/>
                  <w:vMerge w:val="continue"/>
                  <w:noWrap w:val="0"/>
                  <w:tcMar>
                    <w:left w:w="0" w:type="dxa"/>
                    <w:right w:w="0" w:type="dxa"/>
                  </w:tcMar>
                  <w:vAlign w:val="center"/>
                </w:tcPr>
                <w:p w14:paraId="5344B76E">
                  <w:pPr>
                    <w:pStyle w:val="60"/>
                    <w:keepNext w:val="0"/>
                    <w:keepLines w:val="0"/>
                    <w:suppressLineNumbers w:val="0"/>
                    <w:spacing w:before="24" w:beforeAutospacing="0" w:after="24" w:afterAutospacing="0" w:line="240" w:lineRule="exact"/>
                    <w:ind w:left="0" w:right="0"/>
                    <w:rPr>
                      <w:rFonts w:hint="eastAsia" w:ascii="Times New Roman" w:hAnsi="Times New Roman" w:eastAsia="宋体" w:cs="Times New Roman"/>
                      <w:color w:val="auto"/>
                      <w:szCs w:val="21"/>
                    </w:rPr>
                  </w:pPr>
                </w:p>
              </w:tc>
              <w:tc>
                <w:tcPr>
                  <w:tcW w:w="1122" w:type="pct"/>
                  <w:vMerge w:val="continue"/>
                  <w:noWrap w:val="0"/>
                  <w:tcMar>
                    <w:left w:w="0" w:type="dxa"/>
                    <w:right w:w="0" w:type="dxa"/>
                  </w:tcMar>
                  <w:vAlign w:val="center"/>
                </w:tcPr>
                <w:p w14:paraId="7B89EC4A">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711" w:type="pct"/>
                  <w:noWrap w:val="0"/>
                  <w:tcMar>
                    <w:left w:w="0" w:type="dxa"/>
                    <w:right w:w="0" w:type="dxa"/>
                  </w:tcMar>
                  <w:vAlign w:val="center"/>
                </w:tcPr>
                <w:p w14:paraId="6EB405E5">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0.06</w:t>
                  </w: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p>
              </w:tc>
              <w:tc>
                <w:tcPr>
                  <w:tcW w:w="956" w:type="dxa"/>
                  <w:noWrap w:val="0"/>
                  <w:tcMar>
                    <w:left w:w="0" w:type="dxa"/>
                    <w:right w:w="0" w:type="dxa"/>
                  </w:tcMar>
                  <w:vAlign w:val="center"/>
                </w:tcPr>
                <w:p w14:paraId="6625A19B">
                  <w:pPr>
                    <w:pStyle w:val="60"/>
                    <w:keepNext w:val="0"/>
                    <w:keepLines w:val="0"/>
                    <w:suppressLineNumbers w:val="0"/>
                    <w:spacing w:before="24" w:beforeAutospacing="0" w:after="24" w:afterAutospacing="0"/>
                    <w:ind w:left="0" w:right="0"/>
                    <w:rPr>
                      <w:rFonts w:eastAsia="宋体" w:cs="Times New Roman"/>
                      <w:color w:val="auto"/>
                      <w:szCs w:val="21"/>
                    </w:rPr>
                  </w:pPr>
                  <w:r>
                    <w:rPr>
                      <w:rFonts w:hint="eastAsia" w:ascii="Times New Roman" w:hAnsi="Times New Roman" w:eastAsia="宋体" w:cs="Times New Roman"/>
                      <w:color w:val="auto"/>
                    </w:rPr>
                    <w:t>0.002</w:t>
                  </w:r>
                </w:p>
              </w:tc>
            </w:tr>
            <w:tr w14:paraId="609E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8"/>
                  <w:noWrap w:val="0"/>
                  <w:tcMar>
                    <w:left w:w="0" w:type="dxa"/>
                    <w:right w:w="0" w:type="dxa"/>
                  </w:tcMar>
                  <w:vAlign w:val="center"/>
                </w:tcPr>
                <w:p w14:paraId="4CC868D8">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无组织排放总计</w:t>
                  </w:r>
                </w:p>
              </w:tc>
            </w:tr>
            <w:tr w14:paraId="7931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08" w:type="pct"/>
                  <w:gridSpan w:val="3"/>
                  <w:vMerge w:val="restart"/>
                  <w:noWrap w:val="0"/>
                  <w:tcMar>
                    <w:left w:w="0" w:type="dxa"/>
                    <w:right w:w="0" w:type="dxa"/>
                  </w:tcMar>
                  <w:vAlign w:val="center"/>
                </w:tcPr>
                <w:p w14:paraId="4CEE9CC9">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无组织排放总计</w:t>
                  </w:r>
                </w:p>
              </w:tc>
              <w:tc>
                <w:tcPr>
                  <w:tcW w:w="4215" w:type="dxa"/>
                  <w:gridSpan w:val="3"/>
                  <w:noWrap w:val="0"/>
                  <w:tcMar>
                    <w:left w:w="0" w:type="dxa"/>
                    <w:right w:w="0" w:type="dxa"/>
                  </w:tcMar>
                  <w:vAlign w:val="center"/>
                </w:tcPr>
                <w:p w14:paraId="12E1CDF0">
                  <w:pPr>
                    <w:pStyle w:val="60"/>
                    <w:keepNext w:val="0"/>
                    <w:keepLines w:val="0"/>
                    <w:suppressLineNumbers w:val="0"/>
                    <w:spacing w:before="24" w:beforeAutospacing="0" w:after="24" w:afterAutospacing="0"/>
                    <w:ind w:left="0" w:right="0"/>
                    <w:rPr>
                      <w:rFonts w:eastAsia="宋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p>
              </w:tc>
              <w:tc>
                <w:tcPr>
                  <w:tcW w:w="2191" w:type="dxa"/>
                  <w:gridSpan w:val="2"/>
                  <w:noWrap w:val="0"/>
                  <w:tcMar>
                    <w:left w:w="0" w:type="dxa"/>
                    <w:right w:w="0" w:type="dxa"/>
                  </w:tcMar>
                  <w:vAlign w:val="center"/>
                </w:tcPr>
                <w:p w14:paraId="32AAE5EA">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hint="eastAsia" w:ascii="Times New Roman" w:hAnsi="Times New Roman" w:eastAsia="宋体" w:cs="Times New Roman"/>
                      <w:color w:val="auto"/>
                    </w:rPr>
                    <w:t>0.024</w:t>
                  </w:r>
                </w:p>
              </w:tc>
            </w:tr>
            <w:tr w14:paraId="7C0F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08" w:type="pct"/>
                  <w:gridSpan w:val="3"/>
                  <w:vMerge w:val="continue"/>
                  <w:noWrap w:val="0"/>
                  <w:tcMar>
                    <w:left w:w="0" w:type="dxa"/>
                    <w:right w:w="0" w:type="dxa"/>
                  </w:tcMar>
                  <w:vAlign w:val="center"/>
                </w:tcPr>
                <w:p w14:paraId="4815C42F">
                  <w:pPr>
                    <w:pStyle w:val="60"/>
                    <w:keepNext w:val="0"/>
                    <w:keepLines w:val="0"/>
                    <w:suppressLineNumbers w:val="0"/>
                    <w:spacing w:before="24" w:beforeAutospacing="0" w:after="24" w:afterAutospacing="0" w:line="240" w:lineRule="exact"/>
                    <w:ind w:left="0" w:right="0"/>
                    <w:rPr>
                      <w:rFonts w:ascii="Times New Roman" w:hAnsi="Times New Roman" w:eastAsia="宋体" w:cs="Times New Roman"/>
                      <w:color w:val="auto"/>
                      <w:szCs w:val="21"/>
                    </w:rPr>
                  </w:pPr>
                </w:p>
              </w:tc>
              <w:tc>
                <w:tcPr>
                  <w:tcW w:w="4215" w:type="dxa"/>
                  <w:gridSpan w:val="3"/>
                  <w:noWrap w:val="0"/>
                  <w:tcMar>
                    <w:left w:w="0" w:type="dxa"/>
                    <w:right w:w="0" w:type="dxa"/>
                  </w:tcMar>
                  <w:vAlign w:val="center"/>
                </w:tcPr>
                <w:p w14:paraId="258D1A0F">
                  <w:pPr>
                    <w:pStyle w:val="60"/>
                    <w:keepNext w:val="0"/>
                    <w:keepLines w:val="0"/>
                    <w:suppressLineNumbers w:val="0"/>
                    <w:spacing w:before="24" w:beforeAutospacing="0" w:after="24" w:afterAutospacing="0"/>
                    <w:ind w:left="0" w:right="0"/>
                    <w:rPr>
                      <w:rFonts w:eastAsia="宋体" w:cs="Times New Roman"/>
                      <w:color w:val="auto"/>
                      <w:szCs w:val="21"/>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2191" w:type="dxa"/>
                  <w:gridSpan w:val="2"/>
                  <w:noWrap w:val="0"/>
                  <w:tcMar>
                    <w:left w:w="0" w:type="dxa"/>
                    <w:right w:w="0" w:type="dxa"/>
                  </w:tcMar>
                  <w:vAlign w:val="center"/>
                </w:tcPr>
                <w:p w14:paraId="37F225B0">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hint="eastAsia" w:ascii="Times New Roman" w:hAnsi="Times New Roman" w:eastAsia="宋体" w:cs="Times New Roman"/>
                      <w:color w:val="auto"/>
                    </w:rPr>
                    <w:t>0.002</w:t>
                  </w:r>
                </w:p>
              </w:tc>
            </w:tr>
          </w:tbl>
          <w:p w14:paraId="2C49F417">
            <w:pPr>
              <w:keepNext w:val="0"/>
              <w:keepLines w:val="0"/>
              <w:widowControl/>
              <w:suppressLineNumbers w:val="0"/>
              <w:adjustRightInd w:val="0"/>
              <w:snapToGrid w:val="0"/>
              <w:spacing w:before="0" w:beforeAutospacing="0" w:after="0" w:afterAutospacing="0"/>
              <w:ind w:left="0" w:right="0"/>
              <w:jc w:val="center"/>
              <w:rPr>
                <w:rFonts w:ascii="Calibri" w:hAnsi="Calibri" w:eastAsia="宋体" w:cs="Times New Roman"/>
                <w:bCs/>
                <w:color w:val="auto"/>
                <w:szCs w:val="21"/>
              </w:rPr>
            </w:pPr>
            <w:r>
              <w:rPr>
                <w:rFonts w:ascii="Calibri" w:hAnsi="Calibri" w:eastAsia="宋体" w:cs="Times New Roman"/>
                <w:b/>
                <w:bCs/>
                <w:color w:val="auto"/>
                <w:sz w:val="24"/>
              </w:rPr>
              <w:t>表4-</w:t>
            </w:r>
            <w:r>
              <w:rPr>
                <w:rFonts w:hint="eastAsia" w:ascii="Calibri" w:hAnsi="Calibri" w:eastAsia="宋体" w:cs="Times New Roman"/>
                <w:b/>
                <w:bCs/>
                <w:color w:val="auto"/>
                <w:sz w:val="24"/>
              </w:rPr>
              <w:t xml:space="preserve">8 </w:t>
            </w:r>
            <w:r>
              <w:rPr>
                <w:rFonts w:ascii="Calibri" w:hAnsi="Calibri" w:eastAsia="宋体" w:cs="Times New Roman"/>
                <w:b/>
                <w:bCs/>
                <w:color w:val="auto"/>
                <w:sz w:val="24"/>
              </w:rPr>
              <w:t>大气污染物年排放量核算表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3627"/>
              <w:gridCol w:w="3448"/>
            </w:tblGrid>
            <w:tr w14:paraId="1E66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3" w:type="pct"/>
                  <w:noWrap w:val="0"/>
                  <w:vAlign w:val="center"/>
                </w:tcPr>
                <w:p w14:paraId="59A1A6A0">
                  <w:pPr>
                    <w:keepNext w:val="0"/>
                    <w:keepLines w:val="0"/>
                    <w:suppressLineNumbers w:val="0"/>
                    <w:spacing w:before="0" w:beforeAutospacing="0" w:after="0" w:afterAutospacing="0" w:line="240" w:lineRule="exact"/>
                    <w:ind w:left="0" w:right="0"/>
                    <w:jc w:val="center"/>
                    <w:rPr>
                      <w:rFonts w:ascii="Calibri" w:hAnsi="Calibri" w:eastAsia="宋体" w:cs="Times New Roman"/>
                      <w:b/>
                      <w:bCs/>
                      <w:color w:val="auto"/>
                      <w:szCs w:val="21"/>
                    </w:rPr>
                  </w:pPr>
                  <w:r>
                    <w:rPr>
                      <w:rFonts w:ascii="Calibri" w:hAnsi="Calibri" w:eastAsia="宋体" w:cs="Times New Roman"/>
                      <w:b/>
                      <w:bCs/>
                      <w:color w:val="auto"/>
                      <w:szCs w:val="21"/>
                    </w:rPr>
                    <w:t>序号</w:t>
                  </w:r>
                </w:p>
              </w:tc>
              <w:tc>
                <w:tcPr>
                  <w:tcW w:w="2089" w:type="pct"/>
                  <w:noWrap w:val="0"/>
                  <w:vAlign w:val="center"/>
                </w:tcPr>
                <w:p w14:paraId="76F32A2C">
                  <w:pPr>
                    <w:keepNext w:val="0"/>
                    <w:keepLines w:val="0"/>
                    <w:suppressLineNumbers w:val="0"/>
                    <w:spacing w:before="0" w:beforeAutospacing="0" w:after="0" w:afterAutospacing="0" w:line="240" w:lineRule="exact"/>
                    <w:ind w:left="0" w:right="0"/>
                    <w:jc w:val="center"/>
                    <w:rPr>
                      <w:rFonts w:ascii="Calibri" w:hAnsi="Calibri" w:eastAsia="宋体" w:cs="Times New Roman"/>
                      <w:b/>
                      <w:bCs/>
                      <w:color w:val="auto"/>
                      <w:szCs w:val="21"/>
                    </w:rPr>
                  </w:pPr>
                  <w:r>
                    <w:rPr>
                      <w:rFonts w:ascii="Calibri" w:hAnsi="Calibri" w:eastAsia="宋体" w:cs="Times New Roman"/>
                      <w:b/>
                      <w:bCs/>
                      <w:color w:val="auto"/>
                      <w:szCs w:val="21"/>
                    </w:rPr>
                    <w:t>污染物</w:t>
                  </w:r>
                </w:p>
              </w:tc>
              <w:tc>
                <w:tcPr>
                  <w:tcW w:w="1986" w:type="pct"/>
                  <w:noWrap w:val="0"/>
                  <w:vAlign w:val="center"/>
                </w:tcPr>
                <w:p w14:paraId="0457408A">
                  <w:pPr>
                    <w:keepNext w:val="0"/>
                    <w:keepLines w:val="0"/>
                    <w:suppressLineNumbers w:val="0"/>
                    <w:spacing w:before="0" w:beforeAutospacing="0" w:after="0" w:afterAutospacing="0" w:line="240" w:lineRule="exact"/>
                    <w:ind w:left="0" w:right="0"/>
                    <w:jc w:val="center"/>
                    <w:rPr>
                      <w:rFonts w:ascii="Calibri" w:hAnsi="Calibri" w:eastAsia="宋体" w:cs="Times New Roman"/>
                      <w:b/>
                      <w:bCs/>
                      <w:color w:val="auto"/>
                      <w:szCs w:val="21"/>
                    </w:rPr>
                  </w:pPr>
                  <w:r>
                    <w:rPr>
                      <w:rFonts w:ascii="Calibri" w:hAnsi="Calibri" w:eastAsia="宋体" w:cs="Times New Roman"/>
                      <w:b/>
                      <w:bCs/>
                      <w:color w:val="auto"/>
                      <w:szCs w:val="21"/>
                    </w:rPr>
                    <w:t>年排放量/（t/a）</w:t>
                  </w:r>
                </w:p>
              </w:tc>
            </w:tr>
            <w:tr w14:paraId="08F4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3" w:type="pct"/>
                  <w:noWrap w:val="0"/>
                  <w:vAlign w:val="center"/>
                </w:tcPr>
                <w:p w14:paraId="4AEE593A">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szCs w:val="21"/>
                    </w:rPr>
                  </w:pPr>
                  <w:r>
                    <w:rPr>
                      <w:rFonts w:ascii="Calibri" w:hAnsi="Calibri" w:eastAsia="宋体" w:cs="Times New Roman"/>
                      <w:color w:val="auto"/>
                      <w:szCs w:val="21"/>
                    </w:rPr>
                    <w:t>1</w:t>
                  </w:r>
                </w:p>
              </w:tc>
              <w:tc>
                <w:tcPr>
                  <w:tcW w:w="3627" w:type="dxa"/>
                  <w:noWrap w:val="0"/>
                  <w:vAlign w:val="center"/>
                </w:tcPr>
                <w:p w14:paraId="2EF8B9FC">
                  <w:pPr>
                    <w:pStyle w:val="60"/>
                    <w:keepNext w:val="0"/>
                    <w:keepLines w:val="0"/>
                    <w:suppressLineNumbers w:val="0"/>
                    <w:spacing w:before="24" w:beforeAutospacing="0" w:after="24" w:afterAutospacing="0"/>
                    <w:ind w:left="0" w:right="0"/>
                    <w:rPr>
                      <w:rFonts w:eastAsia="宋体" w:cs="Times New Roman"/>
                      <w:color w:val="auto"/>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p>
              </w:tc>
              <w:tc>
                <w:tcPr>
                  <w:tcW w:w="3448" w:type="dxa"/>
                  <w:noWrap w:val="0"/>
                  <w:vAlign w:val="center"/>
                </w:tcPr>
                <w:p w14:paraId="2EA724B0">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0.199</w:t>
                  </w:r>
                </w:p>
              </w:tc>
            </w:tr>
            <w:tr w14:paraId="65D1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3" w:type="pct"/>
                  <w:noWrap w:val="0"/>
                  <w:vAlign w:val="center"/>
                </w:tcPr>
                <w:p w14:paraId="227B6E86">
                  <w:pPr>
                    <w:keepNext w:val="0"/>
                    <w:keepLines w:val="0"/>
                    <w:suppressLineNumbers w:val="0"/>
                    <w:spacing w:before="0" w:beforeAutospacing="0" w:after="0" w:afterAutospacing="0" w:line="24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2</w:t>
                  </w:r>
                </w:p>
              </w:tc>
              <w:tc>
                <w:tcPr>
                  <w:tcW w:w="3627" w:type="dxa"/>
                  <w:noWrap w:val="0"/>
                  <w:vAlign w:val="center"/>
                </w:tcPr>
                <w:p w14:paraId="02829740">
                  <w:pPr>
                    <w:pStyle w:val="60"/>
                    <w:keepNext w:val="0"/>
                    <w:keepLines w:val="0"/>
                    <w:suppressLineNumbers w:val="0"/>
                    <w:spacing w:before="24" w:beforeAutospacing="0" w:after="24" w:afterAutospacing="0"/>
                    <w:ind w:left="0" w:right="0"/>
                    <w:rPr>
                      <w:rFonts w:hint="eastAsia" w:eastAsia="宋体" w:cs="Times New Roman"/>
                      <w:color w:val="auto"/>
                      <w:szCs w:val="21"/>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p>
              </w:tc>
              <w:tc>
                <w:tcPr>
                  <w:tcW w:w="3448" w:type="dxa"/>
                  <w:noWrap w:val="0"/>
                  <w:vAlign w:val="center"/>
                </w:tcPr>
                <w:p w14:paraId="2F014672">
                  <w:pPr>
                    <w:pStyle w:val="60"/>
                    <w:keepNext w:val="0"/>
                    <w:keepLines w:val="0"/>
                    <w:suppressLineNumbers w:val="0"/>
                    <w:spacing w:before="24" w:beforeAutospacing="0" w:after="24" w:afterAutospacing="0"/>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0.020</w:t>
                  </w:r>
                </w:p>
              </w:tc>
            </w:tr>
          </w:tbl>
          <w:p w14:paraId="721E7925">
            <w:pPr>
              <w:keepNext w:val="0"/>
              <w:keepLines w:val="0"/>
              <w:widowControl/>
              <w:suppressLineNumbers w:val="0"/>
              <w:spacing w:before="120" w:beforeLines="50" w:beforeAutospacing="0" w:after="0" w:afterAutospacing="0" w:line="360" w:lineRule="auto"/>
              <w:ind w:left="0" w:right="0" w:firstLine="482" w:firstLineChars="200"/>
              <w:jc w:val="left"/>
              <w:rPr>
                <w:rFonts w:hint="eastAsia" w:ascii="Calibri" w:hAnsi="Calibri" w:eastAsia="宋体" w:cs="Times New Roman"/>
                <w:b/>
                <w:color w:val="auto"/>
                <w:sz w:val="24"/>
              </w:rPr>
            </w:pPr>
            <w:r>
              <w:rPr>
                <w:rFonts w:hint="eastAsia" w:ascii="Calibri" w:hAnsi="Calibri" w:eastAsia="宋体" w:cs="Times New Roman"/>
                <w:b/>
                <w:color w:val="auto"/>
                <w:sz w:val="24"/>
              </w:rPr>
              <w:t>5、监测计划</w:t>
            </w:r>
          </w:p>
          <w:p w14:paraId="49841C50">
            <w:pPr>
              <w:pStyle w:val="44"/>
              <w:keepNext w:val="0"/>
              <w:keepLines w:val="0"/>
              <w:suppressLineNumbers w:val="0"/>
              <w:spacing w:before="0" w:beforeAutospacing="0" w:after="0" w:afterAutospacing="0" w:line="360" w:lineRule="auto"/>
              <w:ind w:left="0" w:right="0" w:firstLine="480"/>
              <w:jc w:val="both"/>
              <w:rPr>
                <w:rFonts w:hint="eastAsia" w:ascii="Calibri" w:hAnsi="Calibri" w:eastAsia="宋体" w:cs="Times New Roman"/>
                <w:color w:val="auto"/>
              </w:rPr>
            </w:pPr>
            <w:r>
              <w:rPr>
                <w:rFonts w:hint="eastAsia" w:ascii="Calibri" w:hAnsi="Calibri" w:eastAsia="宋体" w:cs="Times New Roman"/>
                <w:color w:val="auto"/>
              </w:rPr>
              <w:t>根据《排污许可证申请与核发技术规范 磷肥、钾肥、复混肥料、有机肥料及微生物肥料工业（HJ 864.2-2018）》、《排污单位自行监测技术指南 磷肥、钾肥、复混肥料、有机肥料和微生物肥料（HJ1088-2020）》，项目环境监测要求制定大气环境自行监测计划见下表。</w:t>
            </w:r>
          </w:p>
          <w:p w14:paraId="67AA88DF">
            <w:pPr>
              <w:keepNext w:val="0"/>
              <w:keepLines w:val="0"/>
              <w:suppressLineNumbers w:val="0"/>
              <w:spacing w:before="0" w:beforeAutospacing="0" w:after="0" w:afterAutospacing="0"/>
              <w:ind w:left="0" w:right="0"/>
              <w:jc w:val="center"/>
              <w:rPr>
                <w:rFonts w:hint="eastAsia" w:ascii="Calibri" w:hAnsi="Calibri" w:eastAsia="宋体" w:cs="Times New Roman"/>
                <w:b/>
                <w:color w:val="auto"/>
                <w:sz w:val="24"/>
              </w:rPr>
            </w:pPr>
          </w:p>
          <w:p w14:paraId="2C34EFDE">
            <w:pPr>
              <w:keepNext w:val="0"/>
              <w:keepLines w:val="0"/>
              <w:suppressLineNumbers w:val="0"/>
              <w:spacing w:before="0" w:beforeAutospacing="0" w:after="0" w:afterAutospacing="0"/>
              <w:ind w:left="0" w:right="0"/>
              <w:jc w:val="center"/>
              <w:rPr>
                <w:rFonts w:hint="eastAsia" w:ascii="Calibri" w:hAnsi="Calibri" w:eastAsia="宋体" w:cs="Times New Roman"/>
                <w:b/>
                <w:color w:val="auto"/>
                <w:sz w:val="24"/>
              </w:rPr>
            </w:pPr>
            <w:r>
              <w:rPr>
                <w:rFonts w:hint="eastAsia" w:ascii="Calibri" w:hAnsi="Calibri" w:eastAsia="宋体" w:cs="Times New Roman"/>
                <w:b/>
                <w:color w:val="auto"/>
                <w:sz w:val="24"/>
              </w:rPr>
              <w:t>表4-5  本项目环境监测计划建议</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740"/>
              <w:gridCol w:w="2282"/>
              <w:gridCol w:w="2261"/>
              <w:gridCol w:w="1182"/>
            </w:tblGrid>
            <w:tr w14:paraId="676E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98" w:type="pct"/>
                  <w:noWrap w:val="0"/>
                  <w:vAlign w:val="center"/>
                </w:tcPr>
                <w:p w14:paraId="66BD33B9">
                  <w:pPr>
                    <w:keepNext w:val="0"/>
                    <w:keepLines w:val="0"/>
                    <w:suppressLineNumbers w:val="0"/>
                    <w:spacing w:before="0" w:beforeAutospacing="0" w:after="0" w:afterAutospacing="0"/>
                    <w:ind w:left="0" w:right="0"/>
                    <w:jc w:val="center"/>
                    <w:rPr>
                      <w:rFonts w:ascii="Calibri" w:hAnsi="Calibri" w:eastAsia="宋体" w:cs="Times New Roman"/>
                      <w:b/>
                      <w:color w:val="auto"/>
                    </w:rPr>
                  </w:pPr>
                  <w:r>
                    <w:rPr>
                      <w:rFonts w:hint="eastAsia" w:ascii="Calibri" w:hAnsi="宋体" w:eastAsia="宋体" w:cs="Times New Roman"/>
                      <w:b/>
                      <w:color w:val="auto"/>
                    </w:rPr>
                    <w:t>监测</w:t>
                  </w:r>
                  <w:r>
                    <w:rPr>
                      <w:rFonts w:ascii="Calibri" w:hAnsi="宋体" w:eastAsia="宋体" w:cs="Times New Roman"/>
                      <w:b/>
                      <w:color w:val="auto"/>
                    </w:rPr>
                    <w:t>内容</w:t>
                  </w:r>
                </w:p>
              </w:tc>
              <w:tc>
                <w:tcPr>
                  <w:tcW w:w="1002" w:type="pct"/>
                  <w:noWrap w:val="0"/>
                  <w:vAlign w:val="center"/>
                </w:tcPr>
                <w:p w14:paraId="4D7EE614">
                  <w:pPr>
                    <w:keepNext w:val="0"/>
                    <w:keepLines w:val="0"/>
                    <w:suppressLineNumbers w:val="0"/>
                    <w:spacing w:before="0" w:beforeAutospacing="0" w:after="0" w:afterAutospacing="0"/>
                    <w:ind w:left="0" w:right="0"/>
                    <w:jc w:val="center"/>
                    <w:rPr>
                      <w:rFonts w:ascii="Calibri" w:hAnsi="Calibri" w:eastAsia="宋体" w:cs="Times New Roman"/>
                      <w:b/>
                      <w:color w:val="auto"/>
                    </w:rPr>
                  </w:pPr>
                  <w:r>
                    <w:rPr>
                      <w:rFonts w:ascii="Calibri" w:hAnsi="宋体" w:eastAsia="宋体" w:cs="Times New Roman"/>
                      <w:b/>
                      <w:color w:val="auto"/>
                    </w:rPr>
                    <w:t>监测位置</w:t>
                  </w:r>
                </w:p>
              </w:tc>
              <w:tc>
                <w:tcPr>
                  <w:tcW w:w="1314" w:type="pct"/>
                  <w:noWrap w:val="0"/>
                  <w:vAlign w:val="center"/>
                </w:tcPr>
                <w:p w14:paraId="20683040">
                  <w:pPr>
                    <w:keepNext w:val="0"/>
                    <w:keepLines w:val="0"/>
                    <w:suppressLineNumbers w:val="0"/>
                    <w:spacing w:before="0" w:beforeAutospacing="0" w:after="0" w:afterAutospacing="0"/>
                    <w:ind w:left="0" w:right="0"/>
                    <w:jc w:val="center"/>
                    <w:rPr>
                      <w:rFonts w:ascii="Calibri" w:hAnsi="Calibri" w:eastAsia="宋体" w:cs="Times New Roman"/>
                      <w:b/>
                      <w:color w:val="auto"/>
                    </w:rPr>
                  </w:pPr>
                  <w:r>
                    <w:rPr>
                      <w:rFonts w:ascii="Calibri" w:hAnsi="宋体" w:eastAsia="宋体" w:cs="Times New Roman"/>
                      <w:b/>
                      <w:color w:val="auto"/>
                    </w:rPr>
                    <w:t>监测项目</w:t>
                  </w:r>
                </w:p>
              </w:tc>
              <w:tc>
                <w:tcPr>
                  <w:tcW w:w="1302" w:type="pct"/>
                  <w:noWrap w:val="0"/>
                  <w:vAlign w:val="center"/>
                </w:tcPr>
                <w:p w14:paraId="2A82C186">
                  <w:pPr>
                    <w:keepNext w:val="0"/>
                    <w:keepLines w:val="0"/>
                    <w:suppressLineNumbers w:val="0"/>
                    <w:spacing w:before="0" w:beforeAutospacing="0" w:after="0" w:afterAutospacing="0"/>
                    <w:ind w:left="0" w:right="0"/>
                    <w:jc w:val="center"/>
                    <w:rPr>
                      <w:rFonts w:ascii="Calibri" w:hAnsi="Calibri" w:eastAsia="宋体" w:cs="Times New Roman"/>
                      <w:b/>
                      <w:color w:val="auto"/>
                    </w:rPr>
                  </w:pPr>
                  <w:r>
                    <w:rPr>
                      <w:rFonts w:ascii="Calibri" w:hAnsi="宋体" w:eastAsia="宋体" w:cs="Times New Roman"/>
                      <w:b/>
                      <w:color w:val="auto"/>
                    </w:rPr>
                    <w:t>监测频次</w:t>
                  </w:r>
                </w:p>
              </w:tc>
              <w:tc>
                <w:tcPr>
                  <w:tcW w:w="681" w:type="pct"/>
                  <w:noWrap w:val="0"/>
                  <w:vAlign w:val="center"/>
                </w:tcPr>
                <w:p w14:paraId="6800D447">
                  <w:pPr>
                    <w:keepNext w:val="0"/>
                    <w:keepLines w:val="0"/>
                    <w:suppressLineNumbers w:val="0"/>
                    <w:spacing w:before="0" w:beforeAutospacing="0" w:after="0" w:afterAutospacing="0"/>
                    <w:ind w:left="0" w:right="0"/>
                    <w:jc w:val="center"/>
                    <w:rPr>
                      <w:rFonts w:hint="eastAsia" w:ascii="Calibri" w:hAnsi="宋体" w:eastAsia="宋体" w:cs="Times New Roman"/>
                      <w:b/>
                      <w:color w:val="auto"/>
                    </w:rPr>
                  </w:pPr>
                  <w:r>
                    <w:rPr>
                      <w:rFonts w:hint="eastAsia" w:ascii="Calibri" w:hAnsi="宋体" w:eastAsia="宋体" w:cs="Times New Roman"/>
                      <w:b/>
                      <w:color w:val="auto"/>
                    </w:rPr>
                    <w:t>监测机构</w:t>
                  </w:r>
                </w:p>
              </w:tc>
            </w:tr>
            <w:tr w14:paraId="6434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98" w:type="pct"/>
                  <w:vMerge w:val="restart"/>
                  <w:noWrap w:val="0"/>
                  <w:vAlign w:val="center"/>
                </w:tcPr>
                <w:p w14:paraId="0BDC6D36">
                  <w:pPr>
                    <w:keepNext w:val="0"/>
                    <w:keepLines w:val="0"/>
                    <w:suppressLineNumbers w:val="0"/>
                    <w:spacing w:before="0" w:beforeAutospacing="0" w:after="0" w:afterAutospacing="0"/>
                    <w:ind w:left="0" w:right="0"/>
                    <w:jc w:val="center"/>
                    <w:rPr>
                      <w:rFonts w:hint="eastAsia" w:ascii="Calibri" w:hAnsi="宋体" w:eastAsia="宋体" w:cs="Times New Roman"/>
                      <w:color w:val="auto"/>
                    </w:rPr>
                  </w:pPr>
                  <w:r>
                    <w:rPr>
                      <w:rFonts w:hint="eastAsia" w:ascii="Calibri" w:hAnsi="宋体" w:eastAsia="宋体" w:cs="Times New Roman"/>
                      <w:color w:val="auto"/>
                    </w:rPr>
                    <w:t>废气</w:t>
                  </w:r>
                </w:p>
              </w:tc>
              <w:tc>
                <w:tcPr>
                  <w:tcW w:w="1002" w:type="pct"/>
                  <w:noWrap w:val="0"/>
                  <w:vAlign w:val="center"/>
                </w:tcPr>
                <w:p w14:paraId="66931DBA">
                  <w:pPr>
                    <w:keepNext w:val="0"/>
                    <w:keepLines w:val="0"/>
                    <w:suppressLineNumbers w:val="0"/>
                    <w:spacing w:before="0" w:beforeAutospacing="0" w:after="0" w:afterAutospacing="0"/>
                    <w:ind w:left="0" w:right="0"/>
                    <w:jc w:val="center"/>
                    <w:rPr>
                      <w:rFonts w:ascii="Calibri" w:hAnsi="宋体" w:eastAsia="宋体" w:cs="Times New Roman"/>
                      <w:color w:val="auto"/>
                    </w:rPr>
                  </w:pPr>
                  <w:r>
                    <w:rPr>
                      <w:rFonts w:hint="eastAsia" w:ascii="Calibri" w:hAnsi="宋体" w:eastAsia="宋体" w:cs="Times New Roman"/>
                      <w:color w:val="auto"/>
                    </w:rPr>
                    <w:t>DA001</w:t>
                  </w:r>
                </w:p>
              </w:tc>
              <w:tc>
                <w:tcPr>
                  <w:tcW w:w="1314" w:type="pct"/>
                  <w:noWrap w:val="0"/>
                  <w:vAlign w:val="center"/>
                </w:tcPr>
                <w:p w14:paraId="0FE221A3">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氨、硫化氢、颗粒物</w:t>
                  </w:r>
                </w:p>
              </w:tc>
              <w:tc>
                <w:tcPr>
                  <w:tcW w:w="1302" w:type="pct"/>
                  <w:noWrap w:val="0"/>
                  <w:vAlign w:val="center"/>
                </w:tcPr>
                <w:p w14:paraId="7B3E4DDA">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1次/半年</w:t>
                  </w:r>
                </w:p>
              </w:tc>
              <w:tc>
                <w:tcPr>
                  <w:tcW w:w="681" w:type="pct"/>
                  <w:vMerge w:val="restart"/>
                  <w:noWrap w:val="0"/>
                  <w:vAlign w:val="center"/>
                </w:tcPr>
                <w:p w14:paraId="24E8E35A">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r>
                    <w:rPr>
                      <w:rFonts w:hint="eastAsia" w:ascii="Times New Roman" w:hAnsi="Times New Roman" w:eastAsia="宋体" w:cs="Times New Roman"/>
                      <w:color w:val="auto"/>
                    </w:rPr>
                    <w:t>委托有资质单位</w:t>
                  </w:r>
                </w:p>
              </w:tc>
            </w:tr>
            <w:tr w14:paraId="13F2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98" w:type="pct"/>
                  <w:vMerge w:val="continue"/>
                  <w:noWrap w:val="0"/>
                  <w:vAlign w:val="center"/>
                </w:tcPr>
                <w:p w14:paraId="50B85BDA">
                  <w:pPr>
                    <w:keepNext w:val="0"/>
                    <w:keepLines w:val="0"/>
                    <w:suppressLineNumbers w:val="0"/>
                    <w:spacing w:before="0" w:beforeAutospacing="0" w:after="0" w:afterAutospacing="0"/>
                    <w:ind w:left="0" w:right="0"/>
                    <w:jc w:val="center"/>
                    <w:rPr>
                      <w:rFonts w:hint="eastAsia" w:ascii="Calibri" w:hAnsi="宋体" w:eastAsia="宋体" w:cs="Times New Roman"/>
                      <w:color w:val="auto"/>
                    </w:rPr>
                  </w:pPr>
                </w:p>
              </w:tc>
              <w:tc>
                <w:tcPr>
                  <w:tcW w:w="1002" w:type="pct"/>
                  <w:noWrap w:val="0"/>
                  <w:vAlign w:val="center"/>
                </w:tcPr>
                <w:p w14:paraId="7315D985">
                  <w:pPr>
                    <w:keepNext w:val="0"/>
                    <w:keepLines w:val="0"/>
                    <w:suppressLineNumbers w:val="0"/>
                    <w:spacing w:before="0" w:beforeAutospacing="0" w:after="0" w:afterAutospacing="0"/>
                    <w:ind w:left="0" w:right="0"/>
                    <w:jc w:val="center"/>
                    <w:rPr>
                      <w:rFonts w:ascii="Calibri" w:hAnsi="宋体" w:eastAsia="宋体" w:cs="Times New Roman"/>
                      <w:color w:val="auto"/>
                    </w:rPr>
                  </w:pPr>
                  <w:r>
                    <w:rPr>
                      <w:rFonts w:hint="eastAsia" w:ascii="Calibri" w:hAnsi="宋体" w:eastAsia="宋体" w:cs="Times New Roman"/>
                      <w:color w:val="auto"/>
                    </w:rPr>
                    <w:t>厂界</w:t>
                  </w:r>
                </w:p>
              </w:tc>
              <w:tc>
                <w:tcPr>
                  <w:tcW w:w="1314" w:type="pct"/>
                  <w:noWrap w:val="0"/>
                  <w:vAlign w:val="center"/>
                </w:tcPr>
                <w:p w14:paraId="7245FD08">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氨、硫化氢、臭气浓度</w:t>
                  </w:r>
                </w:p>
              </w:tc>
              <w:tc>
                <w:tcPr>
                  <w:tcW w:w="1302" w:type="pct"/>
                  <w:noWrap w:val="0"/>
                  <w:vAlign w:val="center"/>
                </w:tcPr>
                <w:p w14:paraId="2D309B27">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1次/半年</w:t>
                  </w:r>
                </w:p>
              </w:tc>
              <w:tc>
                <w:tcPr>
                  <w:tcW w:w="681" w:type="pct"/>
                  <w:vMerge w:val="continue"/>
                  <w:noWrap w:val="0"/>
                  <w:vAlign w:val="center"/>
                </w:tcPr>
                <w:p w14:paraId="49BBB5A4">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p>
              </w:tc>
            </w:tr>
          </w:tbl>
          <w:p w14:paraId="32414645">
            <w:pPr>
              <w:keepNext w:val="0"/>
              <w:keepLines w:val="0"/>
              <w:suppressLineNumbers w:val="0"/>
              <w:tabs>
                <w:tab w:val="left" w:pos="624"/>
              </w:tabs>
              <w:spacing w:before="120" w:beforeLines="50" w:beforeAutospacing="0" w:after="0" w:afterAutospacing="0" w:line="360" w:lineRule="auto"/>
              <w:ind w:left="0" w:right="0"/>
              <w:contextualSpacing/>
              <w:rPr>
                <w:rFonts w:ascii="Calibri" w:hAnsi="Calibri" w:eastAsia="宋体" w:cs="Times New Roman"/>
                <w:b/>
                <w:bCs/>
                <w:color w:val="auto"/>
                <w:sz w:val="24"/>
              </w:rPr>
            </w:pPr>
            <w:r>
              <w:rPr>
                <w:rFonts w:hint="eastAsia" w:ascii="Calibri" w:hAnsi="Calibri" w:eastAsia="宋体" w:cs="Times New Roman"/>
                <w:b/>
                <w:bCs/>
                <w:color w:val="auto"/>
                <w:sz w:val="24"/>
              </w:rPr>
              <w:t>二</w:t>
            </w:r>
            <w:r>
              <w:rPr>
                <w:rFonts w:ascii="Calibri" w:hAnsi="Calibri" w:eastAsia="宋体" w:cs="Times New Roman"/>
                <w:b/>
                <w:bCs/>
                <w:color w:val="auto"/>
                <w:sz w:val="24"/>
              </w:rPr>
              <w:t>、废水污染源分析</w:t>
            </w:r>
          </w:p>
          <w:p w14:paraId="66FB3578">
            <w:pPr>
              <w:keepNext w:val="0"/>
              <w:keepLines w:val="0"/>
              <w:suppressLineNumbers w:val="0"/>
              <w:spacing w:before="0" w:beforeAutospacing="0" w:after="0" w:afterAutospacing="0" w:line="360" w:lineRule="auto"/>
              <w:ind w:left="0" w:right="0" w:firstLine="482" w:firstLineChars="200"/>
              <w:contextualSpacing/>
              <w:rPr>
                <w:rFonts w:ascii="Calibri" w:hAnsi="Calibri" w:eastAsia="宋体" w:cs="Times New Roman"/>
                <w:b/>
                <w:bCs/>
                <w:color w:val="auto"/>
                <w:sz w:val="24"/>
              </w:rPr>
            </w:pPr>
            <w:r>
              <w:rPr>
                <w:rFonts w:hint="eastAsia" w:ascii="Calibri" w:hAnsi="Calibri" w:eastAsia="宋体" w:cs="Times New Roman"/>
                <w:b/>
                <w:bCs/>
                <w:color w:val="auto"/>
                <w:sz w:val="24"/>
              </w:rPr>
              <w:t>1、</w:t>
            </w:r>
            <w:r>
              <w:rPr>
                <w:rFonts w:ascii="Calibri" w:hAnsi="Calibri" w:eastAsia="宋体" w:cs="Times New Roman"/>
                <w:b/>
                <w:bCs/>
                <w:color w:val="auto"/>
                <w:sz w:val="24"/>
              </w:rPr>
              <w:t>生产废水</w:t>
            </w:r>
          </w:p>
          <w:p w14:paraId="3B0CFA74">
            <w:pPr>
              <w:keepNext w:val="0"/>
              <w:keepLines w:val="0"/>
              <w:suppressLineNumbers w:val="0"/>
              <w:spacing w:before="0" w:beforeAutospacing="0" w:after="0" w:afterAutospacing="0" w:line="360" w:lineRule="auto"/>
              <w:ind w:left="0" w:right="0" w:firstLine="480" w:firstLineChars="200"/>
              <w:contextualSpacing/>
              <w:rPr>
                <w:rFonts w:hint="eastAsia" w:ascii="Calibri" w:hAnsi="Calibri" w:eastAsia="宋体" w:cs="Times New Roman"/>
                <w:color w:val="auto"/>
                <w:sz w:val="24"/>
              </w:rPr>
            </w:pPr>
            <w:r>
              <w:rPr>
                <w:rFonts w:ascii="Calibri" w:hAnsi="Calibri" w:eastAsia="宋体" w:cs="Times New Roman"/>
                <w:color w:val="auto"/>
                <w:sz w:val="24"/>
              </w:rPr>
              <w:t>项目</w:t>
            </w:r>
            <w:r>
              <w:rPr>
                <w:rFonts w:hint="eastAsia" w:ascii="Calibri" w:hAnsi="Calibri" w:eastAsia="宋体" w:cs="Times New Roman"/>
                <w:color w:val="auto"/>
                <w:sz w:val="24"/>
              </w:rPr>
              <w:t>生物除臭塔除臭用水循环使用，不外排。</w:t>
            </w:r>
          </w:p>
          <w:p w14:paraId="68C4B7F0">
            <w:pPr>
              <w:keepNext w:val="0"/>
              <w:keepLines w:val="0"/>
              <w:suppressLineNumbers w:val="0"/>
              <w:spacing w:before="0" w:beforeAutospacing="0" w:after="0" w:afterAutospacing="0" w:line="360" w:lineRule="auto"/>
              <w:ind w:left="0" w:right="0" w:firstLine="482" w:firstLineChars="200"/>
              <w:rPr>
                <w:rFonts w:hint="eastAsia" w:ascii="Calibri" w:hAnsi="Calibri" w:eastAsia="宋体" w:cs="Times New Roman"/>
                <w:b/>
                <w:bCs/>
                <w:color w:val="auto"/>
                <w:sz w:val="24"/>
              </w:rPr>
            </w:pPr>
            <w:r>
              <w:rPr>
                <w:rFonts w:hint="eastAsia" w:ascii="Calibri" w:hAnsi="Calibri" w:eastAsia="宋体" w:cs="Times New Roman"/>
                <w:b/>
                <w:bCs/>
                <w:color w:val="auto"/>
                <w:sz w:val="24"/>
              </w:rPr>
              <w:t>2、生活污水</w:t>
            </w:r>
          </w:p>
          <w:p w14:paraId="689A3F24">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auto"/>
                <w:sz w:val="24"/>
                <w:lang w:bidi="ar"/>
              </w:rPr>
            </w:pPr>
            <w:r>
              <w:rPr>
                <w:rFonts w:ascii="Calibri" w:hAnsi="Calibri" w:eastAsia="宋体" w:cs="Times New Roman"/>
                <w:color w:val="auto"/>
                <w:sz w:val="24"/>
              </w:rPr>
              <w:t>项目</w:t>
            </w:r>
            <w:r>
              <w:rPr>
                <w:rFonts w:hint="eastAsia" w:ascii="Calibri" w:hAnsi="Calibri" w:eastAsia="宋体" w:cs="Times New Roman"/>
                <w:color w:val="auto"/>
                <w:sz w:val="24"/>
              </w:rPr>
              <w:t>生活</w:t>
            </w:r>
            <w:r>
              <w:rPr>
                <w:rFonts w:hint="eastAsia" w:ascii="宋体" w:hAnsi="宋体" w:eastAsia="宋体" w:cs="宋体"/>
                <w:color w:val="auto"/>
                <w:sz w:val="24"/>
                <w:lang w:bidi="ar"/>
              </w:rPr>
              <w:t>污水产生量约为</w:t>
            </w:r>
            <w:r>
              <w:rPr>
                <w:rFonts w:ascii="Times New Roman" w:hAnsi="Times New Roman" w:eastAsia="宋体" w:cs="Times New Roman"/>
                <w:color w:val="auto"/>
                <w:sz w:val="24"/>
                <w:lang w:bidi="ar"/>
              </w:rPr>
              <w:t>1.2m</w:t>
            </w:r>
            <w:r>
              <w:rPr>
                <w:rFonts w:ascii="Times New Roman" w:hAnsi="Times New Roman" w:eastAsia="宋体" w:cs="Times New Roman"/>
                <w:color w:val="auto"/>
                <w:sz w:val="24"/>
                <w:vertAlign w:val="superscript"/>
                <w:lang w:bidi="ar"/>
              </w:rPr>
              <w:t>3</w:t>
            </w:r>
            <w:r>
              <w:rPr>
                <w:rFonts w:ascii="Times New Roman" w:hAnsi="Times New Roman" w:eastAsia="宋体" w:cs="Times New Roman"/>
                <w:color w:val="auto"/>
                <w:sz w:val="24"/>
                <w:lang w:bidi="ar"/>
              </w:rPr>
              <w:t>/d、360m</w:t>
            </w:r>
            <w:r>
              <w:rPr>
                <w:rFonts w:ascii="Times New Roman" w:hAnsi="Times New Roman" w:eastAsia="宋体" w:cs="Times New Roman"/>
                <w:color w:val="auto"/>
                <w:sz w:val="24"/>
                <w:vertAlign w:val="superscript"/>
                <w:lang w:bidi="ar"/>
              </w:rPr>
              <w:t>3</w:t>
            </w:r>
            <w:r>
              <w:rPr>
                <w:rFonts w:ascii="Times New Roman" w:hAnsi="Times New Roman" w:eastAsia="宋体" w:cs="Times New Roman"/>
                <w:color w:val="auto"/>
                <w:sz w:val="24"/>
                <w:lang w:bidi="ar"/>
              </w:rPr>
              <w:t>/a，</w:t>
            </w:r>
            <w:r>
              <w:rPr>
                <w:rFonts w:hint="eastAsia" w:ascii="宋体" w:hAnsi="宋体" w:eastAsia="宋体" w:cs="宋体"/>
                <w:color w:val="auto"/>
                <w:sz w:val="24"/>
                <w:lang w:bidi="ar"/>
              </w:rPr>
              <w:t>经防渗旱厕处理后用于林木施肥，不直接排入地表水体，污水对项目周边环境影响较小。通过相似类型污水水质类比，确定本项目的生活污水水质中的主要污染物成分的浓度为</w:t>
            </w:r>
            <w:r>
              <w:rPr>
                <w:rFonts w:ascii="Times New Roman" w:hAnsi="Times New Roman" w:eastAsia="宋体" w:cs="Times New Roman"/>
                <w:color w:val="auto"/>
                <w:sz w:val="24"/>
                <w:lang w:bidi="ar"/>
              </w:rPr>
              <w:t>：COD</w:t>
            </w:r>
            <w:r>
              <w:rPr>
                <w:rFonts w:ascii="Times New Roman" w:hAnsi="Times New Roman" w:eastAsia="宋体" w:cs="Times New Roman"/>
                <w:color w:val="auto"/>
                <w:sz w:val="24"/>
                <w:vertAlign w:val="subscript"/>
                <w:lang w:bidi="ar"/>
              </w:rPr>
              <w:t>Cr</w:t>
            </w:r>
            <w:r>
              <w:rPr>
                <w:rFonts w:ascii="Times New Roman" w:hAnsi="Times New Roman" w:eastAsia="宋体" w:cs="Times New Roman"/>
                <w:color w:val="auto"/>
                <w:sz w:val="24"/>
                <w:lang w:bidi="ar"/>
              </w:rPr>
              <w:t xml:space="preserve"> 250 mg/L、BOD</w:t>
            </w:r>
            <w:r>
              <w:rPr>
                <w:rFonts w:ascii="Times New Roman" w:hAnsi="Times New Roman" w:eastAsia="宋体" w:cs="Times New Roman"/>
                <w:color w:val="auto"/>
                <w:sz w:val="24"/>
                <w:vertAlign w:val="subscript"/>
                <w:lang w:bidi="ar"/>
              </w:rPr>
              <w:t>5</w:t>
            </w:r>
            <w:r>
              <w:rPr>
                <w:rFonts w:ascii="Times New Roman" w:hAnsi="Times New Roman" w:eastAsia="宋体" w:cs="Times New Roman"/>
                <w:color w:val="auto"/>
                <w:sz w:val="24"/>
                <w:lang w:bidi="ar"/>
              </w:rPr>
              <w:t xml:space="preserve"> 150 mg/L、SS 200mg/L、NH</w:t>
            </w:r>
            <w:r>
              <w:rPr>
                <w:rFonts w:ascii="Times New Roman" w:hAnsi="Times New Roman" w:eastAsia="宋体" w:cs="Times New Roman"/>
                <w:color w:val="auto"/>
                <w:sz w:val="24"/>
                <w:vertAlign w:val="subscript"/>
                <w:lang w:bidi="ar"/>
              </w:rPr>
              <w:t>3</w:t>
            </w:r>
            <w:r>
              <w:rPr>
                <w:rFonts w:ascii="Times New Roman" w:hAnsi="Times New Roman" w:eastAsia="宋体" w:cs="Times New Roman"/>
                <w:color w:val="auto"/>
                <w:sz w:val="24"/>
                <w:lang w:bidi="ar"/>
              </w:rPr>
              <w:t>-N 30mg/L、Tp4mg/L。</w:t>
            </w:r>
          </w:p>
          <w:p w14:paraId="5C4F3E03">
            <w:pPr>
              <w:keepNext w:val="0"/>
              <w:keepLines w:val="0"/>
              <w:suppressLineNumbers w:val="0"/>
              <w:tabs>
                <w:tab w:val="left" w:pos="2100"/>
                <w:tab w:val="center" w:pos="4663"/>
              </w:tabs>
              <w:spacing w:before="0" w:beforeAutospacing="0" w:after="0" w:afterAutospacing="0"/>
              <w:ind w:left="0" w:right="0" w:firstLine="482" w:firstLineChars="200"/>
              <w:jc w:val="center"/>
              <w:rPr>
                <w:rFonts w:ascii="Times New Roman" w:hAnsi="Times New Roman" w:eastAsia="宋体" w:cs="Times New Roman"/>
                <w:b/>
                <w:bCs/>
                <w:color w:val="auto"/>
              </w:rPr>
            </w:pPr>
            <w:r>
              <w:rPr>
                <w:rFonts w:ascii="Times New Roman" w:hAnsi="Times New Roman" w:eastAsia="宋体" w:cs="Times New Roman"/>
                <w:b/>
                <w:bCs/>
                <w:color w:val="auto"/>
                <w:sz w:val="24"/>
                <w:lang w:bidi="ar"/>
              </w:rPr>
              <w:t>表</w:t>
            </w:r>
            <w:r>
              <w:rPr>
                <w:rFonts w:hint="eastAsia" w:ascii="Times New Roman" w:hAnsi="Times New Roman" w:eastAsia="宋体" w:cs="Times New Roman"/>
                <w:b/>
                <w:bCs/>
                <w:color w:val="auto"/>
                <w:sz w:val="24"/>
                <w:lang w:bidi="ar"/>
              </w:rPr>
              <w:t>4-6</w:t>
            </w:r>
            <w:r>
              <w:rPr>
                <w:rFonts w:ascii="Times New Roman" w:hAnsi="Times New Roman" w:eastAsia="宋体" w:cs="Times New Roman"/>
                <w:b/>
                <w:bCs/>
                <w:color w:val="auto"/>
                <w:sz w:val="24"/>
                <w:lang w:bidi="ar"/>
              </w:rPr>
              <w:t xml:space="preserve">   项目生活污水产生及排放情况一览表</w:t>
            </w:r>
          </w:p>
          <w:tbl>
            <w:tblPr>
              <w:tblStyle w:val="26"/>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497"/>
              <w:gridCol w:w="3076"/>
              <w:gridCol w:w="837"/>
              <w:gridCol w:w="834"/>
              <w:gridCol w:w="834"/>
              <w:gridCol w:w="837"/>
              <w:gridCol w:w="765"/>
            </w:tblGrid>
            <w:tr w14:paraId="0F2B3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633" w:type="pct"/>
                  <w:gridSpan w:val="2"/>
                  <w:noWrap w:val="0"/>
                  <w:vAlign w:val="center"/>
                </w:tcPr>
                <w:p w14:paraId="1CC977B6">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lang w:bidi="ar"/>
                    </w:rPr>
                    <w:t>项</w:t>
                  </w:r>
                  <w:r>
                    <w:rPr>
                      <w:rFonts w:ascii="Calibri" w:hAnsi="Calibri" w:eastAsia="宋体" w:cs="Times New Roman"/>
                      <w:color w:val="auto"/>
                      <w:lang w:bidi="ar"/>
                    </w:rPr>
                    <w:t xml:space="preserve">  </w:t>
                  </w:r>
                  <w:r>
                    <w:rPr>
                      <w:rFonts w:ascii="Calibri" w:hAnsi="宋体" w:eastAsia="宋体" w:cs="Times New Roman"/>
                      <w:color w:val="auto"/>
                      <w:lang w:bidi="ar"/>
                    </w:rPr>
                    <w:t>目</w:t>
                  </w:r>
                </w:p>
              </w:tc>
              <w:tc>
                <w:tcPr>
                  <w:tcW w:w="482" w:type="pct"/>
                  <w:noWrap w:val="0"/>
                  <w:vAlign w:val="center"/>
                </w:tcPr>
                <w:p w14:paraId="0373BC61">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lang w:bidi="ar"/>
                    </w:rPr>
                    <w:t>COD</w:t>
                  </w:r>
                  <w:r>
                    <w:rPr>
                      <w:rFonts w:ascii="Calibri" w:hAnsi="Calibri" w:eastAsia="宋体" w:cs="Times New Roman"/>
                      <w:color w:val="auto"/>
                      <w:vertAlign w:val="subscript"/>
                      <w:lang w:bidi="ar"/>
                    </w:rPr>
                    <w:t>Cr</w:t>
                  </w:r>
                </w:p>
              </w:tc>
              <w:tc>
                <w:tcPr>
                  <w:tcW w:w="480" w:type="pct"/>
                  <w:noWrap w:val="0"/>
                  <w:vAlign w:val="center"/>
                </w:tcPr>
                <w:p w14:paraId="2CAEBCD3">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lang w:bidi="ar"/>
                    </w:rPr>
                    <w:t>BOD</w:t>
                  </w:r>
                  <w:r>
                    <w:rPr>
                      <w:rFonts w:ascii="Calibri" w:hAnsi="Calibri" w:eastAsia="宋体" w:cs="Times New Roman"/>
                      <w:color w:val="auto"/>
                      <w:vertAlign w:val="subscript"/>
                      <w:lang w:bidi="ar"/>
                    </w:rPr>
                    <w:t>5</w:t>
                  </w:r>
                </w:p>
              </w:tc>
              <w:tc>
                <w:tcPr>
                  <w:tcW w:w="480" w:type="pct"/>
                  <w:noWrap w:val="0"/>
                  <w:vAlign w:val="center"/>
                </w:tcPr>
                <w:p w14:paraId="6AA487B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lang w:bidi="ar"/>
                    </w:rPr>
                    <w:t>SS</w:t>
                  </w:r>
                </w:p>
              </w:tc>
              <w:tc>
                <w:tcPr>
                  <w:tcW w:w="482" w:type="pct"/>
                  <w:noWrap w:val="0"/>
                  <w:vAlign w:val="center"/>
                </w:tcPr>
                <w:p w14:paraId="094C2FE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lang w:bidi="ar"/>
                    </w:rPr>
                    <w:t>NH</w:t>
                  </w:r>
                  <w:r>
                    <w:rPr>
                      <w:rFonts w:ascii="Calibri" w:hAnsi="Calibri" w:eastAsia="宋体" w:cs="Times New Roman"/>
                      <w:color w:val="auto"/>
                      <w:vertAlign w:val="subscript"/>
                      <w:lang w:bidi="ar"/>
                    </w:rPr>
                    <w:t>3</w:t>
                  </w:r>
                  <w:r>
                    <w:rPr>
                      <w:rFonts w:ascii="Calibri" w:hAnsi="Calibri" w:eastAsia="宋体" w:cs="Times New Roman"/>
                      <w:color w:val="auto"/>
                      <w:lang w:bidi="ar"/>
                    </w:rPr>
                    <w:t>-N</w:t>
                  </w:r>
                </w:p>
              </w:tc>
              <w:tc>
                <w:tcPr>
                  <w:tcW w:w="440" w:type="pct"/>
                  <w:noWrap w:val="0"/>
                  <w:vAlign w:val="center"/>
                </w:tcPr>
                <w:p w14:paraId="6767E8D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lang w:bidi="ar"/>
                    </w:rPr>
                    <w:t>TP</w:t>
                  </w:r>
                </w:p>
              </w:tc>
            </w:tr>
            <w:tr w14:paraId="6D7535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62" w:type="pct"/>
                  <w:vMerge w:val="restart"/>
                  <w:noWrap w:val="0"/>
                  <w:vAlign w:val="center"/>
                </w:tcPr>
                <w:p w14:paraId="182543DA">
                  <w:pPr>
                    <w:keepNext w:val="0"/>
                    <w:keepLines w:val="0"/>
                    <w:suppressLineNumbers w:val="0"/>
                    <w:spacing w:before="0" w:beforeAutospacing="0" w:after="0" w:afterAutospacing="0"/>
                    <w:ind w:left="0" w:right="0"/>
                    <w:jc w:val="center"/>
                    <w:rPr>
                      <w:rFonts w:ascii="Calibri" w:hAnsi="宋体" w:eastAsia="宋体" w:cs="Times New Roman"/>
                      <w:color w:val="auto"/>
                      <w:lang w:bidi="ar"/>
                    </w:rPr>
                  </w:pPr>
                  <w:r>
                    <w:rPr>
                      <w:rFonts w:ascii="Calibri" w:hAnsi="宋体" w:eastAsia="宋体" w:cs="Times New Roman"/>
                      <w:color w:val="auto"/>
                      <w:lang w:bidi="ar"/>
                    </w:rPr>
                    <w:t>生活污水</w:t>
                  </w:r>
                </w:p>
                <w:p w14:paraId="67EE6E05">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lang w:bidi="ar"/>
                    </w:rPr>
                    <w:t>（</w:t>
                  </w:r>
                  <w:r>
                    <w:rPr>
                      <w:rFonts w:hint="eastAsia" w:ascii="Calibri" w:hAnsi="宋体" w:eastAsia="宋体" w:cs="Times New Roman"/>
                      <w:color w:val="auto"/>
                      <w:lang w:bidi="ar"/>
                    </w:rPr>
                    <w:t>36</w:t>
                  </w:r>
                  <w:r>
                    <w:rPr>
                      <w:rFonts w:hint="eastAsia" w:ascii="Calibri" w:hAnsi="Calibri" w:eastAsia="宋体" w:cs="Times New Roman"/>
                      <w:color w:val="auto"/>
                      <w:lang w:bidi="ar"/>
                    </w:rPr>
                    <w:t>0</w:t>
                  </w:r>
                  <w:r>
                    <w:rPr>
                      <w:rFonts w:ascii="Calibri" w:hAnsi="Calibri" w:eastAsia="宋体" w:cs="Times New Roman"/>
                      <w:color w:val="auto"/>
                      <w:lang w:bidi="ar"/>
                    </w:rPr>
                    <w:t>m</w:t>
                  </w:r>
                  <w:r>
                    <w:rPr>
                      <w:rFonts w:ascii="Calibri" w:hAnsi="Calibri" w:eastAsia="宋体" w:cs="Times New Roman"/>
                      <w:color w:val="auto"/>
                      <w:vertAlign w:val="superscript"/>
                      <w:lang w:bidi="ar"/>
                    </w:rPr>
                    <w:t>3</w:t>
                  </w:r>
                  <w:r>
                    <w:rPr>
                      <w:rFonts w:ascii="Calibri" w:hAnsi="Calibri" w:eastAsia="宋体" w:cs="Times New Roman"/>
                      <w:color w:val="auto"/>
                      <w:lang w:bidi="ar"/>
                    </w:rPr>
                    <w:t>/a</w:t>
                  </w:r>
                  <w:r>
                    <w:rPr>
                      <w:rFonts w:ascii="Calibri" w:hAnsi="宋体" w:eastAsia="宋体" w:cs="Times New Roman"/>
                      <w:color w:val="auto"/>
                      <w:lang w:bidi="ar"/>
                    </w:rPr>
                    <w:t>）</w:t>
                  </w:r>
                </w:p>
              </w:tc>
              <w:tc>
                <w:tcPr>
                  <w:tcW w:w="1770" w:type="pct"/>
                  <w:noWrap w:val="0"/>
                  <w:vAlign w:val="center"/>
                </w:tcPr>
                <w:p w14:paraId="7980E6D2">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lang w:bidi="ar"/>
                    </w:rPr>
                    <w:t>污水水质（</w:t>
                  </w:r>
                  <w:r>
                    <w:rPr>
                      <w:rFonts w:ascii="Calibri" w:hAnsi="Calibri" w:eastAsia="宋体" w:cs="Times New Roman"/>
                      <w:color w:val="auto"/>
                      <w:lang w:bidi="ar"/>
                    </w:rPr>
                    <w:t>mg/L</w:t>
                  </w:r>
                  <w:r>
                    <w:rPr>
                      <w:rFonts w:ascii="Calibri" w:hAnsi="宋体" w:eastAsia="宋体" w:cs="Times New Roman"/>
                      <w:color w:val="auto"/>
                      <w:lang w:bidi="ar"/>
                    </w:rPr>
                    <w:t>）</w:t>
                  </w:r>
                </w:p>
              </w:tc>
              <w:tc>
                <w:tcPr>
                  <w:tcW w:w="482" w:type="pct"/>
                  <w:noWrap w:val="0"/>
                  <w:vAlign w:val="center"/>
                </w:tcPr>
                <w:p w14:paraId="3182871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250</w:t>
                  </w:r>
                </w:p>
              </w:tc>
              <w:tc>
                <w:tcPr>
                  <w:tcW w:w="480" w:type="pct"/>
                  <w:noWrap w:val="0"/>
                  <w:vAlign w:val="center"/>
                </w:tcPr>
                <w:p w14:paraId="39639FCB">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150</w:t>
                  </w:r>
                </w:p>
              </w:tc>
              <w:tc>
                <w:tcPr>
                  <w:tcW w:w="480" w:type="pct"/>
                  <w:noWrap w:val="0"/>
                  <w:vAlign w:val="center"/>
                </w:tcPr>
                <w:p w14:paraId="1DBF78E1">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200</w:t>
                  </w:r>
                </w:p>
              </w:tc>
              <w:tc>
                <w:tcPr>
                  <w:tcW w:w="482" w:type="pct"/>
                  <w:noWrap w:val="0"/>
                  <w:vAlign w:val="center"/>
                </w:tcPr>
                <w:p w14:paraId="356481E9">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30</w:t>
                  </w:r>
                </w:p>
              </w:tc>
              <w:tc>
                <w:tcPr>
                  <w:tcW w:w="440" w:type="pct"/>
                  <w:noWrap w:val="0"/>
                  <w:vAlign w:val="center"/>
                </w:tcPr>
                <w:p w14:paraId="2D54C83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4</w:t>
                  </w:r>
                </w:p>
              </w:tc>
            </w:tr>
            <w:tr w14:paraId="14EFA7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62" w:type="pct"/>
                  <w:vMerge w:val="continue"/>
                  <w:noWrap w:val="0"/>
                  <w:vAlign w:val="center"/>
                </w:tcPr>
                <w:p w14:paraId="22987D68">
                  <w:pPr>
                    <w:keepNext w:val="0"/>
                    <w:keepLines w:val="0"/>
                    <w:suppressLineNumbers w:val="0"/>
                    <w:spacing w:before="0" w:beforeAutospacing="0" w:after="0" w:afterAutospacing="0"/>
                    <w:ind w:left="0" w:right="0"/>
                    <w:rPr>
                      <w:rFonts w:ascii="Calibri" w:hAnsi="Calibri" w:eastAsia="宋体" w:cs="Times New Roman"/>
                      <w:color w:val="auto"/>
                    </w:rPr>
                  </w:pPr>
                </w:p>
              </w:tc>
              <w:tc>
                <w:tcPr>
                  <w:tcW w:w="1770" w:type="pct"/>
                  <w:noWrap w:val="0"/>
                  <w:vAlign w:val="center"/>
                </w:tcPr>
                <w:p w14:paraId="3FCC8985">
                  <w:pPr>
                    <w:pStyle w:val="5"/>
                    <w:widowControl/>
                    <w:spacing w:line="240" w:lineRule="auto"/>
                    <w:ind w:firstLine="0" w:firstLineChars="0"/>
                    <w:rPr>
                      <w:color w:val="auto"/>
                      <w:sz w:val="21"/>
                      <w:szCs w:val="21"/>
                    </w:rPr>
                  </w:pPr>
                  <w:r>
                    <w:rPr>
                      <w:rFonts w:hAnsi="宋体"/>
                      <w:color w:val="auto"/>
                      <w:sz w:val="21"/>
                      <w:szCs w:val="21"/>
                    </w:rPr>
                    <w:t>污染源强（</w:t>
                  </w:r>
                  <w:r>
                    <w:rPr>
                      <w:color w:val="auto"/>
                      <w:sz w:val="21"/>
                      <w:szCs w:val="21"/>
                    </w:rPr>
                    <w:t>t/a)</w:t>
                  </w:r>
                </w:p>
              </w:tc>
              <w:tc>
                <w:tcPr>
                  <w:tcW w:w="482" w:type="pct"/>
                  <w:noWrap w:val="0"/>
                  <w:vAlign w:val="bottom"/>
                </w:tcPr>
                <w:p w14:paraId="5C045257">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0.090</w:t>
                  </w:r>
                </w:p>
              </w:tc>
              <w:tc>
                <w:tcPr>
                  <w:tcW w:w="480" w:type="pct"/>
                  <w:noWrap w:val="0"/>
                  <w:vAlign w:val="bottom"/>
                </w:tcPr>
                <w:p w14:paraId="1A1C5D02">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0.054</w:t>
                  </w:r>
                </w:p>
              </w:tc>
              <w:tc>
                <w:tcPr>
                  <w:tcW w:w="480" w:type="pct"/>
                  <w:noWrap w:val="0"/>
                  <w:vAlign w:val="bottom"/>
                </w:tcPr>
                <w:p w14:paraId="272C7561">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0.072</w:t>
                  </w:r>
                </w:p>
              </w:tc>
              <w:tc>
                <w:tcPr>
                  <w:tcW w:w="482" w:type="pct"/>
                  <w:noWrap w:val="0"/>
                  <w:vAlign w:val="bottom"/>
                </w:tcPr>
                <w:p w14:paraId="5B76377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0.011</w:t>
                  </w:r>
                </w:p>
              </w:tc>
              <w:tc>
                <w:tcPr>
                  <w:tcW w:w="440" w:type="pct"/>
                  <w:noWrap w:val="0"/>
                  <w:vAlign w:val="bottom"/>
                </w:tcPr>
                <w:p w14:paraId="01DF6282">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0.001</w:t>
                  </w:r>
                </w:p>
              </w:tc>
            </w:tr>
            <w:tr w14:paraId="612F7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62" w:type="pct"/>
                  <w:vMerge w:val="continue"/>
                  <w:noWrap w:val="0"/>
                  <w:vAlign w:val="center"/>
                </w:tcPr>
                <w:p w14:paraId="68114228">
                  <w:pPr>
                    <w:keepNext w:val="0"/>
                    <w:keepLines w:val="0"/>
                    <w:suppressLineNumbers w:val="0"/>
                    <w:spacing w:before="0" w:beforeAutospacing="0" w:after="0" w:afterAutospacing="0"/>
                    <w:ind w:left="0" w:right="0"/>
                    <w:rPr>
                      <w:rFonts w:ascii="Calibri" w:hAnsi="Calibri" w:eastAsia="宋体" w:cs="Times New Roman"/>
                      <w:color w:val="auto"/>
                    </w:rPr>
                  </w:pPr>
                </w:p>
              </w:tc>
              <w:tc>
                <w:tcPr>
                  <w:tcW w:w="1770" w:type="pct"/>
                  <w:noWrap w:val="0"/>
                  <w:vAlign w:val="center"/>
                </w:tcPr>
                <w:p w14:paraId="5DEDE5E7">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lang w:bidi="ar"/>
                    </w:rPr>
                    <w:t>污水排放浓度（</w:t>
                  </w:r>
                  <w:r>
                    <w:rPr>
                      <w:rFonts w:ascii="Calibri" w:hAnsi="Calibri" w:eastAsia="宋体" w:cs="Times New Roman"/>
                      <w:color w:val="auto"/>
                      <w:lang w:bidi="ar"/>
                    </w:rPr>
                    <w:t>mg/L</w:t>
                  </w:r>
                  <w:r>
                    <w:rPr>
                      <w:rFonts w:ascii="Calibri" w:hAnsi="宋体" w:eastAsia="宋体" w:cs="Times New Roman"/>
                      <w:color w:val="auto"/>
                      <w:lang w:bidi="ar"/>
                    </w:rPr>
                    <w:t>）</w:t>
                  </w:r>
                </w:p>
              </w:tc>
              <w:tc>
                <w:tcPr>
                  <w:tcW w:w="482" w:type="pct"/>
                  <w:noWrap w:val="0"/>
                  <w:vAlign w:val="center"/>
                </w:tcPr>
                <w:p w14:paraId="0DD504B1">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180</w:t>
                  </w:r>
                </w:p>
              </w:tc>
              <w:tc>
                <w:tcPr>
                  <w:tcW w:w="480" w:type="pct"/>
                  <w:noWrap w:val="0"/>
                  <w:vAlign w:val="center"/>
                </w:tcPr>
                <w:p w14:paraId="70E77633">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100</w:t>
                  </w:r>
                </w:p>
              </w:tc>
              <w:tc>
                <w:tcPr>
                  <w:tcW w:w="480" w:type="pct"/>
                  <w:noWrap w:val="0"/>
                  <w:vAlign w:val="center"/>
                </w:tcPr>
                <w:p w14:paraId="1BCFD12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100</w:t>
                  </w:r>
                </w:p>
              </w:tc>
              <w:tc>
                <w:tcPr>
                  <w:tcW w:w="482" w:type="pct"/>
                  <w:noWrap w:val="0"/>
                  <w:vAlign w:val="center"/>
                </w:tcPr>
                <w:p w14:paraId="7B1B242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25</w:t>
                  </w:r>
                </w:p>
              </w:tc>
              <w:tc>
                <w:tcPr>
                  <w:tcW w:w="440" w:type="pct"/>
                  <w:noWrap w:val="0"/>
                  <w:vAlign w:val="center"/>
                </w:tcPr>
                <w:p w14:paraId="240FECA4">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Calibri" w:eastAsia="宋体" w:cs="Times New Roman"/>
                      <w:color w:val="auto"/>
                    </w:rPr>
                    <w:t>4</w:t>
                  </w:r>
                </w:p>
              </w:tc>
            </w:tr>
            <w:tr w14:paraId="1DCE51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62" w:type="pct"/>
                  <w:vMerge w:val="continue"/>
                  <w:noWrap w:val="0"/>
                  <w:vAlign w:val="center"/>
                </w:tcPr>
                <w:p w14:paraId="7DD84D6E">
                  <w:pPr>
                    <w:keepNext w:val="0"/>
                    <w:keepLines w:val="0"/>
                    <w:suppressLineNumbers w:val="0"/>
                    <w:spacing w:before="0" w:beforeAutospacing="0" w:after="0" w:afterAutospacing="0"/>
                    <w:ind w:left="0" w:right="0"/>
                    <w:rPr>
                      <w:rFonts w:ascii="Calibri" w:hAnsi="Calibri" w:eastAsia="宋体" w:cs="Times New Roman"/>
                      <w:color w:val="auto"/>
                    </w:rPr>
                  </w:pPr>
                </w:p>
              </w:tc>
              <w:tc>
                <w:tcPr>
                  <w:tcW w:w="1770" w:type="pct"/>
                  <w:noWrap w:val="0"/>
                  <w:vAlign w:val="center"/>
                </w:tcPr>
                <w:p w14:paraId="4F037E86">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lang w:bidi="ar"/>
                    </w:rPr>
                    <w:t>排放量（</w:t>
                  </w:r>
                  <w:r>
                    <w:rPr>
                      <w:rFonts w:ascii="Calibri" w:hAnsi="Calibri" w:eastAsia="宋体" w:cs="Times New Roman"/>
                      <w:color w:val="auto"/>
                      <w:lang w:bidi="ar"/>
                    </w:rPr>
                    <w:t>t/a</w:t>
                  </w:r>
                  <w:r>
                    <w:rPr>
                      <w:rFonts w:ascii="Calibri" w:hAnsi="宋体" w:eastAsia="宋体" w:cs="Times New Roman"/>
                      <w:color w:val="auto"/>
                      <w:lang w:bidi="ar"/>
                    </w:rPr>
                    <w:t>）</w:t>
                  </w:r>
                </w:p>
              </w:tc>
              <w:tc>
                <w:tcPr>
                  <w:tcW w:w="482" w:type="pct"/>
                  <w:noWrap w:val="0"/>
                  <w:vAlign w:val="bottom"/>
                </w:tcPr>
                <w:p w14:paraId="21A264E2">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0.065</w:t>
                  </w:r>
                </w:p>
              </w:tc>
              <w:tc>
                <w:tcPr>
                  <w:tcW w:w="480" w:type="pct"/>
                  <w:noWrap w:val="0"/>
                  <w:vAlign w:val="bottom"/>
                </w:tcPr>
                <w:p w14:paraId="78517AA4">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0.036</w:t>
                  </w:r>
                </w:p>
              </w:tc>
              <w:tc>
                <w:tcPr>
                  <w:tcW w:w="480" w:type="pct"/>
                  <w:noWrap w:val="0"/>
                  <w:vAlign w:val="bottom"/>
                </w:tcPr>
                <w:p w14:paraId="0A1BAA16">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0.036</w:t>
                  </w:r>
                </w:p>
              </w:tc>
              <w:tc>
                <w:tcPr>
                  <w:tcW w:w="482" w:type="pct"/>
                  <w:noWrap w:val="0"/>
                  <w:vAlign w:val="bottom"/>
                </w:tcPr>
                <w:p w14:paraId="41864A15">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0.009</w:t>
                  </w:r>
                </w:p>
              </w:tc>
              <w:tc>
                <w:tcPr>
                  <w:tcW w:w="440" w:type="pct"/>
                  <w:noWrap w:val="0"/>
                  <w:vAlign w:val="bottom"/>
                </w:tcPr>
                <w:p w14:paraId="59F4A1C8">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0.001</w:t>
                  </w:r>
                </w:p>
              </w:tc>
            </w:tr>
          </w:tbl>
          <w:p w14:paraId="1953D36F">
            <w:pPr>
              <w:pStyle w:val="44"/>
              <w:keepNext w:val="0"/>
              <w:keepLines w:val="0"/>
              <w:suppressLineNumbers w:val="0"/>
              <w:spacing w:before="0" w:beforeAutospacing="0" w:after="0" w:afterAutospacing="0" w:line="360" w:lineRule="auto"/>
              <w:ind w:left="0" w:right="0" w:firstLine="482"/>
              <w:rPr>
                <w:rFonts w:hint="eastAsia" w:ascii="Calibri" w:hAnsi="Calibri" w:eastAsia="宋体" w:cs="Times New Roman"/>
                <w:b/>
                <w:color w:val="auto"/>
              </w:rPr>
            </w:pPr>
            <w:r>
              <w:rPr>
                <w:rFonts w:hint="eastAsia" w:ascii="Calibri" w:hAnsi="宋体" w:eastAsia="宋体" w:cs="Times New Roman"/>
                <w:b/>
                <w:color w:val="auto"/>
              </w:rPr>
              <w:t>3、</w:t>
            </w:r>
            <w:r>
              <w:rPr>
                <w:rFonts w:ascii="Calibri" w:hAnsi="宋体" w:eastAsia="宋体" w:cs="Times New Roman"/>
                <w:b/>
                <w:color w:val="auto"/>
              </w:rPr>
              <w:t>建设项目污染物排放信息</w:t>
            </w:r>
          </w:p>
          <w:p w14:paraId="79738188">
            <w:pPr>
              <w:keepNext w:val="0"/>
              <w:keepLines w:val="0"/>
              <w:suppressLineNumbers w:val="0"/>
              <w:spacing w:before="0" w:beforeAutospacing="0" w:after="0" w:afterAutospacing="0" w:line="360" w:lineRule="auto"/>
              <w:ind w:left="0" w:right="0" w:firstLine="480" w:firstLineChars="200"/>
              <w:jc w:val="left"/>
              <w:rPr>
                <w:rFonts w:ascii="Calibri" w:hAnsi="Calibri" w:eastAsia="宋体" w:cs="Times New Roman"/>
                <w:bCs/>
                <w:color w:val="auto"/>
                <w:sz w:val="24"/>
              </w:rPr>
            </w:pPr>
            <w:r>
              <w:rPr>
                <w:rFonts w:hint="eastAsia" w:ascii="Calibri" w:hAnsi="宋体" w:eastAsia="宋体" w:cs="Times New Roman"/>
                <w:bCs/>
                <w:color w:val="auto"/>
                <w:sz w:val="24"/>
              </w:rPr>
              <w:t>（1）项目</w:t>
            </w:r>
            <w:r>
              <w:rPr>
                <w:rFonts w:ascii="Calibri" w:hAnsi="宋体" w:eastAsia="宋体" w:cs="Times New Roman"/>
                <w:bCs/>
                <w:color w:val="auto"/>
                <w:sz w:val="24"/>
              </w:rPr>
              <w:t>废水类别、污染物及污染治理设施信息，详见表</w:t>
            </w:r>
            <w:r>
              <w:rPr>
                <w:rFonts w:hint="eastAsia" w:ascii="Calibri" w:hAnsi="Calibri" w:eastAsia="宋体" w:cs="Times New Roman"/>
                <w:bCs/>
                <w:color w:val="auto"/>
                <w:sz w:val="24"/>
              </w:rPr>
              <w:t>4-7</w:t>
            </w:r>
            <w:r>
              <w:rPr>
                <w:rFonts w:ascii="Calibri" w:hAnsi="宋体" w:eastAsia="宋体" w:cs="Times New Roman"/>
                <w:bCs/>
                <w:color w:val="auto"/>
                <w:sz w:val="24"/>
              </w:rPr>
              <w:t>。</w:t>
            </w:r>
          </w:p>
          <w:p w14:paraId="27101AA3">
            <w:pPr>
              <w:keepNext w:val="0"/>
              <w:keepLines w:val="0"/>
              <w:suppressLineNumbers w:val="0"/>
              <w:spacing w:before="0" w:beforeAutospacing="0" w:after="0" w:afterAutospacing="0"/>
              <w:ind w:left="0" w:right="0" w:firstLine="482" w:firstLineChars="200"/>
              <w:jc w:val="center"/>
              <w:rPr>
                <w:rFonts w:ascii="Calibri" w:hAnsi="Calibri" w:eastAsia="宋体" w:cs="Times New Roman"/>
                <w:b/>
                <w:bCs/>
                <w:color w:val="auto"/>
                <w:sz w:val="24"/>
              </w:rPr>
            </w:pPr>
            <w:r>
              <w:rPr>
                <w:rFonts w:ascii="Calibri" w:hAnsi="Calibri" w:eastAsia="宋体" w:cs="Times New Roman"/>
                <w:b/>
                <w:bCs/>
                <w:color w:val="auto"/>
                <w:sz w:val="24"/>
              </w:rPr>
              <w:t>表</w:t>
            </w:r>
            <w:r>
              <w:rPr>
                <w:rFonts w:hint="eastAsia" w:ascii="Calibri" w:hAnsi="Calibri" w:eastAsia="宋体" w:cs="Times New Roman"/>
                <w:b/>
                <w:bCs/>
                <w:color w:val="auto"/>
                <w:sz w:val="24"/>
              </w:rPr>
              <w:t>4-7</w:t>
            </w:r>
            <w:r>
              <w:rPr>
                <w:rFonts w:ascii="Calibri" w:hAnsi="Calibri" w:eastAsia="宋体" w:cs="Times New Roman"/>
                <w:b/>
                <w:bCs/>
                <w:color w:val="auto"/>
                <w:sz w:val="24"/>
              </w:rPr>
              <w:t xml:space="preserve"> 废水类别、污染物及污染治理设施信息表</w:t>
            </w:r>
          </w:p>
          <w:tbl>
            <w:tblPr>
              <w:tblStyle w:val="26"/>
              <w:tblW w:w="4995"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536"/>
              <w:gridCol w:w="1129"/>
              <w:gridCol w:w="681"/>
              <w:gridCol w:w="471"/>
              <w:gridCol w:w="950"/>
              <w:gridCol w:w="778"/>
              <w:gridCol w:w="796"/>
              <w:gridCol w:w="719"/>
              <w:gridCol w:w="681"/>
              <w:gridCol w:w="1470"/>
            </w:tblGrid>
            <w:tr w14:paraId="5302D98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68" w:type="pct"/>
                  <w:vMerge w:val="restart"/>
                  <w:noWrap w:val="0"/>
                  <w:vAlign w:val="center"/>
                </w:tcPr>
                <w:p w14:paraId="2A95A3D4">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序号</w:t>
                  </w:r>
                </w:p>
              </w:tc>
              <w:tc>
                <w:tcPr>
                  <w:tcW w:w="309" w:type="pct"/>
                  <w:vMerge w:val="restart"/>
                  <w:noWrap w:val="0"/>
                  <w:vAlign w:val="center"/>
                </w:tcPr>
                <w:p w14:paraId="5F70E88B">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废水类别</w:t>
                  </w:r>
                </w:p>
              </w:tc>
              <w:tc>
                <w:tcPr>
                  <w:tcW w:w="650" w:type="pct"/>
                  <w:vMerge w:val="restart"/>
                  <w:noWrap w:val="0"/>
                  <w:vAlign w:val="center"/>
                </w:tcPr>
                <w:p w14:paraId="26213D88">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污染物种类</w:t>
                  </w:r>
                </w:p>
              </w:tc>
              <w:tc>
                <w:tcPr>
                  <w:tcW w:w="392" w:type="pct"/>
                  <w:vMerge w:val="restart"/>
                  <w:noWrap w:val="0"/>
                  <w:vAlign w:val="center"/>
                </w:tcPr>
                <w:p w14:paraId="249126D7">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排放去向</w:t>
                  </w:r>
                </w:p>
              </w:tc>
              <w:tc>
                <w:tcPr>
                  <w:tcW w:w="271" w:type="pct"/>
                  <w:vMerge w:val="restart"/>
                  <w:noWrap w:val="0"/>
                  <w:vAlign w:val="center"/>
                </w:tcPr>
                <w:p w14:paraId="32804456">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排放规律</w:t>
                  </w:r>
                </w:p>
              </w:tc>
              <w:tc>
                <w:tcPr>
                  <w:tcW w:w="1453" w:type="pct"/>
                  <w:gridSpan w:val="3"/>
                  <w:noWrap w:val="0"/>
                  <w:vAlign w:val="center"/>
                </w:tcPr>
                <w:p w14:paraId="26CA9B2D">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污染治理设施</w:t>
                  </w:r>
                </w:p>
              </w:tc>
              <w:tc>
                <w:tcPr>
                  <w:tcW w:w="414" w:type="pct"/>
                  <w:vMerge w:val="restart"/>
                  <w:noWrap w:val="0"/>
                  <w:vAlign w:val="center"/>
                </w:tcPr>
                <w:p w14:paraId="510B1693">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排放口编号</w:t>
                  </w:r>
                </w:p>
              </w:tc>
              <w:tc>
                <w:tcPr>
                  <w:tcW w:w="392" w:type="pct"/>
                  <w:vMerge w:val="restart"/>
                  <w:noWrap w:val="0"/>
                  <w:vAlign w:val="center"/>
                </w:tcPr>
                <w:p w14:paraId="2C4CEF10">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排放口是否符合要求</w:t>
                  </w:r>
                </w:p>
              </w:tc>
              <w:tc>
                <w:tcPr>
                  <w:tcW w:w="846" w:type="pct"/>
                  <w:vMerge w:val="restart"/>
                  <w:noWrap w:val="0"/>
                  <w:vAlign w:val="center"/>
                </w:tcPr>
                <w:p w14:paraId="17463328">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排放口类型</w:t>
                  </w:r>
                </w:p>
              </w:tc>
            </w:tr>
            <w:tr w14:paraId="0F804C7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268" w:type="pct"/>
                  <w:vMerge w:val="continue"/>
                  <w:noWrap w:val="0"/>
                  <w:vAlign w:val="center"/>
                </w:tcPr>
                <w:p w14:paraId="4F0B4478">
                  <w:pPr>
                    <w:keepNext w:val="0"/>
                    <w:keepLines w:val="0"/>
                    <w:widowControl/>
                    <w:suppressLineNumbers w:val="0"/>
                    <w:spacing w:before="0" w:beforeAutospacing="0" w:after="0" w:afterAutospacing="0"/>
                    <w:ind w:left="0" w:right="0"/>
                    <w:jc w:val="left"/>
                    <w:rPr>
                      <w:rFonts w:ascii="Calibri" w:hAnsi="Calibri" w:eastAsia="宋体" w:cs="Times New Roman"/>
                      <w:color w:val="auto"/>
                    </w:rPr>
                  </w:pPr>
                </w:p>
              </w:tc>
              <w:tc>
                <w:tcPr>
                  <w:tcW w:w="309" w:type="pct"/>
                  <w:vMerge w:val="continue"/>
                  <w:noWrap w:val="0"/>
                  <w:vAlign w:val="center"/>
                </w:tcPr>
                <w:p w14:paraId="09D7902F">
                  <w:pPr>
                    <w:keepNext w:val="0"/>
                    <w:keepLines w:val="0"/>
                    <w:widowControl/>
                    <w:suppressLineNumbers w:val="0"/>
                    <w:spacing w:before="0" w:beforeAutospacing="0" w:after="0" w:afterAutospacing="0"/>
                    <w:ind w:left="0" w:right="0"/>
                    <w:jc w:val="left"/>
                    <w:rPr>
                      <w:rFonts w:ascii="Calibri" w:hAnsi="Calibri" w:eastAsia="宋体" w:cs="Times New Roman"/>
                      <w:color w:val="auto"/>
                    </w:rPr>
                  </w:pPr>
                </w:p>
              </w:tc>
              <w:tc>
                <w:tcPr>
                  <w:tcW w:w="650" w:type="pct"/>
                  <w:vMerge w:val="continue"/>
                  <w:noWrap w:val="0"/>
                  <w:vAlign w:val="center"/>
                </w:tcPr>
                <w:p w14:paraId="34481EA7">
                  <w:pPr>
                    <w:keepNext w:val="0"/>
                    <w:keepLines w:val="0"/>
                    <w:widowControl/>
                    <w:suppressLineNumbers w:val="0"/>
                    <w:spacing w:before="0" w:beforeAutospacing="0" w:after="0" w:afterAutospacing="0"/>
                    <w:ind w:left="0" w:right="0"/>
                    <w:jc w:val="left"/>
                    <w:rPr>
                      <w:rFonts w:ascii="Calibri" w:hAnsi="Calibri" w:eastAsia="宋体" w:cs="Times New Roman"/>
                      <w:color w:val="auto"/>
                    </w:rPr>
                  </w:pPr>
                </w:p>
              </w:tc>
              <w:tc>
                <w:tcPr>
                  <w:tcW w:w="392" w:type="pct"/>
                  <w:vMerge w:val="continue"/>
                  <w:noWrap w:val="0"/>
                  <w:vAlign w:val="center"/>
                </w:tcPr>
                <w:p w14:paraId="5EEC2B56">
                  <w:pPr>
                    <w:keepNext w:val="0"/>
                    <w:keepLines w:val="0"/>
                    <w:widowControl/>
                    <w:suppressLineNumbers w:val="0"/>
                    <w:spacing w:before="0" w:beforeAutospacing="0" w:after="0" w:afterAutospacing="0"/>
                    <w:ind w:left="0" w:right="0"/>
                    <w:jc w:val="left"/>
                    <w:rPr>
                      <w:rFonts w:ascii="Calibri" w:hAnsi="Calibri" w:eastAsia="宋体" w:cs="Times New Roman"/>
                      <w:color w:val="auto"/>
                    </w:rPr>
                  </w:pPr>
                </w:p>
              </w:tc>
              <w:tc>
                <w:tcPr>
                  <w:tcW w:w="271" w:type="pct"/>
                  <w:vMerge w:val="continue"/>
                  <w:noWrap w:val="0"/>
                  <w:vAlign w:val="center"/>
                </w:tcPr>
                <w:p w14:paraId="333932D4">
                  <w:pPr>
                    <w:keepNext w:val="0"/>
                    <w:keepLines w:val="0"/>
                    <w:widowControl/>
                    <w:suppressLineNumbers w:val="0"/>
                    <w:spacing w:before="0" w:beforeAutospacing="0" w:after="0" w:afterAutospacing="0"/>
                    <w:ind w:left="0" w:right="0"/>
                    <w:jc w:val="left"/>
                    <w:rPr>
                      <w:rFonts w:ascii="Calibri" w:hAnsi="Calibri" w:eastAsia="宋体" w:cs="Times New Roman"/>
                      <w:color w:val="auto"/>
                    </w:rPr>
                  </w:pPr>
                </w:p>
              </w:tc>
              <w:tc>
                <w:tcPr>
                  <w:tcW w:w="547" w:type="pct"/>
                  <w:noWrap w:val="0"/>
                  <w:vAlign w:val="center"/>
                </w:tcPr>
                <w:p w14:paraId="6B693F6F">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污染治理设施编号</w:t>
                  </w:r>
                </w:p>
              </w:tc>
              <w:tc>
                <w:tcPr>
                  <w:tcW w:w="448" w:type="pct"/>
                  <w:noWrap w:val="0"/>
                  <w:vAlign w:val="center"/>
                </w:tcPr>
                <w:p w14:paraId="14F2683C">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污染治理设施名称</w:t>
                  </w:r>
                </w:p>
              </w:tc>
              <w:tc>
                <w:tcPr>
                  <w:tcW w:w="458" w:type="pct"/>
                  <w:noWrap w:val="0"/>
                  <w:vAlign w:val="center"/>
                </w:tcPr>
                <w:p w14:paraId="773ADA1F">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宋体" w:eastAsia="宋体" w:cs="Times New Roman"/>
                      <w:color w:val="auto"/>
                    </w:rPr>
                    <w:t>污染治理设施工艺</w:t>
                  </w:r>
                </w:p>
              </w:tc>
              <w:tc>
                <w:tcPr>
                  <w:tcW w:w="414" w:type="pct"/>
                  <w:vMerge w:val="continue"/>
                  <w:noWrap w:val="0"/>
                  <w:vAlign w:val="center"/>
                </w:tcPr>
                <w:p w14:paraId="39E6277E">
                  <w:pPr>
                    <w:keepNext w:val="0"/>
                    <w:keepLines w:val="0"/>
                    <w:widowControl/>
                    <w:suppressLineNumbers w:val="0"/>
                    <w:spacing w:before="0" w:beforeAutospacing="0" w:after="0" w:afterAutospacing="0"/>
                    <w:ind w:left="0" w:right="0"/>
                    <w:jc w:val="left"/>
                    <w:rPr>
                      <w:rFonts w:ascii="Calibri" w:hAnsi="Calibri" w:eastAsia="宋体" w:cs="Times New Roman"/>
                      <w:color w:val="auto"/>
                    </w:rPr>
                  </w:pPr>
                </w:p>
              </w:tc>
              <w:tc>
                <w:tcPr>
                  <w:tcW w:w="392" w:type="pct"/>
                  <w:vMerge w:val="continue"/>
                  <w:noWrap w:val="0"/>
                  <w:vAlign w:val="center"/>
                </w:tcPr>
                <w:p w14:paraId="13C141F0">
                  <w:pPr>
                    <w:keepNext w:val="0"/>
                    <w:keepLines w:val="0"/>
                    <w:widowControl/>
                    <w:suppressLineNumbers w:val="0"/>
                    <w:spacing w:before="0" w:beforeAutospacing="0" w:after="0" w:afterAutospacing="0"/>
                    <w:ind w:left="0" w:right="0"/>
                    <w:jc w:val="left"/>
                    <w:rPr>
                      <w:rFonts w:ascii="Calibri" w:hAnsi="Calibri" w:eastAsia="宋体" w:cs="Times New Roman"/>
                      <w:color w:val="auto"/>
                    </w:rPr>
                  </w:pPr>
                </w:p>
              </w:tc>
              <w:tc>
                <w:tcPr>
                  <w:tcW w:w="846" w:type="pct"/>
                  <w:vMerge w:val="continue"/>
                  <w:noWrap w:val="0"/>
                  <w:vAlign w:val="center"/>
                </w:tcPr>
                <w:p w14:paraId="7371432F">
                  <w:pPr>
                    <w:keepNext w:val="0"/>
                    <w:keepLines w:val="0"/>
                    <w:widowControl/>
                    <w:suppressLineNumbers w:val="0"/>
                    <w:spacing w:before="0" w:beforeAutospacing="0" w:after="0" w:afterAutospacing="0"/>
                    <w:ind w:left="0" w:right="0"/>
                    <w:jc w:val="left"/>
                    <w:rPr>
                      <w:rFonts w:ascii="Calibri" w:hAnsi="Calibri" w:eastAsia="宋体" w:cs="Times New Roman"/>
                      <w:color w:val="auto"/>
                    </w:rPr>
                  </w:pPr>
                </w:p>
              </w:tc>
            </w:tr>
            <w:tr w14:paraId="3B612BD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68" w:type="pct"/>
                  <w:noWrap w:val="0"/>
                  <w:vAlign w:val="center"/>
                </w:tcPr>
                <w:p w14:paraId="08A86A8D">
                  <w:pPr>
                    <w:keepNext w:val="0"/>
                    <w:keepLines w:val="0"/>
                    <w:suppressLineNumbers w:val="0"/>
                    <w:spacing w:before="0" w:beforeAutospacing="0" w:after="0" w:afterAutospacing="0" w:line="240" w:lineRule="exact"/>
                    <w:ind w:left="0" w:right="0"/>
                    <w:jc w:val="center"/>
                    <w:rPr>
                      <w:rFonts w:hint="eastAsia" w:ascii="Calibri" w:hAnsi="Calibri" w:eastAsia="宋体" w:cs="Times New Roman"/>
                      <w:color w:val="auto"/>
                    </w:rPr>
                  </w:pPr>
                  <w:r>
                    <w:rPr>
                      <w:rFonts w:hint="eastAsia" w:ascii="Calibri" w:hAnsi="Calibri" w:eastAsia="宋体" w:cs="Times New Roman"/>
                      <w:color w:val="auto"/>
                    </w:rPr>
                    <w:t>1</w:t>
                  </w:r>
                </w:p>
              </w:tc>
              <w:tc>
                <w:tcPr>
                  <w:tcW w:w="309" w:type="pct"/>
                  <w:noWrap w:val="0"/>
                  <w:vAlign w:val="center"/>
                </w:tcPr>
                <w:p w14:paraId="4FAE71A6">
                  <w:pPr>
                    <w:keepNext w:val="0"/>
                    <w:keepLines w:val="0"/>
                    <w:suppressLineNumbers w:val="0"/>
                    <w:spacing w:before="0" w:beforeAutospacing="0" w:after="0" w:afterAutospacing="0" w:line="240" w:lineRule="exact"/>
                    <w:ind w:left="0" w:right="0"/>
                    <w:jc w:val="center"/>
                    <w:rPr>
                      <w:rFonts w:hint="eastAsia" w:ascii="Calibri" w:hAnsi="Calibri" w:eastAsia="宋体" w:cs="Times New Roman"/>
                      <w:color w:val="auto"/>
                    </w:rPr>
                  </w:pPr>
                  <w:r>
                    <w:rPr>
                      <w:rFonts w:ascii="Calibri" w:hAnsi="宋体" w:eastAsia="宋体" w:cs="Times New Roman"/>
                      <w:color w:val="auto"/>
                    </w:rPr>
                    <w:t>生活污水</w:t>
                  </w:r>
                </w:p>
              </w:tc>
              <w:tc>
                <w:tcPr>
                  <w:tcW w:w="650" w:type="pct"/>
                  <w:noWrap w:val="0"/>
                  <w:vAlign w:val="center"/>
                </w:tcPr>
                <w:p w14:paraId="7AC2FAA5">
                  <w:pPr>
                    <w:keepNext w:val="0"/>
                    <w:keepLines w:val="0"/>
                    <w:suppressLineNumbers w:val="0"/>
                    <w:spacing w:before="0" w:beforeAutospacing="0" w:after="0" w:afterAutospacing="0" w:line="240" w:lineRule="exact"/>
                    <w:ind w:left="0" w:right="0"/>
                    <w:jc w:val="center"/>
                    <w:rPr>
                      <w:rFonts w:ascii="宋体" w:hAnsi="宋体" w:eastAsia="宋体" w:cs="Times New Roman"/>
                      <w:color w:val="auto"/>
                    </w:rPr>
                  </w:pPr>
                  <w:r>
                    <w:rPr>
                      <w:rFonts w:ascii="Calibri" w:hAnsi="Calibri" w:eastAsia="宋体" w:cs="Times New Roman"/>
                      <w:color w:val="auto"/>
                    </w:rPr>
                    <w:t>COD</w:t>
                  </w:r>
                  <w:r>
                    <w:rPr>
                      <w:rFonts w:ascii="Calibri" w:hAnsi="Calibri" w:eastAsia="宋体" w:cs="Times New Roman"/>
                      <w:color w:val="auto"/>
                      <w:vertAlign w:val="subscript"/>
                    </w:rPr>
                    <w:t>cr</w:t>
                  </w:r>
                  <w:r>
                    <w:rPr>
                      <w:rFonts w:ascii="Calibri" w:hAnsi="宋体" w:eastAsia="宋体" w:cs="Times New Roman"/>
                      <w:color w:val="auto"/>
                    </w:rPr>
                    <w:t>、</w:t>
                  </w:r>
                  <w:r>
                    <w:rPr>
                      <w:rFonts w:ascii="Calibri" w:hAnsi="Calibri" w:eastAsia="宋体" w:cs="Times New Roman"/>
                      <w:color w:val="auto"/>
                    </w:rPr>
                    <w:t>BOD</w:t>
                  </w:r>
                  <w:r>
                    <w:rPr>
                      <w:rFonts w:ascii="Calibri" w:hAnsi="Calibri" w:eastAsia="宋体" w:cs="Times New Roman"/>
                      <w:color w:val="auto"/>
                      <w:vertAlign w:val="subscript"/>
                    </w:rPr>
                    <w:t>5</w:t>
                  </w:r>
                  <w:r>
                    <w:rPr>
                      <w:rFonts w:ascii="Calibri" w:hAnsi="宋体" w:eastAsia="宋体" w:cs="Times New Roman"/>
                      <w:color w:val="auto"/>
                    </w:rPr>
                    <w:t>、</w:t>
                  </w:r>
                  <w:r>
                    <w:rPr>
                      <w:rFonts w:ascii="Calibri" w:hAnsi="Calibri" w:eastAsia="宋体" w:cs="Times New Roman"/>
                      <w:color w:val="auto"/>
                    </w:rPr>
                    <w:t>SS</w:t>
                  </w:r>
                  <w:r>
                    <w:rPr>
                      <w:rFonts w:ascii="Calibri" w:hAnsi="宋体" w:eastAsia="宋体" w:cs="Times New Roman"/>
                      <w:color w:val="auto"/>
                    </w:rPr>
                    <w:t>、</w:t>
                  </w:r>
                  <w:r>
                    <w:rPr>
                      <w:rFonts w:ascii="Calibri" w:hAnsi="Calibri" w:eastAsia="宋体" w:cs="Times New Roman"/>
                      <w:color w:val="auto"/>
                    </w:rPr>
                    <w:t>NH</w:t>
                  </w:r>
                  <w:r>
                    <w:rPr>
                      <w:rFonts w:ascii="Calibri" w:hAnsi="Calibri" w:eastAsia="宋体" w:cs="Times New Roman"/>
                      <w:color w:val="auto"/>
                      <w:vertAlign w:val="subscript"/>
                    </w:rPr>
                    <w:t>3</w:t>
                  </w:r>
                  <w:r>
                    <w:rPr>
                      <w:rFonts w:ascii="Calibri" w:hAnsi="Calibri" w:eastAsia="宋体" w:cs="Times New Roman"/>
                      <w:color w:val="auto"/>
                    </w:rPr>
                    <w:t>-N</w:t>
                  </w:r>
                  <w:r>
                    <w:rPr>
                      <w:rFonts w:hint="eastAsia" w:ascii="Calibri" w:hAnsi="Calibri" w:eastAsia="宋体" w:cs="Times New Roman"/>
                      <w:color w:val="auto"/>
                    </w:rPr>
                    <w:t>、Tp</w:t>
                  </w:r>
                </w:p>
              </w:tc>
              <w:tc>
                <w:tcPr>
                  <w:tcW w:w="392" w:type="pct"/>
                  <w:noWrap w:val="0"/>
                  <w:vAlign w:val="center"/>
                </w:tcPr>
                <w:p w14:paraId="24DE65BD">
                  <w:pPr>
                    <w:keepNext w:val="0"/>
                    <w:keepLines w:val="0"/>
                    <w:suppressLineNumbers w:val="0"/>
                    <w:spacing w:before="0" w:beforeAutospacing="0" w:after="0" w:afterAutospacing="0" w:line="240" w:lineRule="exact"/>
                    <w:ind w:left="0" w:right="0"/>
                    <w:jc w:val="center"/>
                    <w:rPr>
                      <w:rFonts w:hint="eastAsia" w:ascii="Calibri" w:hAnsi="Calibri" w:eastAsia="宋体" w:cs="Times New Roman"/>
                      <w:color w:val="auto"/>
                    </w:rPr>
                  </w:pPr>
                  <w:r>
                    <w:rPr>
                      <w:rFonts w:hint="eastAsia" w:ascii="Calibri" w:hAnsi="Calibri" w:eastAsia="宋体" w:cs="Times New Roman"/>
                      <w:color w:val="auto"/>
                    </w:rPr>
                    <w:t>防城港</w:t>
                  </w:r>
                </w:p>
              </w:tc>
              <w:tc>
                <w:tcPr>
                  <w:tcW w:w="271" w:type="pct"/>
                  <w:noWrap w:val="0"/>
                  <w:vAlign w:val="center"/>
                </w:tcPr>
                <w:p w14:paraId="414B4547">
                  <w:pPr>
                    <w:keepNext w:val="0"/>
                    <w:keepLines w:val="0"/>
                    <w:suppressLineNumbers w:val="0"/>
                    <w:spacing w:before="0" w:beforeAutospacing="0" w:after="0" w:afterAutospacing="0" w:line="240" w:lineRule="exact"/>
                    <w:ind w:left="0" w:right="0"/>
                    <w:jc w:val="center"/>
                    <w:rPr>
                      <w:rFonts w:ascii="Calibri" w:hAnsi="宋体" w:eastAsia="宋体" w:cs="Times New Roman"/>
                      <w:color w:val="auto"/>
                    </w:rPr>
                  </w:pPr>
                  <w:r>
                    <w:rPr>
                      <w:rFonts w:ascii="Calibri" w:hAnsi="宋体" w:eastAsia="宋体" w:cs="Times New Roman"/>
                      <w:color w:val="auto"/>
                    </w:rPr>
                    <w:t>连续排放</w:t>
                  </w:r>
                </w:p>
              </w:tc>
              <w:tc>
                <w:tcPr>
                  <w:tcW w:w="547" w:type="pct"/>
                  <w:noWrap w:val="0"/>
                  <w:vAlign w:val="center"/>
                </w:tcPr>
                <w:p w14:paraId="1A787EE6">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ascii="Calibri" w:hAnsi="Calibri" w:eastAsia="宋体" w:cs="Times New Roman"/>
                      <w:color w:val="auto"/>
                    </w:rPr>
                    <w:t>TW001</w:t>
                  </w:r>
                </w:p>
              </w:tc>
              <w:tc>
                <w:tcPr>
                  <w:tcW w:w="448" w:type="pct"/>
                  <w:noWrap w:val="0"/>
                  <w:vAlign w:val="center"/>
                </w:tcPr>
                <w:p w14:paraId="33910C3F">
                  <w:pPr>
                    <w:keepNext w:val="0"/>
                    <w:keepLines w:val="0"/>
                    <w:suppressLineNumbers w:val="0"/>
                    <w:spacing w:before="0" w:beforeAutospacing="0" w:after="0" w:afterAutospacing="0" w:line="240" w:lineRule="exact"/>
                    <w:ind w:left="0" w:right="0"/>
                    <w:jc w:val="center"/>
                    <w:rPr>
                      <w:rFonts w:hint="eastAsia" w:ascii="Calibri" w:hAnsi="Calibri" w:eastAsia="宋体" w:cs="Times New Roman"/>
                      <w:color w:val="auto"/>
                    </w:rPr>
                  </w:pPr>
                  <w:r>
                    <w:rPr>
                      <w:rFonts w:ascii="Calibri" w:hAnsi="宋体" w:eastAsia="宋体" w:cs="Times New Roman"/>
                      <w:color w:val="auto"/>
                    </w:rPr>
                    <w:t>生活污水处理系统</w:t>
                  </w:r>
                </w:p>
              </w:tc>
              <w:tc>
                <w:tcPr>
                  <w:tcW w:w="458" w:type="pct"/>
                  <w:noWrap w:val="0"/>
                  <w:vAlign w:val="center"/>
                </w:tcPr>
                <w:p w14:paraId="0C2BBF75">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hint="eastAsia" w:ascii="Calibri" w:hAnsi="Calibri" w:eastAsia="宋体" w:cs="Times New Roman"/>
                      <w:color w:val="auto"/>
                    </w:rPr>
                    <w:t>防渗旱厕</w:t>
                  </w:r>
                </w:p>
              </w:tc>
              <w:tc>
                <w:tcPr>
                  <w:tcW w:w="414" w:type="pct"/>
                  <w:noWrap w:val="0"/>
                  <w:vAlign w:val="center"/>
                </w:tcPr>
                <w:p w14:paraId="68E60459">
                  <w:pPr>
                    <w:keepNext w:val="0"/>
                    <w:keepLines w:val="0"/>
                    <w:suppressLineNumbers w:val="0"/>
                    <w:spacing w:before="0" w:beforeAutospacing="0" w:after="0" w:afterAutospacing="0" w:line="240" w:lineRule="exact"/>
                    <w:ind w:left="0" w:right="0"/>
                    <w:jc w:val="center"/>
                    <w:rPr>
                      <w:rFonts w:ascii="Calibri" w:hAnsi="Calibri" w:eastAsia="宋体" w:cs="Times New Roman"/>
                      <w:color w:val="auto"/>
                    </w:rPr>
                  </w:pPr>
                  <w:r>
                    <w:rPr>
                      <w:rFonts w:hint="eastAsia" w:ascii="Calibri" w:hAnsi="Calibri" w:eastAsia="宋体" w:cs="Times New Roman"/>
                      <w:color w:val="auto"/>
                    </w:rPr>
                    <w:t>/</w:t>
                  </w:r>
                </w:p>
              </w:tc>
              <w:tc>
                <w:tcPr>
                  <w:tcW w:w="392" w:type="pct"/>
                  <w:noWrap w:val="0"/>
                  <w:vAlign w:val="center"/>
                </w:tcPr>
                <w:p w14:paraId="152ABF48">
                  <w:pPr>
                    <w:keepNext w:val="0"/>
                    <w:keepLines w:val="0"/>
                    <w:suppressLineNumbers w:val="0"/>
                    <w:spacing w:before="0" w:beforeAutospacing="0" w:after="0" w:afterAutospacing="0" w:line="240" w:lineRule="exact"/>
                    <w:ind w:left="0" w:right="0"/>
                    <w:jc w:val="center"/>
                    <w:rPr>
                      <w:rFonts w:hint="eastAsia" w:ascii="Calibri" w:hAnsi="Calibri" w:eastAsia="宋体" w:cs="Times New Roman"/>
                      <w:color w:val="auto"/>
                    </w:rPr>
                  </w:pPr>
                  <w:r>
                    <w:rPr>
                      <w:rFonts w:hint="eastAsia" w:ascii="Calibri" w:hAnsi="Calibri" w:eastAsia="宋体" w:cs="Times New Roman"/>
                      <w:color w:val="auto"/>
                    </w:rPr>
                    <w:t>/</w:t>
                  </w:r>
                </w:p>
              </w:tc>
              <w:tc>
                <w:tcPr>
                  <w:tcW w:w="846" w:type="pct"/>
                  <w:noWrap w:val="0"/>
                  <w:vAlign w:val="center"/>
                </w:tcPr>
                <w:p w14:paraId="33299317">
                  <w:pPr>
                    <w:keepNext w:val="0"/>
                    <w:keepLines w:val="0"/>
                    <w:suppressLineNumbers w:val="0"/>
                    <w:spacing w:before="0" w:beforeAutospacing="0" w:after="0" w:afterAutospacing="0" w:line="240" w:lineRule="exact"/>
                    <w:ind w:left="0" w:right="0"/>
                    <w:jc w:val="center"/>
                    <w:rPr>
                      <w:rFonts w:hint="eastAsia" w:ascii="Calibri" w:hAnsi="Calibri" w:eastAsia="宋体" w:cs="Times New Roman"/>
                      <w:color w:val="auto"/>
                    </w:rPr>
                  </w:pPr>
                  <w:r>
                    <w:rPr>
                      <w:rFonts w:hint="eastAsia" w:ascii="Calibri" w:hAnsi="Calibri" w:eastAsia="宋体" w:cs="Times New Roman"/>
                      <w:color w:val="auto"/>
                    </w:rPr>
                    <w:t>不外排</w:t>
                  </w:r>
                </w:p>
              </w:tc>
            </w:tr>
          </w:tbl>
          <w:p w14:paraId="206CA0D5">
            <w:pPr>
              <w:keepNext w:val="0"/>
              <w:keepLines w:val="0"/>
              <w:suppressLineNumbers w:val="0"/>
              <w:spacing w:before="120" w:beforeLines="50" w:beforeAutospacing="0" w:after="0" w:afterAutospacing="0" w:line="360" w:lineRule="auto"/>
              <w:ind w:left="0" w:right="0" w:firstLine="542" w:firstLineChars="225"/>
              <w:rPr>
                <w:rFonts w:hint="eastAsia" w:ascii="Calibri" w:hAnsi="Calibri" w:eastAsia="宋体" w:cs="Times New Roman"/>
                <w:b/>
                <w:bCs/>
                <w:color w:val="auto"/>
                <w:sz w:val="24"/>
              </w:rPr>
            </w:pPr>
            <w:r>
              <w:rPr>
                <w:rFonts w:hint="eastAsia" w:ascii="Calibri" w:hAnsi="Calibri" w:eastAsia="宋体" w:cs="Times New Roman"/>
                <w:b/>
                <w:bCs/>
                <w:color w:val="auto"/>
                <w:sz w:val="24"/>
              </w:rPr>
              <w:t>4、初期雨水</w:t>
            </w:r>
          </w:p>
          <w:p w14:paraId="2BB9CED9">
            <w:pPr>
              <w:pStyle w:val="102"/>
              <w:keepNext w:val="0"/>
              <w:keepLines w:val="0"/>
              <w:suppressLineNumbers w:val="0"/>
              <w:adjustRightInd w:val="0"/>
              <w:snapToGrid w:val="0"/>
              <w:spacing w:before="0" w:beforeAutospacing="0" w:after="0" w:afterAutospacing="0" w:line="360" w:lineRule="auto"/>
              <w:ind w:left="0" w:right="0" w:firstLine="480"/>
              <w:rPr>
                <w:rFonts w:ascii="Calibri" w:hAnsi="宋体" w:eastAsia="宋体" w:cs="Times New Roman"/>
                <w:color w:val="auto"/>
                <w:sz w:val="24"/>
              </w:rPr>
            </w:pPr>
            <w:r>
              <w:rPr>
                <w:rFonts w:hint="eastAsia" w:ascii="Calibri" w:hAnsi="宋体" w:eastAsia="宋体" w:cs="Times New Roman"/>
                <w:color w:val="auto"/>
                <w:sz w:val="24"/>
              </w:rPr>
              <w:t>在雨天，项目受降雨影响会形成一定的地表径流，初期雨水中夹带少量</w:t>
            </w:r>
            <w:r>
              <w:rPr>
                <w:rFonts w:hint="eastAsia" w:ascii="宋体" w:hAnsi="宋体" w:eastAsia="宋体" w:cs="Times New Roman"/>
                <w:color w:val="auto"/>
                <w:sz w:val="24"/>
              </w:rPr>
              <w:t>泥</w:t>
            </w:r>
            <w:r>
              <w:rPr>
                <w:rFonts w:hint="eastAsia" w:ascii="Calibri" w:hAnsi="宋体" w:eastAsia="宋体" w:cs="Times New Roman"/>
                <w:color w:val="auto"/>
                <w:sz w:val="24"/>
              </w:rPr>
              <w:t>等污染物，直接排放会对纳污水体水质造成不利影响。</w:t>
            </w:r>
          </w:p>
          <w:p w14:paraId="13349431">
            <w:pPr>
              <w:pStyle w:val="102"/>
              <w:keepNext w:val="0"/>
              <w:keepLines w:val="0"/>
              <w:suppressLineNumbers w:val="0"/>
              <w:adjustRightInd w:val="0"/>
              <w:snapToGrid w:val="0"/>
              <w:spacing w:before="0" w:beforeAutospacing="0" w:after="0" w:afterAutospacing="0" w:line="360" w:lineRule="auto"/>
              <w:ind w:left="0" w:right="0" w:firstLine="480"/>
              <w:rPr>
                <w:rFonts w:ascii="Calibri" w:hAnsi="Calibri" w:eastAsia="宋体" w:cs="Times New Roman"/>
                <w:color w:val="auto"/>
                <w:sz w:val="24"/>
              </w:rPr>
            </w:pPr>
            <w:r>
              <w:rPr>
                <w:rFonts w:hint="eastAsia" w:ascii="Calibri" w:hAnsi="Calibri" w:eastAsia="宋体" w:cs="Times New Roman"/>
                <w:color w:val="auto"/>
                <w:sz w:val="24"/>
              </w:rPr>
              <w:t>评价采用历年最大暴雨前</w:t>
            </w:r>
            <w:r>
              <w:rPr>
                <w:rFonts w:ascii="Calibri" w:hAnsi="Calibri" w:eastAsia="宋体" w:cs="Times New Roman"/>
                <w:color w:val="auto"/>
                <w:sz w:val="24"/>
              </w:rPr>
              <w:t>15min</w:t>
            </w:r>
            <w:r>
              <w:rPr>
                <w:rFonts w:hint="eastAsia" w:ascii="Calibri" w:hAnsi="Calibri" w:eastAsia="宋体" w:cs="Times New Roman"/>
                <w:color w:val="auto"/>
                <w:sz w:val="24"/>
              </w:rPr>
              <w:t>为初期污染雨水量，根据《室外排水设计规范》（</w:t>
            </w:r>
            <w:r>
              <w:rPr>
                <w:rFonts w:ascii="Calibri" w:hAnsi="Calibri" w:eastAsia="宋体" w:cs="Times New Roman"/>
                <w:color w:val="auto"/>
                <w:sz w:val="24"/>
              </w:rPr>
              <w:t>GB50</w:t>
            </w:r>
            <w:r>
              <w:rPr>
                <w:rFonts w:hint="eastAsia" w:ascii="Calibri" w:hAnsi="Calibri" w:eastAsia="宋体" w:cs="Times New Roman"/>
                <w:color w:val="auto"/>
                <w:sz w:val="24"/>
              </w:rPr>
              <w:t>014</w:t>
            </w:r>
            <w:r>
              <w:rPr>
                <w:rFonts w:ascii="Calibri" w:hAnsi="Calibri" w:eastAsia="宋体" w:cs="Times New Roman"/>
                <w:color w:val="auto"/>
                <w:sz w:val="24"/>
              </w:rPr>
              <w:t>-20</w:t>
            </w:r>
            <w:r>
              <w:rPr>
                <w:rFonts w:hint="eastAsia" w:ascii="Calibri" w:hAnsi="Calibri" w:eastAsia="宋体" w:cs="Times New Roman"/>
                <w:color w:val="auto"/>
                <w:sz w:val="24"/>
              </w:rPr>
              <w:t>23），雨水设计流量应按下列公式计算：</w:t>
            </w:r>
          </w:p>
          <w:p w14:paraId="1384F9E1">
            <w:pPr>
              <w:pStyle w:val="102"/>
              <w:keepNext w:val="0"/>
              <w:keepLines w:val="0"/>
              <w:suppressLineNumbers w:val="0"/>
              <w:adjustRightInd w:val="0"/>
              <w:snapToGrid w:val="0"/>
              <w:spacing w:before="0" w:beforeAutospacing="0" w:after="0" w:afterAutospacing="0" w:line="360" w:lineRule="auto"/>
              <w:ind w:left="0" w:right="0" w:firstLine="3600" w:firstLineChars="1500"/>
              <w:rPr>
                <w:rFonts w:ascii="Calibri" w:hAnsi="Calibri" w:eastAsia="宋体" w:cs="Times New Roman"/>
                <w:color w:val="auto"/>
                <w:sz w:val="24"/>
              </w:rPr>
            </w:pPr>
            <w:r>
              <w:rPr>
                <w:rFonts w:ascii="Calibri" w:hAnsi="Calibri" w:eastAsia="宋体" w:cs="Times New Roman"/>
                <w:color w:val="auto"/>
                <w:sz w:val="24"/>
              </w:rPr>
              <w:t>Qs=qΨF</w:t>
            </w:r>
          </w:p>
          <w:p w14:paraId="44CC4E96">
            <w:pPr>
              <w:pStyle w:val="102"/>
              <w:keepNext w:val="0"/>
              <w:keepLines w:val="0"/>
              <w:suppressLineNumbers w:val="0"/>
              <w:adjustRightInd w:val="0"/>
              <w:snapToGrid w:val="0"/>
              <w:spacing w:before="0" w:beforeAutospacing="0" w:after="0" w:afterAutospacing="0" w:line="360" w:lineRule="auto"/>
              <w:ind w:left="0" w:right="0" w:firstLine="480"/>
              <w:rPr>
                <w:rFonts w:ascii="Calibri" w:hAnsi="Calibri" w:eastAsia="宋体" w:cs="Times New Roman"/>
                <w:color w:val="auto"/>
                <w:sz w:val="24"/>
              </w:rPr>
            </w:pPr>
            <w:r>
              <w:rPr>
                <w:rFonts w:hint="eastAsia" w:ascii="Calibri" w:hAnsi="Calibri" w:eastAsia="宋体" w:cs="Times New Roman"/>
                <w:color w:val="auto"/>
                <w:sz w:val="24"/>
              </w:rPr>
              <w:t>式中：</w:t>
            </w:r>
            <w:r>
              <w:rPr>
                <w:rFonts w:ascii="Calibri" w:hAnsi="Calibri" w:eastAsia="宋体" w:cs="Times New Roman"/>
                <w:color w:val="auto"/>
                <w:sz w:val="24"/>
              </w:rPr>
              <w:t>Qs</w:t>
            </w:r>
            <w:r>
              <w:rPr>
                <w:rFonts w:hint="eastAsia" w:ascii="Calibri" w:hAnsi="Calibri" w:eastAsia="宋体" w:cs="Times New Roman"/>
                <w:color w:val="auto"/>
                <w:sz w:val="24"/>
              </w:rPr>
              <w:t>－雨水设计流量（</w:t>
            </w:r>
            <w:r>
              <w:rPr>
                <w:rFonts w:ascii="Calibri" w:hAnsi="Calibri" w:eastAsia="宋体" w:cs="Times New Roman"/>
                <w:color w:val="auto"/>
                <w:sz w:val="24"/>
              </w:rPr>
              <w:t>L/s</w:t>
            </w:r>
            <w:r>
              <w:rPr>
                <w:rFonts w:hint="eastAsia" w:ascii="Calibri" w:hAnsi="Calibri" w:eastAsia="宋体" w:cs="Times New Roman"/>
                <w:color w:val="auto"/>
                <w:sz w:val="24"/>
              </w:rPr>
              <w:t>）</w:t>
            </w:r>
          </w:p>
          <w:p w14:paraId="0BB0D3CF">
            <w:pPr>
              <w:pStyle w:val="102"/>
              <w:keepNext w:val="0"/>
              <w:keepLines w:val="0"/>
              <w:suppressLineNumbers w:val="0"/>
              <w:adjustRightInd w:val="0"/>
              <w:snapToGrid w:val="0"/>
              <w:spacing w:before="0" w:beforeAutospacing="0" w:after="0" w:afterAutospacing="0" w:line="360" w:lineRule="auto"/>
              <w:ind w:left="0" w:right="0" w:firstLine="1320" w:firstLineChars="550"/>
              <w:rPr>
                <w:rFonts w:ascii="Calibri" w:hAnsi="Calibri" w:eastAsia="宋体" w:cs="Times New Roman"/>
                <w:color w:val="auto"/>
                <w:sz w:val="24"/>
              </w:rPr>
            </w:pPr>
            <w:r>
              <w:rPr>
                <w:rFonts w:ascii="Calibri" w:hAnsi="Calibri" w:eastAsia="宋体" w:cs="Times New Roman"/>
                <w:color w:val="auto"/>
                <w:sz w:val="24"/>
              </w:rPr>
              <w:t>q</w:t>
            </w:r>
            <w:r>
              <w:rPr>
                <w:rFonts w:hint="eastAsia" w:ascii="Calibri" w:hAnsi="Calibri" w:eastAsia="宋体" w:cs="Times New Roman"/>
                <w:color w:val="auto"/>
                <w:sz w:val="24"/>
              </w:rPr>
              <w:t>－设计暴雨强度（</w:t>
            </w:r>
            <w:r>
              <w:rPr>
                <w:rFonts w:ascii="Calibri" w:hAnsi="Calibri" w:eastAsia="宋体" w:cs="Times New Roman"/>
                <w:color w:val="auto"/>
                <w:sz w:val="24"/>
              </w:rPr>
              <w:t>L/s·hm</w:t>
            </w:r>
            <w:r>
              <w:rPr>
                <w:rFonts w:ascii="Calibri" w:hAnsi="Calibri" w:eastAsia="宋体" w:cs="Times New Roman"/>
                <w:color w:val="auto"/>
                <w:sz w:val="24"/>
                <w:vertAlign w:val="superscript"/>
              </w:rPr>
              <w:t>2</w:t>
            </w:r>
            <w:r>
              <w:rPr>
                <w:rFonts w:hint="eastAsia" w:ascii="Calibri" w:hAnsi="Calibri" w:eastAsia="宋体" w:cs="Times New Roman"/>
                <w:color w:val="auto"/>
                <w:sz w:val="24"/>
              </w:rPr>
              <w:t>）</w:t>
            </w:r>
          </w:p>
          <w:p w14:paraId="71F1C3DD">
            <w:pPr>
              <w:pStyle w:val="102"/>
              <w:keepNext w:val="0"/>
              <w:keepLines w:val="0"/>
              <w:suppressLineNumbers w:val="0"/>
              <w:adjustRightInd w:val="0"/>
              <w:snapToGrid w:val="0"/>
              <w:spacing w:before="0" w:beforeAutospacing="0" w:after="0" w:afterAutospacing="0" w:line="360" w:lineRule="auto"/>
              <w:ind w:left="0" w:right="0" w:firstLine="1320" w:firstLineChars="550"/>
              <w:rPr>
                <w:rFonts w:ascii="Calibri" w:hAnsi="Calibri" w:eastAsia="宋体" w:cs="Times New Roman"/>
                <w:color w:val="auto"/>
                <w:sz w:val="24"/>
              </w:rPr>
            </w:pPr>
            <w:r>
              <w:rPr>
                <w:rFonts w:ascii="Calibri" w:hAnsi="Calibri" w:eastAsia="宋体" w:cs="Times New Roman"/>
                <w:color w:val="auto"/>
                <w:sz w:val="24"/>
              </w:rPr>
              <w:t>Ψ</w:t>
            </w:r>
            <w:r>
              <w:rPr>
                <w:rFonts w:hint="eastAsia" w:ascii="Calibri" w:hAnsi="Calibri" w:eastAsia="宋体" w:cs="Times New Roman"/>
                <w:color w:val="auto"/>
                <w:sz w:val="24"/>
              </w:rPr>
              <w:t>－径流系数，拟建项目主要为水泥地面，取</w:t>
            </w:r>
            <w:r>
              <w:rPr>
                <w:rFonts w:ascii="Calibri" w:hAnsi="Calibri" w:eastAsia="宋体" w:cs="Times New Roman"/>
                <w:color w:val="auto"/>
                <w:sz w:val="24"/>
              </w:rPr>
              <w:t>0.9</w:t>
            </w:r>
            <w:r>
              <w:rPr>
                <w:rFonts w:hint="eastAsia" w:ascii="Calibri" w:hAnsi="Calibri" w:eastAsia="宋体" w:cs="Times New Roman"/>
                <w:color w:val="auto"/>
                <w:sz w:val="24"/>
              </w:rPr>
              <w:t>；</w:t>
            </w:r>
          </w:p>
          <w:p w14:paraId="659A1F53">
            <w:pPr>
              <w:pStyle w:val="102"/>
              <w:keepNext w:val="0"/>
              <w:keepLines w:val="0"/>
              <w:suppressLineNumbers w:val="0"/>
              <w:adjustRightInd w:val="0"/>
              <w:snapToGrid w:val="0"/>
              <w:spacing w:before="0" w:beforeAutospacing="0" w:after="0" w:afterAutospacing="0" w:line="360" w:lineRule="auto"/>
              <w:ind w:left="0" w:right="0" w:firstLine="1320" w:firstLineChars="550"/>
              <w:rPr>
                <w:rFonts w:ascii="Calibri" w:hAnsi="Calibri" w:eastAsia="宋体" w:cs="Times New Roman"/>
                <w:color w:val="auto"/>
                <w:sz w:val="24"/>
              </w:rPr>
            </w:pPr>
            <w:r>
              <w:rPr>
                <w:rFonts w:ascii="Calibri" w:hAnsi="Calibri" w:eastAsia="宋体" w:cs="Times New Roman"/>
                <w:color w:val="auto"/>
                <w:sz w:val="24"/>
              </w:rPr>
              <w:t>F</w:t>
            </w:r>
            <w:r>
              <w:rPr>
                <w:rFonts w:hint="eastAsia" w:ascii="Calibri" w:hAnsi="Calibri" w:eastAsia="宋体" w:cs="Times New Roman"/>
                <w:color w:val="auto"/>
                <w:sz w:val="24"/>
              </w:rPr>
              <w:t>－汇水面积（</w:t>
            </w:r>
            <w:r>
              <w:rPr>
                <w:rFonts w:ascii="Calibri" w:hAnsi="Calibri" w:eastAsia="宋体" w:cs="Times New Roman"/>
                <w:color w:val="auto"/>
                <w:sz w:val="24"/>
              </w:rPr>
              <w:t>hm</w:t>
            </w:r>
            <w:r>
              <w:rPr>
                <w:rFonts w:ascii="Calibri" w:hAnsi="Calibri" w:eastAsia="宋体" w:cs="Times New Roman"/>
                <w:color w:val="auto"/>
                <w:sz w:val="24"/>
                <w:vertAlign w:val="superscript"/>
              </w:rPr>
              <w:t>2</w:t>
            </w:r>
            <w:r>
              <w:rPr>
                <w:rFonts w:hint="eastAsia" w:ascii="Calibri" w:hAnsi="Calibri" w:eastAsia="宋体" w:cs="Times New Roman"/>
                <w:color w:val="auto"/>
                <w:sz w:val="24"/>
              </w:rPr>
              <w:t>）。</w:t>
            </w:r>
          </w:p>
          <w:p w14:paraId="1F1B0A89">
            <w:pPr>
              <w:pStyle w:val="102"/>
              <w:keepNext w:val="0"/>
              <w:keepLines w:val="0"/>
              <w:suppressLineNumbers w:val="0"/>
              <w:adjustRightInd w:val="0"/>
              <w:snapToGrid w:val="0"/>
              <w:spacing w:before="0" w:beforeAutospacing="0" w:after="0" w:afterAutospacing="0" w:line="360" w:lineRule="auto"/>
              <w:ind w:left="0" w:right="0" w:firstLine="480"/>
              <w:rPr>
                <w:rFonts w:ascii="Calibri" w:hAnsi="Calibri" w:eastAsia="宋体" w:cs="Times New Roman"/>
                <w:color w:val="auto"/>
                <w:sz w:val="24"/>
              </w:rPr>
            </w:pPr>
            <w:r>
              <w:rPr>
                <w:rFonts w:hint="eastAsia" w:ascii="宋体" w:hAnsi="宋体" w:eastAsia="宋体" w:cs="Times New Roman"/>
                <w:color w:val="auto"/>
                <w:sz w:val="24"/>
              </w:rPr>
              <w:t>参考东兴市</w:t>
            </w:r>
            <w:r>
              <w:rPr>
                <w:rFonts w:hint="eastAsia" w:ascii="Calibri" w:hAnsi="Calibri" w:eastAsia="宋体" w:cs="Times New Roman"/>
                <w:color w:val="auto"/>
                <w:sz w:val="24"/>
              </w:rPr>
              <w:t>设计暴雨强度应按下式计算：</w:t>
            </w:r>
          </w:p>
          <w:p w14:paraId="30AF84B8">
            <w:pPr>
              <w:pStyle w:val="102"/>
              <w:keepNext w:val="0"/>
              <w:keepLines w:val="0"/>
              <w:suppressLineNumbers w:val="0"/>
              <w:adjustRightInd w:val="0"/>
              <w:snapToGrid w:val="0"/>
              <w:spacing w:before="0" w:beforeAutospacing="0" w:after="0" w:afterAutospacing="0" w:line="360" w:lineRule="auto"/>
              <w:ind w:left="0" w:right="0" w:firstLine="2400" w:firstLineChars="1000"/>
              <w:rPr>
                <w:rFonts w:ascii="Calibri" w:hAnsi="Calibri" w:eastAsia="宋体" w:cs="Times New Roman"/>
                <w:color w:val="auto"/>
                <w:sz w:val="24"/>
              </w:rPr>
            </w:pPr>
            <w:r>
              <w:rPr>
                <w:rFonts w:ascii="Calibri" w:hAnsi="Calibri" w:eastAsia="宋体" w:cs="Times New Roman"/>
                <w:color w:val="auto"/>
                <w:sz w:val="24"/>
              </w:rPr>
              <w:t>q=</w:t>
            </w:r>
            <w:r>
              <w:rPr>
                <w:rFonts w:hint="eastAsia" w:ascii="Calibri" w:hAnsi="Calibri" w:eastAsia="宋体" w:cs="Times New Roman"/>
                <w:color w:val="auto"/>
                <w:sz w:val="24"/>
              </w:rPr>
              <w:t>1217[</w:t>
            </w:r>
            <w:r>
              <w:rPr>
                <w:rFonts w:ascii="Calibri" w:hAnsi="Calibri" w:eastAsia="宋体" w:cs="Times New Roman"/>
                <w:color w:val="auto"/>
                <w:sz w:val="24"/>
              </w:rPr>
              <w:t>1+0.</w:t>
            </w:r>
            <w:r>
              <w:rPr>
                <w:rFonts w:hint="eastAsia" w:ascii="Calibri" w:hAnsi="Calibri" w:eastAsia="宋体" w:cs="Times New Roman"/>
                <w:color w:val="auto"/>
                <w:sz w:val="24"/>
              </w:rPr>
              <w:t>0685（</w:t>
            </w:r>
            <w:r>
              <w:rPr>
                <w:rFonts w:ascii="Calibri" w:hAnsi="Calibri" w:eastAsia="宋体" w:cs="Times New Roman"/>
                <w:color w:val="auto"/>
                <w:sz w:val="24"/>
              </w:rPr>
              <w:t>lgP</w:t>
            </w:r>
            <w:r>
              <w:rPr>
                <w:rFonts w:hint="eastAsia" w:ascii="Calibri" w:hAnsi="Calibri" w:eastAsia="宋体" w:cs="Times New Roman"/>
                <w:color w:val="auto"/>
                <w:sz w:val="24"/>
              </w:rPr>
              <w:t>）2]</w:t>
            </w:r>
            <w:r>
              <w:rPr>
                <w:rFonts w:ascii="Calibri" w:hAnsi="Calibri" w:eastAsia="宋体" w:cs="Times New Roman"/>
                <w:color w:val="auto"/>
                <w:sz w:val="24"/>
              </w:rPr>
              <w:t>/(t+</w:t>
            </w:r>
            <w:r>
              <w:rPr>
                <w:rFonts w:hint="eastAsia" w:ascii="Calibri" w:hAnsi="Calibri" w:eastAsia="宋体" w:cs="Times New Roman"/>
                <w:color w:val="auto"/>
                <w:sz w:val="24"/>
              </w:rPr>
              <w:t>5</w:t>
            </w:r>
            <w:r>
              <w:rPr>
                <w:rFonts w:ascii="Calibri" w:hAnsi="Calibri" w:eastAsia="宋体" w:cs="Times New Roman"/>
                <w:color w:val="auto"/>
                <w:sz w:val="24"/>
              </w:rPr>
              <w:t>)</w:t>
            </w:r>
            <w:r>
              <w:rPr>
                <w:rFonts w:hint="eastAsia" w:ascii="Calibri" w:hAnsi="Calibri" w:eastAsia="宋体" w:cs="Times New Roman"/>
                <w:color w:val="auto"/>
                <w:sz w:val="24"/>
              </w:rPr>
              <w:t>0.439P</w:t>
            </w:r>
            <w:r>
              <w:rPr>
                <w:rFonts w:hint="eastAsia" w:ascii="Calibri" w:hAnsi="Calibri" w:eastAsia="宋体" w:cs="Times New Roman"/>
                <w:color w:val="auto"/>
                <w:sz w:val="24"/>
                <w:vertAlign w:val="superscript"/>
              </w:rPr>
              <w:t>-</w:t>
            </w:r>
            <w:r>
              <w:rPr>
                <w:rFonts w:ascii="Calibri" w:hAnsi="Calibri" w:eastAsia="宋体" w:cs="Times New Roman"/>
                <w:color w:val="auto"/>
                <w:sz w:val="24"/>
                <w:vertAlign w:val="superscript"/>
              </w:rPr>
              <w:t>0.</w:t>
            </w:r>
            <w:r>
              <w:rPr>
                <w:rFonts w:hint="eastAsia" w:ascii="Calibri" w:hAnsi="Calibri" w:eastAsia="宋体" w:cs="Times New Roman"/>
                <w:color w:val="auto"/>
                <w:sz w:val="24"/>
                <w:vertAlign w:val="superscript"/>
              </w:rPr>
              <w:t>159</w:t>
            </w:r>
          </w:p>
          <w:p w14:paraId="71A05A82">
            <w:pPr>
              <w:pStyle w:val="102"/>
              <w:keepNext w:val="0"/>
              <w:keepLines w:val="0"/>
              <w:suppressLineNumbers w:val="0"/>
              <w:adjustRightInd w:val="0"/>
              <w:snapToGrid w:val="0"/>
              <w:spacing w:before="0" w:beforeAutospacing="0" w:after="0" w:afterAutospacing="0" w:line="360" w:lineRule="auto"/>
              <w:ind w:left="0" w:right="0" w:firstLine="480"/>
              <w:rPr>
                <w:rFonts w:ascii="Calibri" w:hAnsi="Calibri" w:eastAsia="宋体" w:cs="Times New Roman"/>
                <w:color w:val="auto"/>
                <w:sz w:val="24"/>
              </w:rPr>
            </w:pPr>
            <w:r>
              <w:rPr>
                <w:rFonts w:hint="eastAsia" w:ascii="Calibri" w:hAnsi="Calibri" w:eastAsia="宋体" w:cs="Times New Roman"/>
                <w:color w:val="auto"/>
                <w:sz w:val="24"/>
              </w:rPr>
              <w:t>式中：</w:t>
            </w:r>
            <w:r>
              <w:rPr>
                <w:rFonts w:ascii="Calibri" w:hAnsi="Calibri" w:eastAsia="宋体" w:cs="Times New Roman"/>
                <w:color w:val="auto"/>
                <w:sz w:val="24"/>
              </w:rPr>
              <w:t>q</w:t>
            </w:r>
            <w:r>
              <w:rPr>
                <w:rFonts w:hint="eastAsia" w:ascii="Calibri" w:hAnsi="Calibri" w:eastAsia="宋体" w:cs="Times New Roman"/>
                <w:color w:val="auto"/>
                <w:sz w:val="24"/>
              </w:rPr>
              <w:t>－设计暴雨强度（</w:t>
            </w:r>
            <w:r>
              <w:rPr>
                <w:rFonts w:ascii="Calibri" w:hAnsi="Calibri" w:eastAsia="宋体" w:cs="Times New Roman"/>
                <w:color w:val="auto"/>
                <w:sz w:val="24"/>
              </w:rPr>
              <w:t>L/s·hm</w:t>
            </w:r>
            <w:r>
              <w:rPr>
                <w:rFonts w:ascii="Calibri" w:hAnsi="Calibri" w:eastAsia="宋体" w:cs="Times New Roman"/>
                <w:color w:val="auto"/>
                <w:sz w:val="24"/>
                <w:vertAlign w:val="superscript"/>
              </w:rPr>
              <w:t>2</w:t>
            </w:r>
            <w:r>
              <w:rPr>
                <w:rFonts w:hint="eastAsia" w:ascii="Calibri" w:hAnsi="Calibri" w:eastAsia="宋体" w:cs="Times New Roman"/>
                <w:color w:val="auto"/>
                <w:sz w:val="24"/>
              </w:rPr>
              <w:t>）；</w:t>
            </w:r>
          </w:p>
          <w:p w14:paraId="4BE1867A">
            <w:pPr>
              <w:pStyle w:val="102"/>
              <w:keepNext w:val="0"/>
              <w:keepLines w:val="0"/>
              <w:suppressLineNumbers w:val="0"/>
              <w:adjustRightInd w:val="0"/>
              <w:snapToGrid w:val="0"/>
              <w:spacing w:before="0" w:beforeAutospacing="0" w:after="0" w:afterAutospacing="0" w:line="360" w:lineRule="auto"/>
              <w:ind w:left="0" w:right="0" w:firstLine="1200" w:firstLineChars="500"/>
              <w:rPr>
                <w:rFonts w:ascii="Calibri" w:hAnsi="Calibri" w:eastAsia="宋体" w:cs="Times New Roman"/>
                <w:color w:val="auto"/>
                <w:sz w:val="24"/>
              </w:rPr>
            </w:pPr>
            <w:r>
              <w:rPr>
                <w:rFonts w:ascii="Calibri" w:hAnsi="Calibri" w:eastAsia="宋体" w:cs="Times New Roman"/>
                <w:color w:val="auto"/>
                <w:sz w:val="24"/>
              </w:rPr>
              <w:t>t</w:t>
            </w:r>
            <w:r>
              <w:rPr>
                <w:rFonts w:hint="eastAsia" w:ascii="Calibri" w:hAnsi="Calibri" w:eastAsia="宋体" w:cs="Times New Roman"/>
                <w:color w:val="auto"/>
                <w:sz w:val="24"/>
              </w:rPr>
              <w:t>－集水时间（</w:t>
            </w:r>
            <w:r>
              <w:rPr>
                <w:rFonts w:ascii="Calibri" w:hAnsi="Calibri" w:eastAsia="宋体" w:cs="Times New Roman"/>
                <w:color w:val="auto"/>
                <w:sz w:val="24"/>
              </w:rPr>
              <w:t>min</w:t>
            </w:r>
            <w:r>
              <w:rPr>
                <w:rFonts w:hint="eastAsia" w:ascii="Calibri" w:hAnsi="Calibri" w:eastAsia="宋体" w:cs="Times New Roman"/>
                <w:color w:val="auto"/>
                <w:sz w:val="24"/>
              </w:rPr>
              <w:t>），取</w:t>
            </w:r>
            <w:r>
              <w:rPr>
                <w:rFonts w:ascii="Calibri" w:hAnsi="Calibri" w:eastAsia="宋体" w:cs="Times New Roman"/>
                <w:color w:val="auto"/>
                <w:sz w:val="24"/>
              </w:rPr>
              <w:t>15</w:t>
            </w:r>
            <w:r>
              <w:rPr>
                <w:rFonts w:hint="eastAsia" w:ascii="Calibri" w:hAnsi="Calibri" w:eastAsia="宋体" w:cs="Times New Roman"/>
                <w:color w:val="auto"/>
                <w:sz w:val="24"/>
              </w:rPr>
              <w:t>分钟；</w:t>
            </w:r>
          </w:p>
          <w:p w14:paraId="09B28079">
            <w:pPr>
              <w:pStyle w:val="102"/>
              <w:keepNext w:val="0"/>
              <w:keepLines w:val="0"/>
              <w:suppressLineNumbers w:val="0"/>
              <w:adjustRightInd w:val="0"/>
              <w:snapToGrid w:val="0"/>
              <w:spacing w:before="0" w:beforeAutospacing="0" w:after="0" w:afterAutospacing="0" w:line="360" w:lineRule="auto"/>
              <w:ind w:left="0" w:right="0" w:firstLine="1200" w:firstLineChars="500"/>
              <w:rPr>
                <w:rFonts w:ascii="Calibri" w:hAnsi="Calibri" w:eastAsia="宋体" w:cs="Times New Roman"/>
                <w:color w:val="auto"/>
                <w:sz w:val="24"/>
              </w:rPr>
            </w:pPr>
            <w:r>
              <w:rPr>
                <w:rFonts w:ascii="Calibri" w:hAnsi="Calibri" w:eastAsia="宋体" w:cs="Times New Roman"/>
                <w:color w:val="auto"/>
                <w:sz w:val="24"/>
              </w:rPr>
              <w:t>P</w:t>
            </w:r>
            <w:r>
              <w:rPr>
                <w:rFonts w:hint="eastAsia" w:ascii="Calibri" w:hAnsi="Calibri" w:eastAsia="宋体" w:cs="Times New Roman"/>
                <w:color w:val="auto"/>
                <w:sz w:val="24"/>
              </w:rPr>
              <w:t>－设计重现期（</w:t>
            </w:r>
            <w:r>
              <w:rPr>
                <w:rFonts w:ascii="Calibri" w:hAnsi="Calibri" w:eastAsia="宋体" w:cs="Times New Roman"/>
                <w:color w:val="auto"/>
                <w:sz w:val="24"/>
              </w:rPr>
              <w:t>a</w:t>
            </w:r>
            <w:r>
              <w:rPr>
                <w:rFonts w:hint="eastAsia" w:ascii="Calibri" w:hAnsi="Calibri" w:eastAsia="宋体" w:cs="Times New Roman"/>
                <w:color w:val="auto"/>
                <w:sz w:val="24"/>
              </w:rPr>
              <w:t>），取2年；</w:t>
            </w:r>
          </w:p>
          <w:p w14:paraId="26201D93">
            <w:pPr>
              <w:pStyle w:val="102"/>
              <w:keepNext w:val="0"/>
              <w:keepLines w:val="0"/>
              <w:suppressLineNumbers w:val="0"/>
              <w:adjustRightInd w:val="0"/>
              <w:snapToGrid w:val="0"/>
              <w:spacing w:before="0" w:beforeAutospacing="0" w:afterAutospacing="0" w:line="360" w:lineRule="auto"/>
              <w:ind w:left="0" w:right="0" w:firstLine="480"/>
              <w:rPr>
                <w:rFonts w:ascii="Calibri" w:hAnsi="Calibri" w:eastAsia="宋体" w:cs="Times New Roman"/>
                <w:color w:val="auto"/>
                <w:sz w:val="24"/>
              </w:rPr>
            </w:pPr>
            <w:r>
              <w:rPr>
                <w:rFonts w:ascii="Calibri" w:hAnsi="Calibri" w:eastAsia="宋体" w:cs="Times New Roman"/>
                <w:color w:val="auto"/>
                <w:sz w:val="24"/>
              </w:rPr>
              <w:t>项目露天冲刷区域总占地约</w:t>
            </w:r>
            <w:r>
              <w:rPr>
                <w:rFonts w:hint="eastAsia" w:ascii="Calibri" w:hAnsi="Calibri" w:eastAsia="宋体" w:cs="Times New Roman"/>
                <w:color w:val="auto"/>
                <w:sz w:val="24"/>
              </w:rPr>
              <w:t>116.67</w:t>
            </w:r>
            <w:r>
              <w:rPr>
                <w:rFonts w:ascii="Calibri" w:hAnsi="Calibri" w:eastAsia="宋体" w:cs="Times New Roman"/>
                <w:color w:val="auto"/>
                <w:sz w:val="24"/>
              </w:rPr>
              <w:t>m</w:t>
            </w:r>
            <w:r>
              <w:rPr>
                <w:rFonts w:ascii="Calibri" w:hAnsi="Calibri" w:eastAsia="宋体" w:cs="Times New Roman"/>
                <w:color w:val="auto"/>
                <w:sz w:val="24"/>
                <w:vertAlign w:val="superscript"/>
              </w:rPr>
              <w:t>2</w:t>
            </w:r>
            <w:r>
              <w:rPr>
                <w:rFonts w:hint="eastAsia" w:ascii="Calibri" w:hAnsi="Calibri" w:eastAsia="宋体" w:cs="Times New Roman"/>
                <w:color w:val="auto"/>
                <w:sz w:val="24"/>
              </w:rPr>
              <w:t>（</w:t>
            </w:r>
            <w:r>
              <w:rPr>
                <w:rFonts w:ascii="Calibri" w:hAnsi="Calibri" w:eastAsia="宋体" w:cs="Times New Roman"/>
                <w:color w:val="auto"/>
                <w:sz w:val="24"/>
              </w:rPr>
              <w:t>露天冲刷区</w:t>
            </w:r>
            <w:r>
              <w:rPr>
                <w:rFonts w:hint="eastAsia" w:ascii="Calibri" w:hAnsi="Calibri" w:eastAsia="宋体" w:cs="Times New Roman"/>
                <w:color w:val="auto"/>
                <w:sz w:val="24"/>
              </w:rPr>
              <w:t>按最大影响计算，即总占地6666.67-500-2000-1000-3000-50=116.67）</w:t>
            </w:r>
            <w:r>
              <w:rPr>
                <w:rFonts w:ascii="Calibri" w:hAnsi="Calibri" w:eastAsia="宋体" w:cs="Times New Roman"/>
                <w:color w:val="auto"/>
                <w:sz w:val="24"/>
              </w:rPr>
              <w:t>，经计算，拟建项目暴雨最大流量约</w:t>
            </w:r>
            <w:r>
              <w:rPr>
                <w:rFonts w:hint="eastAsia" w:ascii="Calibri" w:hAnsi="Calibri" w:eastAsia="宋体" w:cs="Times New Roman"/>
                <w:color w:val="auto"/>
                <w:sz w:val="24"/>
              </w:rPr>
              <w:t>1.64</w:t>
            </w:r>
            <w:r>
              <w:rPr>
                <w:rFonts w:ascii="Calibri" w:hAnsi="Calibri" w:eastAsia="宋体" w:cs="Times New Roman"/>
                <w:color w:val="auto"/>
                <w:sz w:val="24"/>
              </w:rPr>
              <w:t>L/s，特大暴雨降雨历时按15分钟计算，厂区雨水量约为</w:t>
            </w:r>
            <w:r>
              <w:rPr>
                <w:rFonts w:hint="eastAsia" w:ascii="Calibri" w:hAnsi="Calibri" w:eastAsia="宋体" w:cs="Times New Roman"/>
                <w:color w:val="auto"/>
                <w:sz w:val="24"/>
              </w:rPr>
              <w:t>1.5</w:t>
            </w:r>
            <w:r>
              <w:rPr>
                <w:rFonts w:ascii="Calibri" w:hAnsi="Calibri" w:eastAsia="宋体" w:cs="Times New Roman"/>
                <w:color w:val="auto"/>
                <w:sz w:val="24"/>
              </w:rPr>
              <w:t>m</w:t>
            </w:r>
            <w:r>
              <w:rPr>
                <w:rFonts w:ascii="Calibri" w:hAnsi="Calibri" w:eastAsia="宋体" w:cs="Times New Roman"/>
                <w:color w:val="auto"/>
                <w:sz w:val="24"/>
                <w:vertAlign w:val="superscript"/>
              </w:rPr>
              <w:t>3</w:t>
            </w:r>
            <w:r>
              <w:rPr>
                <w:rFonts w:ascii="Calibri" w:hAnsi="Calibri" w:eastAsia="宋体" w:cs="Times New Roman"/>
                <w:color w:val="auto"/>
                <w:sz w:val="24"/>
              </w:rPr>
              <w:t>/次，</w:t>
            </w:r>
            <w:r>
              <w:rPr>
                <w:rFonts w:hint="eastAsia" w:ascii="Times New Roman" w:hAnsi="Times New Roman" w:eastAsia="宋体" w:cs="Times New Roman"/>
                <w:color w:val="auto"/>
                <w:sz w:val="24"/>
                <w:lang w:bidi="ar"/>
              </w:rPr>
              <w:t>根据《排污许可证申请与核发技术规范 磷肥、钾肥、复混肥料、有机肥料及微生物肥料工业（HJ 864.2-2018）》，初期雨水</w:t>
            </w:r>
            <w:r>
              <w:rPr>
                <w:rFonts w:ascii="Times New Roman" w:hAnsi="Times New Roman" w:eastAsia="宋体" w:cs="Times New Roman"/>
                <w:color w:val="auto"/>
                <w:sz w:val="24"/>
                <w:lang w:bidi="ar"/>
              </w:rPr>
              <w:t>主要污染物有</w:t>
            </w:r>
            <w:r>
              <w:rPr>
                <w:rFonts w:hint="eastAsia" w:ascii="Times New Roman" w:hAnsi="Times New Roman" w:eastAsia="宋体" w:cs="Times New Roman"/>
                <w:color w:val="auto"/>
                <w:sz w:val="24"/>
                <w:lang w:bidi="ar"/>
              </w:rPr>
              <w:t>COD、</w:t>
            </w:r>
            <w:r>
              <w:rPr>
                <w:rFonts w:ascii="Calibri" w:hAnsi="Calibri" w:eastAsia="宋体" w:cs="Times New Roman"/>
                <w:color w:val="auto"/>
                <w:sz w:val="24"/>
              </w:rPr>
              <w:t>SS。厂区冲刷的雨水通过厂区四周截排水沟流向初期雨水沉淀池，项目设置的1个初期雨水沉淀池容量为</w:t>
            </w:r>
            <w:r>
              <w:rPr>
                <w:rFonts w:hint="eastAsia" w:ascii="Calibri" w:hAnsi="Calibri" w:eastAsia="宋体" w:cs="Times New Roman"/>
                <w:color w:val="auto"/>
                <w:sz w:val="24"/>
              </w:rPr>
              <w:t>5</w:t>
            </w:r>
            <w:r>
              <w:rPr>
                <w:rFonts w:ascii="Calibri" w:hAnsi="Calibri" w:eastAsia="宋体" w:cs="Times New Roman"/>
                <w:color w:val="auto"/>
                <w:sz w:val="24"/>
              </w:rPr>
              <w:t>m</w:t>
            </w:r>
            <w:r>
              <w:rPr>
                <w:rFonts w:ascii="Calibri" w:hAnsi="Calibri" w:eastAsia="宋体" w:cs="Times New Roman"/>
                <w:color w:val="auto"/>
                <w:sz w:val="24"/>
                <w:vertAlign w:val="superscript"/>
              </w:rPr>
              <w:t>3</w:t>
            </w:r>
            <w:r>
              <w:rPr>
                <w:rFonts w:ascii="Calibri" w:hAnsi="Calibri" w:eastAsia="宋体" w:cs="Times New Roman"/>
                <w:color w:val="auto"/>
                <w:sz w:val="24"/>
              </w:rPr>
              <w:t>，设于厂区</w:t>
            </w:r>
            <w:r>
              <w:rPr>
                <w:rFonts w:hint="eastAsia" w:ascii="Calibri" w:hAnsi="Calibri" w:eastAsia="宋体" w:cs="Times New Roman"/>
                <w:color w:val="auto"/>
                <w:sz w:val="24"/>
              </w:rPr>
              <w:t>南</w:t>
            </w:r>
            <w:r>
              <w:rPr>
                <w:rFonts w:ascii="Calibri" w:hAnsi="Calibri" w:eastAsia="宋体" w:cs="Times New Roman"/>
                <w:color w:val="auto"/>
                <w:sz w:val="24"/>
              </w:rPr>
              <w:t>面较为低矮地块（厂区雨水主要往</w:t>
            </w:r>
            <w:r>
              <w:rPr>
                <w:rFonts w:hint="eastAsia" w:ascii="Calibri" w:hAnsi="Calibri" w:eastAsia="宋体" w:cs="Times New Roman"/>
                <w:color w:val="auto"/>
                <w:sz w:val="24"/>
              </w:rPr>
              <w:t>南面</w:t>
            </w:r>
            <w:r>
              <w:rPr>
                <w:rFonts w:ascii="Calibri" w:hAnsi="Calibri" w:eastAsia="宋体" w:cs="Times New Roman"/>
                <w:color w:val="auto"/>
                <w:sz w:val="24"/>
              </w:rPr>
              <w:t>地块较为低矮方向收集），</w:t>
            </w:r>
            <w:r>
              <w:rPr>
                <w:rFonts w:hint="eastAsia" w:ascii="Calibri" w:hAnsi="Calibri" w:eastAsia="宋体" w:cs="Times New Roman"/>
                <w:color w:val="auto"/>
                <w:sz w:val="24"/>
              </w:rPr>
              <w:t>15分钟前初期雨水经初期雨水沉淀池处理后批次进入防渗旱厕，对环境影响不大；15分钟后雨水排入南面坑塘</w:t>
            </w:r>
            <w:r>
              <w:rPr>
                <w:rFonts w:ascii="Calibri" w:hAnsi="Calibri" w:eastAsia="宋体" w:cs="Times New Roman"/>
                <w:color w:val="auto"/>
                <w:sz w:val="24"/>
              </w:rPr>
              <w:t>。</w:t>
            </w:r>
          </w:p>
          <w:p w14:paraId="77159227">
            <w:pPr>
              <w:pStyle w:val="44"/>
              <w:keepNext w:val="0"/>
              <w:keepLines w:val="0"/>
              <w:suppressLineNumbers w:val="0"/>
              <w:spacing w:before="0" w:beforeAutospacing="0" w:after="0" w:afterAutospacing="0" w:line="360" w:lineRule="auto"/>
              <w:ind w:left="0" w:right="0" w:firstLine="482"/>
              <w:jc w:val="both"/>
              <w:rPr>
                <w:rFonts w:hint="eastAsia" w:ascii="Calibri" w:hAnsi="Calibri" w:eastAsia="宋体" w:cs="Times New Roman"/>
                <w:b/>
                <w:bCs/>
                <w:color w:val="auto"/>
              </w:rPr>
            </w:pPr>
            <w:r>
              <w:rPr>
                <w:rFonts w:hint="eastAsia" w:ascii="Calibri" w:hAnsi="Calibri" w:eastAsia="宋体" w:cs="Times New Roman"/>
                <w:b/>
                <w:bCs/>
                <w:color w:val="auto"/>
              </w:rPr>
              <w:t>5、监测计划</w:t>
            </w:r>
          </w:p>
          <w:p w14:paraId="7B0026C4">
            <w:pPr>
              <w:pStyle w:val="102"/>
              <w:keepNext w:val="0"/>
              <w:keepLines w:val="0"/>
              <w:suppressLineNumbers w:val="0"/>
              <w:adjustRightInd w:val="0"/>
              <w:snapToGrid w:val="0"/>
              <w:spacing w:before="0" w:beforeAutospacing="0" w:afterAutospacing="0" w:line="360" w:lineRule="auto"/>
              <w:ind w:left="0" w:right="0" w:firstLine="480"/>
              <w:rPr>
                <w:rFonts w:ascii="Calibri" w:hAnsi="Calibri" w:eastAsia="宋体" w:cs="Times New Roman"/>
                <w:color w:val="auto"/>
                <w:sz w:val="24"/>
              </w:rPr>
            </w:pPr>
            <w:r>
              <w:rPr>
                <w:rFonts w:hint="eastAsia" w:ascii="Calibri" w:hAnsi="Calibri" w:eastAsia="宋体" w:cs="Times New Roman"/>
                <w:color w:val="auto"/>
                <w:sz w:val="24"/>
              </w:rPr>
              <w:t>根据《排污许可证申请与核发技术规范 磷肥、钾肥、复混肥料、有机肥料及微生物肥料工业（HJ 864.2-2018）》、《排污单位自行监测技术指南 磷肥、钾肥、复混肥料、有机肥料和微生物肥料（HJ1088-2020）》，项目环境监测要求制定废水环境自行监测计划见下表。</w:t>
            </w:r>
          </w:p>
          <w:p w14:paraId="7071F9D4">
            <w:pPr>
              <w:keepNext w:val="0"/>
              <w:keepLines w:val="0"/>
              <w:suppressLineNumbers w:val="0"/>
              <w:spacing w:before="0" w:beforeAutospacing="0" w:after="0" w:afterAutospacing="0"/>
              <w:ind w:left="0" w:right="0"/>
              <w:jc w:val="center"/>
              <w:rPr>
                <w:rFonts w:hint="eastAsia" w:ascii="Calibri" w:hAnsi="Calibri" w:eastAsia="宋体" w:cs="Times New Roman"/>
                <w:b/>
                <w:color w:val="auto"/>
                <w:sz w:val="24"/>
              </w:rPr>
            </w:pPr>
            <w:r>
              <w:rPr>
                <w:rFonts w:hint="eastAsia" w:ascii="Calibri" w:hAnsi="Calibri" w:eastAsia="宋体" w:cs="Times New Roman"/>
                <w:b/>
                <w:color w:val="auto"/>
                <w:sz w:val="24"/>
              </w:rPr>
              <w:t>表4-8  本项目环境监测计划建议</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740"/>
              <w:gridCol w:w="2282"/>
              <w:gridCol w:w="2261"/>
              <w:gridCol w:w="1182"/>
            </w:tblGrid>
            <w:tr w14:paraId="2B57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98" w:type="pct"/>
                  <w:noWrap w:val="0"/>
                  <w:vAlign w:val="center"/>
                </w:tcPr>
                <w:p w14:paraId="3FEA8326">
                  <w:pPr>
                    <w:keepNext w:val="0"/>
                    <w:keepLines w:val="0"/>
                    <w:suppressLineNumbers w:val="0"/>
                    <w:spacing w:before="0" w:beforeAutospacing="0" w:after="0" w:afterAutospacing="0"/>
                    <w:ind w:left="0" w:right="0"/>
                    <w:jc w:val="center"/>
                    <w:rPr>
                      <w:rFonts w:ascii="Calibri" w:hAnsi="Calibri" w:eastAsia="宋体" w:cs="Times New Roman"/>
                      <w:bCs/>
                      <w:color w:val="auto"/>
                    </w:rPr>
                  </w:pPr>
                  <w:r>
                    <w:rPr>
                      <w:rFonts w:hint="eastAsia" w:ascii="Calibri" w:hAnsi="宋体" w:eastAsia="宋体" w:cs="Times New Roman"/>
                      <w:bCs/>
                      <w:color w:val="auto"/>
                    </w:rPr>
                    <w:t>监测</w:t>
                  </w:r>
                  <w:r>
                    <w:rPr>
                      <w:rFonts w:ascii="Calibri" w:hAnsi="宋体" w:eastAsia="宋体" w:cs="Times New Roman"/>
                      <w:bCs/>
                      <w:color w:val="auto"/>
                    </w:rPr>
                    <w:t>内容</w:t>
                  </w:r>
                </w:p>
              </w:tc>
              <w:tc>
                <w:tcPr>
                  <w:tcW w:w="1002" w:type="pct"/>
                  <w:noWrap w:val="0"/>
                  <w:vAlign w:val="center"/>
                </w:tcPr>
                <w:p w14:paraId="4238AD10">
                  <w:pPr>
                    <w:keepNext w:val="0"/>
                    <w:keepLines w:val="0"/>
                    <w:suppressLineNumbers w:val="0"/>
                    <w:spacing w:before="0" w:beforeAutospacing="0" w:after="0" w:afterAutospacing="0"/>
                    <w:ind w:left="0" w:right="0"/>
                    <w:jc w:val="center"/>
                    <w:rPr>
                      <w:rFonts w:ascii="Calibri" w:hAnsi="Calibri" w:eastAsia="宋体" w:cs="Times New Roman"/>
                      <w:bCs/>
                      <w:color w:val="auto"/>
                    </w:rPr>
                  </w:pPr>
                  <w:r>
                    <w:rPr>
                      <w:rFonts w:ascii="Calibri" w:hAnsi="宋体" w:eastAsia="宋体" w:cs="Times New Roman"/>
                      <w:bCs/>
                      <w:color w:val="auto"/>
                    </w:rPr>
                    <w:t>监测位置</w:t>
                  </w:r>
                </w:p>
              </w:tc>
              <w:tc>
                <w:tcPr>
                  <w:tcW w:w="1314" w:type="pct"/>
                  <w:noWrap w:val="0"/>
                  <w:vAlign w:val="center"/>
                </w:tcPr>
                <w:p w14:paraId="35F1E1C5">
                  <w:pPr>
                    <w:keepNext w:val="0"/>
                    <w:keepLines w:val="0"/>
                    <w:suppressLineNumbers w:val="0"/>
                    <w:spacing w:before="0" w:beforeAutospacing="0" w:after="0" w:afterAutospacing="0"/>
                    <w:ind w:left="0" w:right="0"/>
                    <w:jc w:val="center"/>
                    <w:rPr>
                      <w:rFonts w:ascii="Calibri" w:hAnsi="Calibri" w:eastAsia="宋体" w:cs="Times New Roman"/>
                      <w:bCs/>
                      <w:color w:val="auto"/>
                    </w:rPr>
                  </w:pPr>
                  <w:r>
                    <w:rPr>
                      <w:rFonts w:ascii="Calibri" w:hAnsi="宋体" w:eastAsia="宋体" w:cs="Times New Roman"/>
                      <w:bCs/>
                      <w:color w:val="auto"/>
                    </w:rPr>
                    <w:t>监测项目</w:t>
                  </w:r>
                </w:p>
              </w:tc>
              <w:tc>
                <w:tcPr>
                  <w:tcW w:w="1302" w:type="pct"/>
                  <w:noWrap w:val="0"/>
                  <w:vAlign w:val="center"/>
                </w:tcPr>
                <w:p w14:paraId="64C6350E">
                  <w:pPr>
                    <w:keepNext w:val="0"/>
                    <w:keepLines w:val="0"/>
                    <w:suppressLineNumbers w:val="0"/>
                    <w:spacing w:before="0" w:beforeAutospacing="0" w:after="0" w:afterAutospacing="0"/>
                    <w:ind w:left="0" w:right="0"/>
                    <w:jc w:val="center"/>
                    <w:rPr>
                      <w:rFonts w:ascii="Calibri" w:hAnsi="Calibri" w:eastAsia="宋体" w:cs="Times New Roman"/>
                      <w:bCs/>
                      <w:color w:val="auto"/>
                    </w:rPr>
                  </w:pPr>
                  <w:r>
                    <w:rPr>
                      <w:rFonts w:ascii="Calibri" w:hAnsi="宋体" w:eastAsia="宋体" w:cs="Times New Roman"/>
                      <w:bCs/>
                      <w:color w:val="auto"/>
                    </w:rPr>
                    <w:t>监测频次</w:t>
                  </w:r>
                </w:p>
              </w:tc>
              <w:tc>
                <w:tcPr>
                  <w:tcW w:w="681" w:type="pct"/>
                  <w:noWrap w:val="0"/>
                  <w:vAlign w:val="center"/>
                </w:tcPr>
                <w:p w14:paraId="37FAD48F">
                  <w:pPr>
                    <w:keepNext w:val="0"/>
                    <w:keepLines w:val="0"/>
                    <w:suppressLineNumbers w:val="0"/>
                    <w:spacing w:before="0" w:beforeAutospacing="0" w:after="0" w:afterAutospacing="0"/>
                    <w:ind w:left="0" w:right="0"/>
                    <w:jc w:val="center"/>
                    <w:rPr>
                      <w:rFonts w:hint="eastAsia" w:ascii="Calibri" w:hAnsi="宋体" w:eastAsia="宋体" w:cs="Times New Roman"/>
                      <w:bCs/>
                      <w:color w:val="auto"/>
                    </w:rPr>
                  </w:pPr>
                  <w:r>
                    <w:rPr>
                      <w:rFonts w:hint="eastAsia" w:ascii="Calibri" w:hAnsi="宋体" w:eastAsia="宋体" w:cs="Times New Roman"/>
                      <w:bCs/>
                      <w:color w:val="auto"/>
                    </w:rPr>
                    <w:t>监测机构</w:t>
                  </w:r>
                </w:p>
              </w:tc>
            </w:tr>
            <w:tr w14:paraId="6BFB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98" w:type="pct"/>
                  <w:noWrap w:val="0"/>
                  <w:vAlign w:val="center"/>
                </w:tcPr>
                <w:p w14:paraId="11DD595D">
                  <w:pPr>
                    <w:keepNext w:val="0"/>
                    <w:keepLines w:val="0"/>
                    <w:suppressLineNumbers w:val="0"/>
                    <w:spacing w:before="0" w:beforeAutospacing="0" w:after="0" w:afterAutospacing="0"/>
                    <w:ind w:left="0" w:right="0"/>
                    <w:jc w:val="center"/>
                    <w:rPr>
                      <w:rFonts w:hint="eastAsia" w:ascii="Calibri" w:hAnsi="宋体" w:eastAsia="宋体" w:cs="Times New Roman"/>
                      <w:color w:val="auto"/>
                    </w:rPr>
                  </w:pPr>
                  <w:r>
                    <w:rPr>
                      <w:rFonts w:hint="eastAsia" w:ascii="Calibri" w:hAnsi="宋体" w:eastAsia="宋体" w:cs="Times New Roman"/>
                      <w:color w:val="auto"/>
                    </w:rPr>
                    <w:t>雨水</w:t>
                  </w:r>
                </w:p>
              </w:tc>
              <w:tc>
                <w:tcPr>
                  <w:tcW w:w="1002" w:type="pct"/>
                  <w:noWrap w:val="0"/>
                  <w:vAlign w:val="center"/>
                </w:tcPr>
                <w:p w14:paraId="2897B66E">
                  <w:pPr>
                    <w:keepNext w:val="0"/>
                    <w:keepLines w:val="0"/>
                    <w:suppressLineNumbers w:val="0"/>
                    <w:spacing w:before="0" w:beforeAutospacing="0" w:after="0" w:afterAutospacing="0"/>
                    <w:ind w:left="0" w:right="0"/>
                    <w:jc w:val="center"/>
                    <w:rPr>
                      <w:rFonts w:hint="eastAsia" w:ascii="Calibri" w:hAnsi="宋体" w:eastAsia="宋体" w:cs="Times New Roman"/>
                      <w:color w:val="auto"/>
                    </w:rPr>
                  </w:pPr>
                  <w:r>
                    <w:rPr>
                      <w:rFonts w:hint="eastAsia" w:ascii="Calibri" w:hAnsi="宋体" w:eastAsia="宋体" w:cs="Times New Roman"/>
                      <w:color w:val="auto"/>
                    </w:rPr>
                    <w:t>雨水排水口</w:t>
                  </w:r>
                </w:p>
              </w:tc>
              <w:tc>
                <w:tcPr>
                  <w:tcW w:w="1314" w:type="pct"/>
                  <w:noWrap w:val="0"/>
                  <w:vAlign w:val="center"/>
                </w:tcPr>
                <w:p w14:paraId="6A4A0036">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化学需氧量、悬浮物</w:t>
                  </w:r>
                </w:p>
              </w:tc>
              <w:tc>
                <w:tcPr>
                  <w:tcW w:w="1302" w:type="pct"/>
                  <w:noWrap w:val="0"/>
                  <w:vAlign w:val="center"/>
                </w:tcPr>
                <w:p w14:paraId="70A5993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次/季度</w:t>
                  </w:r>
                </w:p>
              </w:tc>
              <w:tc>
                <w:tcPr>
                  <w:tcW w:w="681" w:type="pct"/>
                  <w:noWrap w:val="0"/>
                  <w:vAlign w:val="center"/>
                </w:tcPr>
                <w:p w14:paraId="0A020AF5">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r>
                    <w:rPr>
                      <w:rFonts w:hint="eastAsia" w:ascii="Times New Roman" w:hAnsi="Times New Roman" w:eastAsia="宋体" w:cs="Times New Roman"/>
                      <w:color w:val="auto"/>
                    </w:rPr>
                    <w:t>委托有资质单位</w:t>
                  </w:r>
                </w:p>
              </w:tc>
            </w:tr>
          </w:tbl>
          <w:p w14:paraId="3783C5AA">
            <w:pPr>
              <w:pStyle w:val="102"/>
              <w:keepNext w:val="0"/>
              <w:keepLines w:val="0"/>
              <w:suppressLineNumbers w:val="0"/>
              <w:adjustRightInd w:val="0"/>
              <w:snapToGrid w:val="0"/>
              <w:spacing w:before="0" w:beforeAutospacing="0" w:afterAutospacing="0" w:line="360" w:lineRule="auto"/>
              <w:ind w:left="0" w:right="0"/>
              <w:rPr>
                <w:rFonts w:ascii="Calibri" w:hAnsi="Calibri" w:eastAsia="宋体" w:cs="Times New Roman"/>
                <w:color w:val="auto"/>
                <w:sz w:val="24"/>
              </w:rPr>
            </w:pPr>
          </w:p>
        </w:tc>
      </w:tr>
    </w:tbl>
    <w:p w14:paraId="1D567D07">
      <w:pPr>
        <w:adjustRightInd w:val="0"/>
        <w:snapToGrid w:val="0"/>
        <w:spacing w:line="360" w:lineRule="auto"/>
        <w:rPr>
          <w:rFonts w:hint="eastAsia" w:ascii="宋体" w:cs="宋体"/>
          <w:b/>
          <w:color w:val="auto"/>
          <w:kern w:val="0"/>
          <w:sz w:val="28"/>
          <w:szCs w:val="28"/>
        </w:rPr>
        <w:sectPr>
          <w:pgSz w:w="11905" w:h="16838"/>
          <w:pgMar w:top="1417" w:right="1417" w:bottom="1417" w:left="1417" w:header="851" w:footer="1077" w:gutter="0"/>
          <w:cols w:space="720" w:num="1"/>
          <w:docGrid w:linePitch="312" w:charSpace="0"/>
        </w:sectPr>
      </w:pPr>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2955"/>
      </w:tblGrid>
      <w:tr w14:paraId="3D0FA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91" w:hRule="atLeast"/>
          <w:jc w:val="center"/>
        </w:trPr>
        <w:tc>
          <w:tcPr>
            <w:tcW w:w="418" w:type="pct"/>
            <w:noWrap w:val="0"/>
            <w:tcMar>
              <w:left w:w="28" w:type="dxa"/>
              <w:right w:w="28" w:type="dxa"/>
            </w:tcMar>
            <w:vAlign w:val="center"/>
          </w:tcPr>
          <w:p w14:paraId="59C9395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rPr>
            </w:pPr>
            <w:r>
              <w:rPr>
                <w:rFonts w:hint="eastAsia" w:ascii="宋体" w:hAnsi="宋体" w:eastAsia="宋体" w:cs="宋体"/>
                <w:bCs/>
                <w:color w:val="auto"/>
                <w:szCs w:val="21"/>
              </w:rPr>
              <w:t>运营</w:t>
            </w:r>
          </w:p>
          <w:p w14:paraId="6285915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rPr>
            </w:pPr>
            <w:r>
              <w:rPr>
                <w:rFonts w:hint="eastAsia" w:ascii="宋体" w:hAnsi="宋体" w:eastAsia="宋体" w:cs="宋体"/>
                <w:bCs/>
                <w:color w:val="auto"/>
                <w:szCs w:val="21"/>
              </w:rPr>
              <w:t>期环</w:t>
            </w:r>
          </w:p>
          <w:p w14:paraId="40C884E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rPr>
            </w:pPr>
            <w:r>
              <w:rPr>
                <w:rFonts w:hint="eastAsia" w:ascii="宋体" w:hAnsi="宋体" w:eastAsia="宋体" w:cs="宋体"/>
                <w:bCs/>
                <w:color w:val="auto"/>
                <w:szCs w:val="21"/>
              </w:rPr>
              <w:t>境影</w:t>
            </w:r>
          </w:p>
          <w:p w14:paraId="497B1D3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rPr>
            </w:pPr>
            <w:r>
              <w:rPr>
                <w:rFonts w:hint="eastAsia" w:ascii="宋体" w:hAnsi="宋体" w:eastAsia="宋体" w:cs="宋体"/>
                <w:bCs/>
                <w:color w:val="auto"/>
                <w:szCs w:val="21"/>
              </w:rPr>
              <w:t>响和</w:t>
            </w:r>
          </w:p>
          <w:p w14:paraId="34D0072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rPr>
            </w:pPr>
            <w:r>
              <w:rPr>
                <w:rFonts w:hint="eastAsia" w:ascii="宋体" w:hAnsi="宋体" w:eastAsia="宋体" w:cs="宋体"/>
                <w:bCs/>
                <w:color w:val="auto"/>
                <w:szCs w:val="21"/>
              </w:rPr>
              <w:t>保护</w:t>
            </w:r>
          </w:p>
          <w:p w14:paraId="58888183">
            <w:pPr>
              <w:keepNext w:val="0"/>
              <w:keepLines w:val="0"/>
              <w:suppressLineNumbers w:val="0"/>
              <w:adjustRightInd w:val="0"/>
              <w:snapToGrid w:val="0"/>
              <w:spacing w:before="0" w:beforeAutospacing="0" w:after="0" w:afterAutospacing="0"/>
              <w:ind w:left="0" w:right="0"/>
              <w:jc w:val="center"/>
              <w:rPr>
                <w:rFonts w:ascii="宋体" w:hAnsi="宋体" w:eastAsia="宋体" w:cs="宋体"/>
                <w:bCs/>
                <w:color w:val="auto"/>
                <w:szCs w:val="21"/>
              </w:rPr>
            </w:pPr>
            <w:r>
              <w:rPr>
                <w:rFonts w:hint="eastAsia" w:ascii="宋体" w:hAnsi="宋体" w:eastAsia="宋体" w:cs="宋体"/>
                <w:bCs/>
                <w:color w:val="auto"/>
                <w:szCs w:val="21"/>
              </w:rPr>
              <w:t>措施</w:t>
            </w:r>
          </w:p>
        </w:tc>
        <w:tc>
          <w:tcPr>
            <w:tcW w:w="4581" w:type="pct"/>
            <w:noWrap w:val="0"/>
            <w:vAlign w:val="center"/>
          </w:tcPr>
          <w:p w14:paraId="1E2DE5A0">
            <w:pPr>
              <w:keepNext w:val="0"/>
              <w:keepLines w:val="0"/>
              <w:suppressLineNumbers w:val="0"/>
              <w:tabs>
                <w:tab w:val="left" w:pos="720"/>
              </w:tabs>
              <w:spacing w:before="120" w:beforeLines="50" w:beforeAutospacing="0" w:after="0" w:afterAutospacing="0" w:line="360" w:lineRule="auto"/>
              <w:ind w:left="0" w:right="0"/>
              <w:rPr>
                <w:rFonts w:ascii="Calibri" w:hAnsi="Calibri" w:eastAsia="宋体" w:cs="Times New Roman"/>
                <w:b/>
                <w:color w:val="auto"/>
                <w:sz w:val="24"/>
              </w:rPr>
            </w:pPr>
            <w:r>
              <w:rPr>
                <w:rFonts w:hint="eastAsia" w:ascii="Calibri" w:hAnsi="Calibri" w:eastAsia="宋体" w:cs="Times New Roman"/>
                <w:b/>
                <w:color w:val="auto"/>
                <w:sz w:val="24"/>
              </w:rPr>
              <w:t>三、声环境影响分析</w:t>
            </w:r>
          </w:p>
          <w:p w14:paraId="01172FB8">
            <w:pPr>
              <w:keepNext w:val="0"/>
              <w:keepLines w:val="0"/>
              <w:suppressLineNumbers w:val="0"/>
              <w:tabs>
                <w:tab w:val="left" w:pos="720"/>
              </w:tabs>
              <w:spacing w:before="0" w:beforeAutospacing="0" w:after="0" w:afterAutospacing="0" w:line="360" w:lineRule="auto"/>
              <w:ind w:left="0" w:right="0" w:firstLine="480"/>
              <w:rPr>
                <w:rFonts w:ascii="Calibri" w:hAnsi="Calibri" w:eastAsia="宋体" w:cs="Times New Roman"/>
                <w:color w:val="auto"/>
                <w:sz w:val="24"/>
              </w:rPr>
            </w:pPr>
            <w:r>
              <w:rPr>
                <w:rFonts w:hint="eastAsia" w:ascii="Calibri" w:hAnsi="Calibri" w:eastAsia="宋体" w:cs="Times New Roman"/>
                <w:color w:val="auto"/>
                <w:sz w:val="24"/>
              </w:rPr>
              <w:t>项目运营期的设备噪声影响主要是室内噪声，如翻抛机、喷淋除臭装置等设备运转对周围环境及项目本身的影响，其噪声源强约为65～80</w:t>
            </w:r>
            <w:r>
              <w:rPr>
                <w:rFonts w:ascii="Calibri" w:hAnsi="Calibri" w:eastAsia="宋体" w:cs="Times New Roman"/>
                <w:color w:val="auto"/>
                <w:sz w:val="24"/>
              </w:rPr>
              <w:t>dB</w:t>
            </w:r>
            <w:r>
              <w:rPr>
                <w:rFonts w:hint="eastAsia" w:ascii="Calibri" w:hAnsi="Calibri" w:eastAsia="宋体" w:cs="Times New Roman"/>
                <w:color w:val="auto"/>
                <w:sz w:val="24"/>
              </w:rPr>
              <w:t>（A）。项目主要噪声源的源强及治理措施如表4-9。</w:t>
            </w:r>
          </w:p>
          <w:p w14:paraId="051A727A">
            <w:pPr>
              <w:keepNext w:val="0"/>
              <w:keepLines w:val="0"/>
              <w:suppressLineNumbers w:val="0"/>
              <w:spacing w:before="0" w:beforeAutospacing="0" w:after="0" w:afterAutospacing="0"/>
              <w:ind w:left="0" w:right="0"/>
              <w:jc w:val="center"/>
              <w:rPr>
                <w:rFonts w:ascii="Calibri" w:hAnsi="Calibri" w:eastAsia="宋体" w:cs="Times New Roman"/>
                <w:b/>
                <w:bCs/>
                <w:color w:val="auto"/>
                <w:sz w:val="24"/>
              </w:rPr>
            </w:pPr>
            <w:r>
              <w:rPr>
                <w:rFonts w:ascii="Calibri" w:hAnsi="Calibri" w:eastAsia="宋体" w:cs="Times New Roman"/>
                <w:b/>
                <w:bCs/>
                <w:color w:val="auto"/>
                <w:sz w:val="24"/>
              </w:rPr>
              <w:t>表</w:t>
            </w:r>
            <w:r>
              <w:rPr>
                <w:rFonts w:hint="eastAsia" w:ascii="Calibri" w:hAnsi="Calibri" w:eastAsia="宋体" w:cs="Times New Roman"/>
                <w:b/>
                <w:bCs/>
                <w:color w:val="auto"/>
                <w:sz w:val="24"/>
              </w:rPr>
              <w:t xml:space="preserve">4-9 </w:t>
            </w:r>
            <w:r>
              <w:rPr>
                <w:rFonts w:ascii="Calibri" w:hAnsi="Calibri" w:eastAsia="宋体" w:cs="Times New Roman"/>
                <w:b/>
                <w:bCs/>
                <w:color w:val="auto"/>
                <w:sz w:val="24"/>
              </w:rPr>
              <w:t>项目</w:t>
            </w:r>
            <w:r>
              <w:rPr>
                <w:rFonts w:hint="eastAsia" w:ascii="Calibri" w:hAnsi="Calibri" w:eastAsia="宋体" w:cs="Times New Roman"/>
                <w:b/>
                <w:bCs/>
                <w:color w:val="auto"/>
                <w:sz w:val="24"/>
              </w:rPr>
              <w:t>设备</w:t>
            </w:r>
            <w:r>
              <w:rPr>
                <w:rFonts w:ascii="Calibri" w:hAnsi="Calibri" w:eastAsia="宋体" w:cs="Times New Roman"/>
                <w:b/>
                <w:bCs/>
                <w:color w:val="auto"/>
                <w:sz w:val="24"/>
              </w:rPr>
              <w:t>噪声源</w:t>
            </w:r>
            <w:r>
              <w:rPr>
                <w:rFonts w:hint="eastAsia" w:ascii="Calibri" w:hAnsi="Calibri" w:eastAsia="宋体" w:cs="Times New Roman"/>
                <w:b/>
                <w:bCs/>
                <w:color w:val="auto"/>
                <w:sz w:val="24"/>
              </w:rPr>
              <w:t>强调查清单（室内声源）</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565"/>
              <w:gridCol w:w="637"/>
              <w:gridCol w:w="924"/>
              <w:gridCol w:w="823"/>
              <w:gridCol w:w="510"/>
              <w:gridCol w:w="489"/>
              <w:gridCol w:w="583"/>
              <w:gridCol w:w="460"/>
              <w:gridCol w:w="664"/>
              <w:gridCol w:w="707"/>
              <w:gridCol w:w="885"/>
              <w:gridCol w:w="995"/>
              <w:gridCol w:w="1613"/>
              <w:gridCol w:w="990"/>
            </w:tblGrid>
            <w:tr w14:paraId="2B99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restart"/>
                  <w:noWrap w:val="0"/>
                  <w:tcMar>
                    <w:top w:w="0" w:type="dxa"/>
                    <w:left w:w="0" w:type="dxa"/>
                    <w:bottom w:w="0" w:type="dxa"/>
                    <w:right w:w="0" w:type="dxa"/>
                  </w:tcMar>
                  <w:vAlign w:val="center"/>
                </w:tcPr>
                <w:p w14:paraId="2FB05342">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噪声源</w:t>
                  </w:r>
                </w:p>
                <w:p w14:paraId="4A359DD3">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位置</w:t>
                  </w:r>
                </w:p>
              </w:tc>
              <w:tc>
                <w:tcPr>
                  <w:tcW w:w="615" w:type="pct"/>
                  <w:vMerge w:val="restart"/>
                  <w:noWrap w:val="0"/>
                  <w:tcMar>
                    <w:top w:w="0" w:type="dxa"/>
                    <w:left w:w="0" w:type="dxa"/>
                    <w:bottom w:w="0" w:type="dxa"/>
                    <w:right w:w="0" w:type="dxa"/>
                  </w:tcMar>
                  <w:vAlign w:val="center"/>
                </w:tcPr>
                <w:p w14:paraId="6A18E022">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噪声源名称</w:t>
                  </w:r>
                </w:p>
              </w:tc>
              <w:tc>
                <w:tcPr>
                  <w:tcW w:w="250" w:type="pct"/>
                  <w:vMerge w:val="restart"/>
                  <w:noWrap w:val="0"/>
                  <w:tcMar>
                    <w:top w:w="0" w:type="dxa"/>
                    <w:left w:w="0" w:type="dxa"/>
                    <w:bottom w:w="0" w:type="dxa"/>
                    <w:right w:w="0" w:type="dxa"/>
                  </w:tcMar>
                  <w:vAlign w:val="center"/>
                </w:tcPr>
                <w:p w14:paraId="32FC981A">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数量</w:t>
                  </w:r>
                </w:p>
              </w:tc>
              <w:tc>
                <w:tcPr>
                  <w:tcW w:w="363" w:type="pct"/>
                  <w:vMerge w:val="restart"/>
                  <w:noWrap w:val="0"/>
                  <w:tcMar>
                    <w:top w:w="0" w:type="dxa"/>
                    <w:left w:w="0" w:type="dxa"/>
                    <w:bottom w:w="0" w:type="dxa"/>
                    <w:right w:w="0" w:type="dxa"/>
                  </w:tcMar>
                  <w:vAlign w:val="center"/>
                </w:tcPr>
                <w:p w14:paraId="228A0F24">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单台源强/</w:t>
                  </w:r>
                </w:p>
                <w:p w14:paraId="3F5FE0AB">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dB（A）</w:t>
                  </w:r>
                </w:p>
              </w:tc>
              <w:tc>
                <w:tcPr>
                  <w:tcW w:w="323" w:type="pct"/>
                  <w:vMerge w:val="restart"/>
                  <w:noWrap w:val="0"/>
                  <w:tcMar>
                    <w:top w:w="0" w:type="dxa"/>
                    <w:left w:w="0" w:type="dxa"/>
                    <w:bottom w:w="0" w:type="dxa"/>
                    <w:right w:w="0" w:type="dxa"/>
                  </w:tcMar>
                  <w:vAlign w:val="center"/>
                </w:tcPr>
                <w:p w14:paraId="7837B862">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降噪措施</w:t>
                  </w:r>
                </w:p>
              </w:tc>
              <w:tc>
                <w:tcPr>
                  <w:tcW w:w="621" w:type="pct"/>
                  <w:gridSpan w:val="3"/>
                  <w:noWrap w:val="0"/>
                  <w:tcMar>
                    <w:top w:w="0" w:type="dxa"/>
                    <w:left w:w="0" w:type="dxa"/>
                    <w:bottom w:w="0" w:type="dxa"/>
                    <w:right w:w="0" w:type="dxa"/>
                  </w:tcMar>
                  <w:vAlign w:val="center"/>
                </w:tcPr>
                <w:p w14:paraId="4C353405">
                  <w:pPr>
                    <w:pStyle w:val="2"/>
                    <w:keepNext w:val="0"/>
                    <w:keepLines w:val="0"/>
                    <w:suppressLineNumbers w:val="0"/>
                    <w:spacing w:before="0" w:beforeAutospacing="0" w:after="0" w:afterAutospacing="0" w:line="240" w:lineRule="auto"/>
                    <w:ind w:left="0" w:right="0" w:firstLine="0"/>
                    <w:jc w:val="center"/>
                    <w:outlineLvl w:val="0"/>
                    <w:rPr>
                      <w:rFonts w:ascii="Calibri" w:hAnsi="Calibri" w:eastAsia="宋体" w:cs="Times New Roman"/>
                      <w:color w:val="auto"/>
                      <w:sz w:val="21"/>
                      <w:szCs w:val="21"/>
                    </w:rPr>
                  </w:pPr>
                  <w:r>
                    <w:rPr>
                      <w:rFonts w:ascii="Calibri" w:hAnsi="Calibri" w:eastAsia="宋体" w:cs="Times New Roman"/>
                      <w:color w:val="auto"/>
                      <w:sz w:val="21"/>
                      <w:szCs w:val="21"/>
                    </w:rPr>
                    <w:t>空间相</w:t>
                  </w:r>
                </w:p>
                <w:p w14:paraId="16E9F23B">
                  <w:pPr>
                    <w:pStyle w:val="2"/>
                    <w:keepNext w:val="0"/>
                    <w:keepLines w:val="0"/>
                    <w:suppressLineNumbers w:val="0"/>
                    <w:spacing w:before="0" w:beforeAutospacing="0" w:after="0" w:afterAutospacing="0" w:line="240" w:lineRule="auto"/>
                    <w:ind w:left="0" w:right="0" w:firstLine="0"/>
                    <w:jc w:val="center"/>
                    <w:outlineLvl w:val="0"/>
                    <w:rPr>
                      <w:rFonts w:ascii="Calibri" w:hAnsi="Calibri" w:eastAsia="宋体" w:cs="Times New Roman"/>
                      <w:color w:val="auto"/>
                      <w:sz w:val="21"/>
                      <w:szCs w:val="21"/>
                    </w:rPr>
                  </w:pPr>
                  <w:r>
                    <w:rPr>
                      <w:rFonts w:ascii="Calibri" w:hAnsi="Calibri" w:eastAsia="宋体" w:cs="Times New Roman"/>
                      <w:color w:val="auto"/>
                      <w:sz w:val="21"/>
                      <w:szCs w:val="21"/>
                    </w:rPr>
                    <w:t>对位置</w:t>
                  </w:r>
                </w:p>
              </w:tc>
              <w:tc>
                <w:tcPr>
                  <w:tcW w:w="442" w:type="pct"/>
                  <w:gridSpan w:val="2"/>
                  <w:vMerge w:val="restart"/>
                  <w:noWrap w:val="0"/>
                  <w:tcMar>
                    <w:top w:w="0" w:type="dxa"/>
                    <w:left w:w="0" w:type="dxa"/>
                    <w:bottom w:w="0" w:type="dxa"/>
                    <w:right w:w="0" w:type="dxa"/>
                  </w:tcMar>
                  <w:vAlign w:val="center"/>
                </w:tcPr>
                <w:p w14:paraId="6B012C75">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距室内边界距离/m</w:t>
                  </w:r>
                </w:p>
              </w:tc>
              <w:tc>
                <w:tcPr>
                  <w:tcW w:w="278" w:type="pct"/>
                  <w:vMerge w:val="restart"/>
                  <w:noWrap w:val="0"/>
                  <w:tcMar>
                    <w:top w:w="0" w:type="dxa"/>
                    <w:left w:w="0" w:type="dxa"/>
                    <w:bottom w:w="0" w:type="dxa"/>
                    <w:right w:w="0" w:type="dxa"/>
                  </w:tcMar>
                  <w:vAlign w:val="center"/>
                </w:tcPr>
                <w:p w14:paraId="004B1051">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室内边界声级</w:t>
                  </w:r>
                </w:p>
              </w:tc>
              <w:tc>
                <w:tcPr>
                  <w:tcW w:w="348" w:type="pct"/>
                  <w:vMerge w:val="restart"/>
                  <w:noWrap w:val="0"/>
                  <w:tcMar>
                    <w:top w:w="0" w:type="dxa"/>
                    <w:left w:w="0" w:type="dxa"/>
                    <w:bottom w:w="0" w:type="dxa"/>
                    <w:right w:w="0" w:type="dxa"/>
                  </w:tcMar>
                  <w:vAlign w:val="center"/>
                </w:tcPr>
                <w:p w14:paraId="23E9A907">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运行时段</w:t>
                  </w:r>
                </w:p>
              </w:tc>
              <w:tc>
                <w:tcPr>
                  <w:tcW w:w="391" w:type="pct"/>
                  <w:vMerge w:val="restart"/>
                  <w:noWrap w:val="0"/>
                  <w:tcMar>
                    <w:top w:w="0" w:type="dxa"/>
                    <w:left w:w="0" w:type="dxa"/>
                    <w:bottom w:w="0" w:type="dxa"/>
                    <w:right w:w="0" w:type="dxa"/>
                  </w:tcMar>
                  <w:vAlign w:val="center"/>
                </w:tcPr>
                <w:p w14:paraId="39B75A2B">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建筑插入损失/dB（A）</w:t>
                  </w:r>
                </w:p>
              </w:tc>
              <w:tc>
                <w:tcPr>
                  <w:tcW w:w="634" w:type="pct"/>
                  <w:noWrap w:val="0"/>
                  <w:tcMar>
                    <w:top w:w="0" w:type="dxa"/>
                    <w:left w:w="0" w:type="dxa"/>
                    <w:bottom w:w="0" w:type="dxa"/>
                    <w:right w:w="0" w:type="dxa"/>
                  </w:tcMar>
                  <w:vAlign w:val="center"/>
                </w:tcPr>
                <w:p w14:paraId="6CA2FE48">
                  <w:pPr>
                    <w:pStyle w:val="2"/>
                    <w:keepNext w:val="0"/>
                    <w:keepLines w:val="0"/>
                    <w:suppressLineNumbers w:val="0"/>
                    <w:spacing w:before="0" w:beforeAutospacing="0" w:after="0" w:afterAutospacing="0" w:line="240" w:lineRule="auto"/>
                    <w:ind w:left="0" w:right="0" w:firstLine="0"/>
                    <w:jc w:val="center"/>
                    <w:outlineLvl w:val="0"/>
                    <w:rPr>
                      <w:rFonts w:ascii="Calibri" w:hAnsi="Calibri" w:eastAsia="宋体" w:cs="Times New Roman"/>
                      <w:color w:val="auto"/>
                      <w:sz w:val="21"/>
                      <w:szCs w:val="21"/>
                    </w:rPr>
                  </w:pPr>
                  <w:r>
                    <w:rPr>
                      <w:rFonts w:ascii="Calibri" w:hAnsi="Calibri" w:eastAsia="宋体" w:cs="Times New Roman"/>
                      <w:color w:val="auto"/>
                      <w:sz w:val="21"/>
                      <w:szCs w:val="21"/>
                    </w:rPr>
                    <w:t>建筑外噪声</w:t>
                  </w:r>
                </w:p>
              </w:tc>
              <w:tc>
                <w:tcPr>
                  <w:tcW w:w="389" w:type="pct"/>
                  <w:vMerge w:val="restart"/>
                  <w:noWrap w:val="0"/>
                  <w:tcMar>
                    <w:top w:w="0" w:type="dxa"/>
                    <w:left w:w="0" w:type="dxa"/>
                    <w:bottom w:w="0" w:type="dxa"/>
                    <w:right w:w="0" w:type="dxa"/>
                  </w:tcMar>
                  <w:vAlign w:val="center"/>
                </w:tcPr>
                <w:p w14:paraId="7224E025">
                  <w:pPr>
                    <w:pStyle w:val="2"/>
                    <w:keepNext w:val="0"/>
                    <w:keepLines w:val="0"/>
                    <w:suppressLineNumbers w:val="0"/>
                    <w:spacing w:beforeAutospacing="0" w:afterAutospacing="0" w:line="240" w:lineRule="auto"/>
                    <w:ind w:left="0" w:right="0" w:firstLine="0"/>
                    <w:outlineLvl w:val="0"/>
                    <w:rPr>
                      <w:rFonts w:hint="eastAsia" w:ascii="Times New Roman" w:hAnsi="Times New Roman" w:cs="Times New Roman"/>
                      <w:color w:val="auto"/>
                      <w:szCs w:val="21"/>
                    </w:rPr>
                  </w:pPr>
                  <w:r>
                    <w:rPr>
                      <w:rFonts w:ascii="Calibri" w:hAnsi="Calibri" w:eastAsia="宋体" w:cs="Times New Roman"/>
                      <w:color w:val="auto"/>
                      <w:sz w:val="21"/>
                      <w:szCs w:val="21"/>
                    </w:rPr>
                    <w:t>建筑物外距离（m）</w:t>
                  </w:r>
                </w:p>
              </w:tc>
            </w:tr>
            <w:tr w14:paraId="4169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6C5A1573">
                  <w:pPr>
                    <w:pStyle w:val="2"/>
                    <w:keepNext w:val="0"/>
                    <w:keepLines w:val="0"/>
                    <w:suppressLineNumbers w:val="0"/>
                    <w:spacing w:beforeAutospacing="0" w:afterAutospacing="0" w:line="240" w:lineRule="auto"/>
                    <w:ind w:right="0"/>
                    <w:jc w:val="center"/>
                    <w:outlineLvl w:val="0"/>
                    <w:rPr>
                      <w:rFonts w:ascii="Calibri" w:hAnsi="Calibri" w:cs="Times New Roman"/>
                      <w:color w:val="auto"/>
                      <w:sz w:val="21"/>
                      <w:szCs w:val="21"/>
                    </w:rPr>
                  </w:pPr>
                </w:p>
              </w:tc>
              <w:tc>
                <w:tcPr>
                  <w:tcW w:w="615" w:type="pct"/>
                  <w:vMerge w:val="continue"/>
                  <w:noWrap w:val="0"/>
                  <w:tcMar>
                    <w:top w:w="0" w:type="dxa"/>
                    <w:left w:w="0" w:type="dxa"/>
                    <w:bottom w:w="0" w:type="dxa"/>
                    <w:right w:w="0" w:type="dxa"/>
                  </w:tcMar>
                  <w:vAlign w:val="center"/>
                </w:tcPr>
                <w:p w14:paraId="1F20B135">
                  <w:pPr>
                    <w:pStyle w:val="2"/>
                    <w:keepNext w:val="0"/>
                    <w:keepLines w:val="0"/>
                    <w:suppressLineNumbers w:val="0"/>
                    <w:spacing w:beforeAutospacing="0" w:afterAutospacing="0" w:line="240" w:lineRule="auto"/>
                    <w:ind w:right="0"/>
                    <w:jc w:val="center"/>
                    <w:outlineLvl w:val="0"/>
                    <w:rPr>
                      <w:rFonts w:ascii="Calibri" w:hAnsi="Calibri" w:cs="Times New Roman"/>
                      <w:color w:val="auto"/>
                      <w:sz w:val="21"/>
                      <w:szCs w:val="21"/>
                    </w:rPr>
                  </w:pPr>
                </w:p>
              </w:tc>
              <w:tc>
                <w:tcPr>
                  <w:tcW w:w="250" w:type="pct"/>
                  <w:vMerge w:val="continue"/>
                  <w:noWrap w:val="0"/>
                  <w:tcMar>
                    <w:top w:w="0" w:type="dxa"/>
                    <w:left w:w="0" w:type="dxa"/>
                    <w:bottom w:w="0" w:type="dxa"/>
                    <w:right w:w="0" w:type="dxa"/>
                  </w:tcMar>
                  <w:vAlign w:val="center"/>
                </w:tcPr>
                <w:p w14:paraId="4386723C">
                  <w:pPr>
                    <w:pStyle w:val="2"/>
                    <w:keepNext w:val="0"/>
                    <w:keepLines w:val="0"/>
                    <w:suppressLineNumbers w:val="0"/>
                    <w:spacing w:beforeAutospacing="0" w:afterAutospacing="0" w:line="240" w:lineRule="auto"/>
                    <w:ind w:right="0"/>
                    <w:jc w:val="center"/>
                    <w:outlineLvl w:val="0"/>
                    <w:rPr>
                      <w:rFonts w:ascii="Calibri" w:hAnsi="Calibri" w:cs="Times New Roman"/>
                      <w:color w:val="auto"/>
                      <w:sz w:val="21"/>
                      <w:szCs w:val="21"/>
                    </w:rPr>
                  </w:pPr>
                </w:p>
              </w:tc>
              <w:tc>
                <w:tcPr>
                  <w:tcW w:w="363" w:type="pct"/>
                  <w:vMerge w:val="continue"/>
                  <w:noWrap w:val="0"/>
                  <w:tcMar>
                    <w:top w:w="0" w:type="dxa"/>
                    <w:left w:w="0" w:type="dxa"/>
                    <w:bottom w:w="0" w:type="dxa"/>
                    <w:right w:w="0" w:type="dxa"/>
                  </w:tcMar>
                  <w:vAlign w:val="center"/>
                </w:tcPr>
                <w:p w14:paraId="26D00984">
                  <w:pPr>
                    <w:pStyle w:val="2"/>
                    <w:keepNext w:val="0"/>
                    <w:keepLines w:val="0"/>
                    <w:suppressLineNumbers w:val="0"/>
                    <w:spacing w:beforeAutospacing="0" w:afterAutospacing="0" w:line="240" w:lineRule="auto"/>
                    <w:ind w:right="0"/>
                    <w:jc w:val="center"/>
                    <w:outlineLvl w:val="0"/>
                    <w:rPr>
                      <w:rFonts w:ascii="Calibri" w:hAnsi="Calibri" w:cs="Times New Roman"/>
                      <w:color w:val="auto"/>
                      <w:sz w:val="21"/>
                      <w:szCs w:val="21"/>
                    </w:rPr>
                  </w:pPr>
                </w:p>
              </w:tc>
              <w:tc>
                <w:tcPr>
                  <w:tcW w:w="323" w:type="pct"/>
                  <w:vMerge w:val="continue"/>
                  <w:noWrap w:val="0"/>
                  <w:tcMar>
                    <w:top w:w="0" w:type="dxa"/>
                    <w:left w:w="0" w:type="dxa"/>
                    <w:bottom w:w="0" w:type="dxa"/>
                    <w:right w:w="0" w:type="dxa"/>
                  </w:tcMar>
                  <w:vAlign w:val="center"/>
                </w:tcPr>
                <w:p w14:paraId="7961BC69">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p>
              </w:tc>
              <w:tc>
                <w:tcPr>
                  <w:tcW w:w="200" w:type="pct"/>
                  <w:noWrap w:val="0"/>
                  <w:tcMar>
                    <w:top w:w="0" w:type="dxa"/>
                    <w:left w:w="0" w:type="dxa"/>
                    <w:bottom w:w="0" w:type="dxa"/>
                    <w:right w:w="0" w:type="dxa"/>
                  </w:tcMar>
                  <w:vAlign w:val="center"/>
                </w:tcPr>
                <w:p w14:paraId="0B4C93DE">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x</w:t>
                  </w:r>
                </w:p>
              </w:tc>
              <w:tc>
                <w:tcPr>
                  <w:tcW w:w="192" w:type="pct"/>
                  <w:noWrap w:val="0"/>
                  <w:tcMar>
                    <w:top w:w="0" w:type="dxa"/>
                    <w:left w:w="0" w:type="dxa"/>
                    <w:bottom w:w="0" w:type="dxa"/>
                    <w:right w:w="0" w:type="dxa"/>
                  </w:tcMar>
                  <w:vAlign w:val="center"/>
                </w:tcPr>
                <w:p w14:paraId="61007F6E">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y</w:t>
                  </w:r>
                </w:p>
              </w:tc>
              <w:tc>
                <w:tcPr>
                  <w:tcW w:w="229" w:type="pct"/>
                  <w:noWrap w:val="0"/>
                  <w:tcMar>
                    <w:top w:w="0" w:type="dxa"/>
                    <w:left w:w="0" w:type="dxa"/>
                    <w:bottom w:w="0" w:type="dxa"/>
                    <w:right w:w="0" w:type="dxa"/>
                  </w:tcMar>
                  <w:vAlign w:val="center"/>
                </w:tcPr>
                <w:p w14:paraId="230E0D56">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z</w:t>
                  </w:r>
                </w:p>
              </w:tc>
              <w:tc>
                <w:tcPr>
                  <w:tcW w:w="442" w:type="pct"/>
                  <w:gridSpan w:val="2"/>
                  <w:vMerge w:val="continue"/>
                  <w:noWrap w:val="0"/>
                  <w:tcMar>
                    <w:top w:w="0" w:type="dxa"/>
                    <w:left w:w="0" w:type="dxa"/>
                    <w:bottom w:w="0" w:type="dxa"/>
                    <w:right w:w="0" w:type="dxa"/>
                  </w:tcMar>
                  <w:vAlign w:val="center"/>
                </w:tcPr>
                <w:p w14:paraId="44C40ABD">
                  <w:pPr>
                    <w:pStyle w:val="2"/>
                    <w:keepNext w:val="0"/>
                    <w:keepLines w:val="0"/>
                    <w:suppressLineNumbers w:val="0"/>
                    <w:spacing w:beforeAutospacing="0" w:afterAutospacing="0" w:line="240" w:lineRule="auto"/>
                    <w:ind w:right="0"/>
                    <w:jc w:val="center"/>
                    <w:outlineLvl w:val="0"/>
                    <w:rPr>
                      <w:rFonts w:ascii="Calibri" w:hAnsi="Calibri" w:eastAsia="宋体" w:cs="Times New Roman"/>
                      <w:color w:val="auto"/>
                      <w:sz w:val="21"/>
                      <w:szCs w:val="21"/>
                    </w:rPr>
                  </w:pPr>
                </w:p>
              </w:tc>
              <w:tc>
                <w:tcPr>
                  <w:tcW w:w="278" w:type="pct"/>
                  <w:vMerge w:val="continue"/>
                  <w:noWrap w:val="0"/>
                  <w:tcMar>
                    <w:top w:w="0" w:type="dxa"/>
                    <w:left w:w="0" w:type="dxa"/>
                    <w:bottom w:w="0" w:type="dxa"/>
                    <w:right w:w="0" w:type="dxa"/>
                  </w:tcMar>
                  <w:vAlign w:val="center"/>
                </w:tcPr>
                <w:p w14:paraId="263862C9">
                  <w:pPr>
                    <w:pStyle w:val="2"/>
                    <w:keepNext w:val="0"/>
                    <w:keepLines w:val="0"/>
                    <w:suppressLineNumbers w:val="0"/>
                    <w:spacing w:beforeAutospacing="0" w:afterAutospacing="0" w:line="240" w:lineRule="auto"/>
                    <w:ind w:right="0"/>
                    <w:jc w:val="center"/>
                    <w:outlineLvl w:val="0"/>
                    <w:rPr>
                      <w:rFonts w:ascii="Calibri" w:hAnsi="Calibri" w:cs="Times New Roman"/>
                      <w:color w:val="auto"/>
                      <w:sz w:val="21"/>
                      <w:szCs w:val="21"/>
                    </w:rPr>
                  </w:pPr>
                </w:p>
              </w:tc>
              <w:tc>
                <w:tcPr>
                  <w:tcW w:w="348" w:type="pct"/>
                  <w:vMerge w:val="continue"/>
                  <w:noWrap w:val="0"/>
                  <w:tcMar>
                    <w:top w:w="0" w:type="dxa"/>
                    <w:left w:w="0" w:type="dxa"/>
                    <w:bottom w:w="0" w:type="dxa"/>
                    <w:right w:w="0" w:type="dxa"/>
                  </w:tcMar>
                  <w:vAlign w:val="center"/>
                </w:tcPr>
                <w:p w14:paraId="37DBC734">
                  <w:pPr>
                    <w:pStyle w:val="2"/>
                    <w:keepNext w:val="0"/>
                    <w:keepLines w:val="0"/>
                    <w:suppressLineNumbers w:val="0"/>
                    <w:spacing w:beforeAutospacing="0" w:afterAutospacing="0" w:line="240" w:lineRule="auto"/>
                    <w:ind w:right="0"/>
                    <w:jc w:val="center"/>
                    <w:outlineLvl w:val="0"/>
                    <w:rPr>
                      <w:rFonts w:ascii="Calibri" w:hAnsi="Calibri" w:cs="Times New Roman"/>
                      <w:color w:val="auto"/>
                      <w:sz w:val="21"/>
                      <w:szCs w:val="21"/>
                    </w:rPr>
                  </w:pPr>
                </w:p>
              </w:tc>
              <w:tc>
                <w:tcPr>
                  <w:tcW w:w="391" w:type="pct"/>
                  <w:vMerge w:val="continue"/>
                  <w:noWrap w:val="0"/>
                  <w:tcMar>
                    <w:top w:w="0" w:type="dxa"/>
                    <w:left w:w="0" w:type="dxa"/>
                    <w:bottom w:w="0" w:type="dxa"/>
                    <w:right w:w="0" w:type="dxa"/>
                  </w:tcMar>
                  <w:vAlign w:val="center"/>
                </w:tcPr>
                <w:p w14:paraId="05B073CF">
                  <w:pPr>
                    <w:pStyle w:val="2"/>
                    <w:keepNext w:val="0"/>
                    <w:keepLines w:val="0"/>
                    <w:suppressLineNumbers w:val="0"/>
                    <w:spacing w:beforeAutospacing="0" w:afterAutospacing="0" w:line="240" w:lineRule="auto"/>
                    <w:ind w:right="0"/>
                    <w:jc w:val="center"/>
                    <w:outlineLvl w:val="0"/>
                    <w:rPr>
                      <w:rFonts w:ascii="Calibri" w:hAnsi="Calibri" w:cs="Times New Roman"/>
                      <w:color w:val="auto"/>
                      <w:sz w:val="21"/>
                      <w:szCs w:val="21"/>
                    </w:rPr>
                  </w:pPr>
                </w:p>
              </w:tc>
              <w:tc>
                <w:tcPr>
                  <w:tcW w:w="634" w:type="pct"/>
                  <w:noWrap w:val="0"/>
                  <w:tcMar>
                    <w:top w:w="0" w:type="dxa"/>
                    <w:left w:w="0" w:type="dxa"/>
                    <w:bottom w:w="0" w:type="dxa"/>
                    <w:right w:w="0" w:type="dxa"/>
                  </w:tcMar>
                  <w:vAlign w:val="center"/>
                </w:tcPr>
                <w:p w14:paraId="6A1B10C4">
                  <w:pPr>
                    <w:pStyle w:val="110"/>
                    <w:keepNext w:val="0"/>
                    <w:keepLines w:val="0"/>
                    <w:suppressLineNumbers w:val="0"/>
                    <w:spacing w:before="0" w:beforeAutospacing="0" w:after="0" w:afterAutospacing="0"/>
                    <w:ind w:left="0" w:right="0"/>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声压级/dB（A）</w:t>
                  </w:r>
                </w:p>
              </w:tc>
              <w:tc>
                <w:tcPr>
                  <w:tcW w:w="389" w:type="pct"/>
                  <w:vMerge w:val="continue"/>
                  <w:noWrap w:val="0"/>
                  <w:tcMar>
                    <w:top w:w="0" w:type="dxa"/>
                    <w:left w:w="0" w:type="dxa"/>
                    <w:bottom w:w="0" w:type="dxa"/>
                    <w:right w:w="0" w:type="dxa"/>
                  </w:tcMar>
                  <w:vAlign w:val="center"/>
                </w:tcPr>
                <w:p w14:paraId="5F67FB59">
                  <w:pPr>
                    <w:pStyle w:val="110"/>
                    <w:keepNext w:val="0"/>
                    <w:keepLines w:val="0"/>
                    <w:suppressLineNumbers w:val="0"/>
                    <w:spacing w:before="0" w:beforeAutospacing="0" w:after="0" w:afterAutospacing="0"/>
                    <w:ind w:left="0" w:right="0"/>
                    <w:rPr>
                      <w:rFonts w:hint="eastAsia" w:ascii="Times New Roman" w:hAnsi="Times New Roman" w:eastAsia="宋体" w:cs="Times New Roman"/>
                      <w:b/>
                      <w:bCs/>
                      <w:color w:val="auto"/>
                      <w:szCs w:val="21"/>
                    </w:rPr>
                  </w:pPr>
                </w:p>
              </w:tc>
            </w:tr>
            <w:tr w14:paraId="5B6B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restart"/>
                  <w:noWrap w:val="0"/>
                  <w:tcMar>
                    <w:top w:w="0" w:type="dxa"/>
                    <w:left w:w="0" w:type="dxa"/>
                    <w:bottom w:w="0" w:type="dxa"/>
                    <w:right w:w="0" w:type="dxa"/>
                  </w:tcMar>
                  <w:vAlign w:val="center"/>
                </w:tcPr>
                <w:p w14:paraId="595F060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发酵间</w:t>
                  </w:r>
                </w:p>
              </w:tc>
              <w:tc>
                <w:tcPr>
                  <w:tcW w:w="615" w:type="pct"/>
                  <w:vMerge w:val="restart"/>
                  <w:noWrap w:val="0"/>
                  <w:tcMar>
                    <w:top w:w="0" w:type="dxa"/>
                    <w:left w:w="0" w:type="dxa"/>
                    <w:bottom w:w="0" w:type="dxa"/>
                    <w:right w:w="0" w:type="dxa"/>
                  </w:tcMar>
                  <w:vAlign w:val="center"/>
                </w:tcPr>
                <w:p w14:paraId="31812F66">
                  <w:pPr>
                    <w:keepNext w:val="0"/>
                    <w:keepLines w:val="0"/>
                    <w:suppressLineNumbers w:val="0"/>
                    <w:spacing w:before="0" w:beforeAutospacing="0" w:after="0" w:afterAutospacing="0"/>
                    <w:ind w:left="0" w:right="0"/>
                    <w:contextualSpacing/>
                    <w:jc w:val="center"/>
                    <w:rPr>
                      <w:rFonts w:ascii="Calibri" w:hAnsi="Calibri" w:eastAsia="宋体" w:cs="Times New Roman"/>
                      <w:color w:val="auto"/>
                      <w:szCs w:val="21"/>
                    </w:rPr>
                  </w:pPr>
                  <w:r>
                    <w:rPr>
                      <w:rFonts w:hint="eastAsia" w:ascii="Times New Roman" w:hAnsi="Times New Roman" w:eastAsia="宋体" w:cs="Times New Roman"/>
                      <w:color w:val="auto"/>
                      <w:szCs w:val="21"/>
                    </w:rPr>
                    <w:t>翻抛机</w:t>
                  </w:r>
                </w:p>
              </w:tc>
              <w:tc>
                <w:tcPr>
                  <w:tcW w:w="250" w:type="pct"/>
                  <w:vMerge w:val="restart"/>
                  <w:noWrap w:val="0"/>
                  <w:tcMar>
                    <w:top w:w="0" w:type="dxa"/>
                    <w:left w:w="0" w:type="dxa"/>
                    <w:bottom w:w="0" w:type="dxa"/>
                    <w:right w:w="0" w:type="dxa"/>
                  </w:tcMar>
                  <w:vAlign w:val="center"/>
                </w:tcPr>
                <w:p w14:paraId="37836679">
                  <w:pPr>
                    <w:pStyle w:val="65"/>
                    <w:keepNext w:val="0"/>
                    <w:keepLines w:val="0"/>
                    <w:suppressLineNumbers w:val="0"/>
                    <w:autoSpaceDE/>
                    <w:autoSpaceDN/>
                    <w:snapToGrid w:val="0"/>
                    <w:spacing w:before="0" w:beforeAutospacing="0" w:after="0" w:afterAutospacing="0"/>
                    <w:ind w:left="0" w:right="0"/>
                    <w:contextualSpacing/>
                    <w:rPr>
                      <w:rFonts w:hAnsi="Calibri" w:eastAsia="宋体"/>
                      <w:color w:val="auto"/>
                      <w:szCs w:val="21"/>
                    </w:rPr>
                  </w:pPr>
                  <w:r>
                    <w:rPr>
                      <w:rFonts w:hint="eastAsia" w:ascii="Times New Roman" w:hAnsi="Times New Roman" w:eastAsia="宋体" w:cs="Times New Roman"/>
                      <w:color w:val="auto"/>
                      <w:sz w:val="21"/>
                      <w:szCs w:val="21"/>
                    </w:rPr>
                    <w:t>1台</w:t>
                  </w:r>
                </w:p>
              </w:tc>
              <w:tc>
                <w:tcPr>
                  <w:tcW w:w="363" w:type="pct"/>
                  <w:vMerge w:val="restart"/>
                  <w:noWrap w:val="0"/>
                  <w:tcMar>
                    <w:top w:w="0" w:type="dxa"/>
                    <w:left w:w="0" w:type="dxa"/>
                    <w:bottom w:w="0" w:type="dxa"/>
                    <w:right w:w="0" w:type="dxa"/>
                  </w:tcMar>
                  <w:vAlign w:val="center"/>
                </w:tcPr>
                <w:p w14:paraId="4937DD5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75</w:t>
                  </w:r>
                </w:p>
              </w:tc>
              <w:tc>
                <w:tcPr>
                  <w:tcW w:w="323" w:type="pct"/>
                  <w:vMerge w:val="restart"/>
                  <w:noWrap w:val="0"/>
                  <w:tcMar>
                    <w:top w:w="0" w:type="dxa"/>
                    <w:left w:w="0" w:type="dxa"/>
                    <w:bottom w:w="0" w:type="dxa"/>
                    <w:right w:w="0" w:type="dxa"/>
                  </w:tcMar>
                  <w:vAlign w:val="center"/>
                </w:tcPr>
                <w:p w14:paraId="5CA8DE6B">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r>
                    <w:rPr>
                      <w:rFonts w:ascii="Times New Roman" w:hAnsi="Times New Roman" w:eastAsia="宋体" w:cs="Times New Roman"/>
                      <w:color w:val="auto"/>
                      <w:szCs w:val="21"/>
                    </w:rPr>
                    <w:t>基础减振、厂房隔声</w:t>
                  </w:r>
                </w:p>
              </w:tc>
              <w:tc>
                <w:tcPr>
                  <w:tcW w:w="200" w:type="pct"/>
                  <w:vMerge w:val="restart"/>
                  <w:noWrap w:val="0"/>
                  <w:tcMar>
                    <w:top w:w="0" w:type="dxa"/>
                    <w:left w:w="0" w:type="dxa"/>
                    <w:bottom w:w="0" w:type="dxa"/>
                    <w:right w:w="0" w:type="dxa"/>
                  </w:tcMar>
                  <w:vAlign w:val="center"/>
                </w:tcPr>
                <w:p w14:paraId="47A1C650">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c>
                <w:tcPr>
                  <w:tcW w:w="192" w:type="pct"/>
                  <w:vMerge w:val="restart"/>
                  <w:noWrap w:val="0"/>
                  <w:tcMar>
                    <w:top w:w="0" w:type="dxa"/>
                    <w:left w:w="0" w:type="dxa"/>
                    <w:bottom w:w="0" w:type="dxa"/>
                    <w:right w:w="0" w:type="dxa"/>
                  </w:tcMar>
                  <w:vAlign w:val="center"/>
                </w:tcPr>
                <w:p w14:paraId="01DCD495">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229" w:type="pct"/>
                  <w:vMerge w:val="restart"/>
                  <w:noWrap w:val="0"/>
                  <w:tcMar>
                    <w:top w:w="0" w:type="dxa"/>
                    <w:left w:w="0" w:type="dxa"/>
                    <w:bottom w:w="0" w:type="dxa"/>
                    <w:right w:w="0" w:type="dxa"/>
                  </w:tcMar>
                  <w:vAlign w:val="center"/>
                </w:tcPr>
                <w:p w14:paraId="35226FC5">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181" w:type="pct"/>
                  <w:noWrap w:val="0"/>
                  <w:tcMar>
                    <w:top w:w="0" w:type="dxa"/>
                    <w:left w:w="0" w:type="dxa"/>
                    <w:bottom w:w="0" w:type="dxa"/>
                    <w:right w:w="0" w:type="dxa"/>
                  </w:tcMar>
                  <w:vAlign w:val="center"/>
                </w:tcPr>
                <w:p w14:paraId="3BB00B2B">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东</w:t>
                  </w:r>
                </w:p>
              </w:tc>
              <w:tc>
                <w:tcPr>
                  <w:tcW w:w="261" w:type="pct"/>
                  <w:noWrap w:val="0"/>
                  <w:tcMar>
                    <w:top w:w="0" w:type="dxa"/>
                    <w:left w:w="0" w:type="dxa"/>
                    <w:bottom w:w="0" w:type="dxa"/>
                    <w:right w:w="0" w:type="dxa"/>
                  </w:tcMar>
                  <w:vAlign w:val="center"/>
                </w:tcPr>
                <w:p w14:paraId="66F59977">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10</w:t>
                  </w:r>
                </w:p>
              </w:tc>
              <w:tc>
                <w:tcPr>
                  <w:tcW w:w="278" w:type="pct"/>
                  <w:noWrap w:val="0"/>
                  <w:tcMar>
                    <w:top w:w="0" w:type="dxa"/>
                    <w:left w:w="0" w:type="dxa"/>
                    <w:bottom w:w="0" w:type="dxa"/>
                    <w:right w:w="0" w:type="dxa"/>
                  </w:tcMar>
                  <w:vAlign w:val="center"/>
                </w:tcPr>
                <w:p w14:paraId="2363D4E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55.0</w:t>
                  </w:r>
                </w:p>
              </w:tc>
              <w:tc>
                <w:tcPr>
                  <w:tcW w:w="348" w:type="pct"/>
                  <w:vMerge w:val="restart"/>
                  <w:noWrap w:val="0"/>
                  <w:tcMar>
                    <w:top w:w="0" w:type="dxa"/>
                    <w:left w:w="0" w:type="dxa"/>
                    <w:bottom w:w="0" w:type="dxa"/>
                    <w:right w:w="0" w:type="dxa"/>
                  </w:tcMar>
                  <w:vAlign w:val="center"/>
                </w:tcPr>
                <w:p w14:paraId="049D9637">
                  <w:pPr>
                    <w:pStyle w:val="2"/>
                    <w:keepNext w:val="0"/>
                    <w:keepLines w:val="0"/>
                    <w:suppressLineNumbers w:val="0"/>
                    <w:spacing w:beforeAutospacing="0" w:afterAutospacing="0" w:line="240" w:lineRule="auto"/>
                    <w:ind w:right="0"/>
                    <w:jc w:val="center"/>
                    <w:outlineLvl w:val="0"/>
                    <w:rPr>
                      <w:rFonts w:hint="eastAsia" w:ascii="Calibri" w:hAnsi="Calibri" w:eastAsia="宋体" w:cs="Times New Roman"/>
                      <w:b w:val="0"/>
                      <w:bCs w:val="0"/>
                      <w:color w:val="auto"/>
                      <w:kern w:val="2"/>
                      <w:sz w:val="21"/>
                      <w:szCs w:val="21"/>
                    </w:rPr>
                  </w:pPr>
                  <w:r>
                    <w:rPr>
                      <w:rFonts w:hint="eastAsia" w:ascii="宋体" w:hAnsi="宋体" w:eastAsia="宋体" w:cs="宋体"/>
                      <w:b w:val="0"/>
                      <w:bCs w:val="0"/>
                      <w:color w:val="auto"/>
                      <w:kern w:val="2"/>
                      <w:sz w:val="21"/>
                      <w:szCs w:val="21"/>
                    </w:rPr>
                    <w:t>昼间</w:t>
                  </w:r>
                </w:p>
              </w:tc>
              <w:tc>
                <w:tcPr>
                  <w:tcW w:w="391" w:type="pct"/>
                  <w:vMerge w:val="restart"/>
                  <w:noWrap w:val="0"/>
                  <w:tcMar>
                    <w:top w:w="0" w:type="dxa"/>
                    <w:left w:w="0" w:type="dxa"/>
                    <w:bottom w:w="0" w:type="dxa"/>
                    <w:right w:w="0" w:type="dxa"/>
                  </w:tcMar>
                  <w:vAlign w:val="center"/>
                </w:tcPr>
                <w:p w14:paraId="1F524A86">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20</w:t>
                  </w:r>
                </w:p>
              </w:tc>
              <w:tc>
                <w:tcPr>
                  <w:tcW w:w="634" w:type="pct"/>
                  <w:noWrap w:val="0"/>
                  <w:tcMar>
                    <w:top w:w="0" w:type="dxa"/>
                    <w:left w:w="0" w:type="dxa"/>
                    <w:bottom w:w="0" w:type="dxa"/>
                    <w:right w:w="0" w:type="dxa"/>
                  </w:tcMar>
                  <w:vAlign w:val="center"/>
                </w:tcPr>
                <w:p w14:paraId="673C8376">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29.0</w:t>
                  </w:r>
                </w:p>
              </w:tc>
              <w:tc>
                <w:tcPr>
                  <w:tcW w:w="389" w:type="pct"/>
                  <w:vMerge w:val="restart"/>
                  <w:noWrap w:val="0"/>
                  <w:tcMar>
                    <w:top w:w="0" w:type="dxa"/>
                    <w:left w:w="0" w:type="dxa"/>
                    <w:bottom w:w="0" w:type="dxa"/>
                    <w:right w:w="0" w:type="dxa"/>
                  </w:tcMar>
                  <w:vAlign w:val="center"/>
                </w:tcPr>
                <w:p w14:paraId="3CFC20FC">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r>
                    <w:rPr>
                      <w:rFonts w:hint="eastAsia" w:ascii="Calibri" w:hAnsi="Calibri" w:eastAsia="宋体" w:cs="Times New Roman"/>
                      <w:color w:val="auto"/>
                      <w:szCs w:val="21"/>
                    </w:rPr>
                    <w:t>1</w:t>
                  </w:r>
                </w:p>
              </w:tc>
            </w:tr>
            <w:tr w14:paraId="7281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5ECEC27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19761F11">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0625BE19">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6C5FF334">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34DFFA71">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00" w:type="pct"/>
                  <w:vMerge w:val="continue"/>
                  <w:noWrap w:val="0"/>
                  <w:tcMar>
                    <w:top w:w="0" w:type="dxa"/>
                    <w:left w:w="0" w:type="dxa"/>
                    <w:bottom w:w="0" w:type="dxa"/>
                    <w:right w:w="0" w:type="dxa"/>
                  </w:tcMar>
                  <w:vAlign w:val="center"/>
                </w:tcPr>
                <w:p w14:paraId="5585504B">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08D90A82">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29" w:type="pct"/>
                  <w:vMerge w:val="continue"/>
                  <w:noWrap w:val="0"/>
                  <w:tcMar>
                    <w:top w:w="0" w:type="dxa"/>
                    <w:left w:w="0" w:type="dxa"/>
                    <w:bottom w:w="0" w:type="dxa"/>
                    <w:right w:w="0" w:type="dxa"/>
                  </w:tcMar>
                  <w:vAlign w:val="center"/>
                </w:tcPr>
                <w:p w14:paraId="0033A591">
                  <w:pPr>
                    <w:pStyle w:val="110"/>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rPr>
                  </w:pPr>
                </w:p>
              </w:tc>
              <w:tc>
                <w:tcPr>
                  <w:tcW w:w="181" w:type="pct"/>
                  <w:noWrap w:val="0"/>
                  <w:tcMar>
                    <w:top w:w="0" w:type="dxa"/>
                    <w:left w:w="0" w:type="dxa"/>
                    <w:bottom w:w="0" w:type="dxa"/>
                    <w:right w:w="0" w:type="dxa"/>
                  </w:tcMar>
                  <w:vAlign w:val="center"/>
                </w:tcPr>
                <w:p w14:paraId="7E4755AB">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南</w:t>
                  </w:r>
                </w:p>
              </w:tc>
              <w:tc>
                <w:tcPr>
                  <w:tcW w:w="261" w:type="pct"/>
                  <w:noWrap w:val="0"/>
                  <w:tcMar>
                    <w:top w:w="0" w:type="dxa"/>
                    <w:left w:w="0" w:type="dxa"/>
                    <w:bottom w:w="0" w:type="dxa"/>
                    <w:right w:w="0" w:type="dxa"/>
                  </w:tcMar>
                  <w:vAlign w:val="center"/>
                </w:tcPr>
                <w:p w14:paraId="1BB6DFC9">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5</w:t>
                  </w:r>
                </w:p>
              </w:tc>
              <w:tc>
                <w:tcPr>
                  <w:tcW w:w="278" w:type="pct"/>
                  <w:noWrap w:val="0"/>
                  <w:tcMar>
                    <w:top w:w="0" w:type="dxa"/>
                    <w:left w:w="0" w:type="dxa"/>
                    <w:bottom w:w="0" w:type="dxa"/>
                    <w:right w:w="0" w:type="dxa"/>
                  </w:tcMar>
                  <w:vAlign w:val="center"/>
                </w:tcPr>
                <w:p w14:paraId="16B7F4B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61.0</w:t>
                  </w:r>
                </w:p>
              </w:tc>
              <w:tc>
                <w:tcPr>
                  <w:tcW w:w="348" w:type="pct"/>
                  <w:vMerge w:val="continue"/>
                  <w:noWrap w:val="0"/>
                  <w:tcMar>
                    <w:top w:w="0" w:type="dxa"/>
                    <w:left w:w="0" w:type="dxa"/>
                    <w:bottom w:w="0" w:type="dxa"/>
                    <w:right w:w="0" w:type="dxa"/>
                  </w:tcMar>
                  <w:vAlign w:val="center"/>
                </w:tcPr>
                <w:p w14:paraId="43F7BE7C">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p>
              </w:tc>
              <w:tc>
                <w:tcPr>
                  <w:tcW w:w="391" w:type="pct"/>
                  <w:vMerge w:val="continue"/>
                  <w:noWrap w:val="0"/>
                  <w:tcMar>
                    <w:top w:w="0" w:type="dxa"/>
                    <w:left w:w="0" w:type="dxa"/>
                    <w:bottom w:w="0" w:type="dxa"/>
                    <w:right w:w="0" w:type="dxa"/>
                  </w:tcMar>
                  <w:vAlign w:val="center"/>
                </w:tcPr>
                <w:p w14:paraId="2E5772F1">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634" w:type="pct"/>
                  <w:noWrap w:val="0"/>
                  <w:tcMar>
                    <w:top w:w="0" w:type="dxa"/>
                    <w:left w:w="0" w:type="dxa"/>
                    <w:bottom w:w="0" w:type="dxa"/>
                    <w:right w:w="0" w:type="dxa"/>
                  </w:tcMar>
                  <w:vAlign w:val="center"/>
                </w:tcPr>
                <w:p w14:paraId="2CF606CC">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35.0</w:t>
                  </w:r>
                </w:p>
              </w:tc>
              <w:tc>
                <w:tcPr>
                  <w:tcW w:w="389" w:type="pct"/>
                  <w:vMerge w:val="continue"/>
                  <w:noWrap w:val="0"/>
                  <w:tcMar>
                    <w:top w:w="0" w:type="dxa"/>
                    <w:left w:w="0" w:type="dxa"/>
                    <w:bottom w:w="0" w:type="dxa"/>
                    <w:right w:w="0" w:type="dxa"/>
                  </w:tcMar>
                  <w:vAlign w:val="center"/>
                </w:tcPr>
                <w:p w14:paraId="13964E56">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r>
            <w:tr w14:paraId="70AE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5140E95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4DD45D5E">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67285032">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3ADA8423">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243859B8">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00" w:type="pct"/>
                  <w:vMerge w:val="continue"/>
                  <w:noWrap w:val="0"/>
                  <w:tcMar>
                    <w:top w:w="0" w:type="dxa"/>
                    <w:left w:w="0" w:type="dxa"/>
                    <w:bottom w:w="0" w:type="dxa"/>
                    <w:right w:w="0" w:type="dxa"/>
                  </w:tcMar>
                  <w:vAlign w:val="center"/>
                </w:tcPr>
                <w:p w14:paraId="183EDAE3">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752B7087">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29" w:type="pct"/>
                  <w:vMerge w:val="continue"/>
                  <w:noWrap w:val="0"/>
                  <w:tcMar>
                    <w:top w:w="0" w:type="dxa"/>
                    <w:left w:w="0" w:type="dxa"/>
                    <w:bottom w:w="0" w:type="dxa"/>
                    <w:right w:w="0" w:type="dxa"/>
                  </w:tcMar>
                  <w:vAlign w:val="center"/>
                </w:tcPr>
                <w:p w14:paraId="28EEAE1B">
                  <w:pPr>
                    <w:pStyle w:val="110"/>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rPr>
                  </w:pPr>
                </w:p>
              </w:tc>
              <w:tc>
                <w:tcPr>
                  <w:tcW w:w="181" w:type="pct"/>
                  <w:noWrap w:val="0"/>
                  <w:tcMar>
                    <w:top w:w="0" w:type="dxa"/>
                    <w:left w:w="0" w:type="dxa"/>
                    <w:bottom w:w="0" w:type="dxa"/>
                    <w:right w:w="0" w:type="dxa"/>
                  </w:tcMar>
                  <w:vAlign w:val="center"/>
                </w:tcPr>
                <w:p w14:paraId="48F7814C">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西</w:t>
                  </w:r>
                </w:p>
              </w:tc>
              <w:tc>
                <w:tcPr>
                  <w:tcW w:w="261" w:type="pct"/>
                  <w:noWrap w:val="0"/>
                  <w:tcMar>
                    <w:top w:w="0" w:type="dxa"/>
                    <w:left w:w="0" w:type="dxa"/>
                    <w:bottom w:w="0" w:type="dxa"/>
                    <w:right w:w="0" w:type="dxa"/>
                  </w:tcMar>
                  <w:vAlign w:val="center"/>
                </w:tcPr>
                <w:p w14:paraId="7B60D4C5">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50</w:t>
                  </w:r>
                </w:p>
              </w:tc>
              <w:tc>
                <w:tcPr>
                  <w:tcW w:w="278" w:type="pct"/>
                  <w:noWrap w:val="0"/>
                  <w:tcMar>
                    <w:top w:w="0" w:type="dxa"/>
                    <w:left w:w="0" w:type="dxa"/>
                    <w:bottom w:w="0" w:type="dxa"/>
                    <w:right w:w="0" w:type="dxa"/>
                  </w:tcMar>
                  <w:vAlign w:val="center"/>
                </w:tcPr>
                <w:p w14:paraId="5160219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41.0</w:t>
                  </w:r>
                </w:p>
              </w:tc>
              <w:tc>
                <w:tcPr>
                  <w:tcW w:w="348" w:type="pct"/>
                  <w:vMerge w:val="continue"/>
                  <w:noWrap w:val="0"/>
                  <w:tcMar>
                    <w:top w:w="0" w:type="dxa"/>
                    <w:left w:w="0" w:type="dxa"/>
                    <w:bottom w:w="0" w:type="dxa"/>
                    <w:right w:w="0" w:type="dxa"/>
                  </w:tcMar>
                  <w:vAlign w:val="center"/>
                </w:tcPr>
                <w:p w14:paraId="0CCCEF13">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p>
              </w:tc>
              <w:tc>
                <w:tcPr>
                  <w:tcW w:w="391" w:type="pct"/>
                  <w:vMerge w:val="continue"/>
                  <w:noWrap w:val="0"/>
                  <w:tcMar>
                    <w:top w:w="0" w:type="dxa"/>
                    <w:left w:w="0" w:type="dxa"/>
                    <w:bottom w:w="0" w:type="dxa"/>
                    <w:right w:w="0" w:type="dxa"/>
                  </w:tcMar>
                  <w:vAlign w:val="center"/>
                </w:tcPr>
                <w:p w14:paraId="495F2E19">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634" w:type="pct"/>
                  <w:noWrap w:val="0"/>
                  <w:tcMar>
                    <w:top w:w="0" w:type="dxa"/>
                    <w:left w:w="0" w:type="dxa"/>
                    <w:bottom w:w="0" w:type="dxa"/>
                    <w:right w:w="0" w:type="dxa"/>
                  </w:tcMar>
                  <w:vAlign w:val="center"/>
                </w:tcPr>
                <w:p w14:paraId="54327EDD">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15.0</w:t>
                  </w:r>
                </w:p>
              </w:tc>
              <w:tc>
                <w:tcPr>
                  <w:tcW w:w="389" w:type="pct"/>
                  <w:vMerge w:val="continue"/>
                  <w:noWrap w:val="0"/>
                  <w:tcMar>
                    <w:top w:w="0" w:type="dxa"/>
                    <w:left w:w="0" w:type="dxa"/>
                    <w:bottom w:w="0" w:type="dxa"/>
                    <w:right w:w="0" w:type="dxa"/>
                  </w:tcMar>
                  <w:vAlign w:val="center"/>
                </w:tcPr>
                <w:p w14:paraId="6763FE59">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r>
            <w:tr w14:paraId="62D8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1593B7F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04A129A9">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076A5AEA">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066F7E55">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0BC7BAFA">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00" w:type="pct"/>
                  <w:vMerge w:val="continue"/>
                  <w:noWrap w:val="0"/>
                  <w:tcMar>
                    <w:top w:w="0" w:type="dxa"/>
                    <w:left w:w="0" w:type="dxa"/>
                    <w:bottom w:w="0" w:type="dxa"/>
                    <w:right w:w="0" w:type="dxa"/>
                  </w:tcMar>
                  <w:vAlign w:val="center"/>
                </w:tcPr>
                <w:p w14:paraId="35C4AA21">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0E6398D4">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29" w:type="pct"/>
                  <w:vMerge w:val="continue"/>
                  <w:noWrap w:val="0"/>
                  <w:tcMar>
                    <w:top w:w="0" w:type="dxa"/>
                    <w:left w:w="0" w:type="dxa"/>
                    <w:bottom w:w="0" w:type="dxa"/>
                    <w:right w:w="0" w:type="dxa"/>
                  </w:tcMar>
                  <w:vAlign w:val="center"/>
                </w:tcPr>
                <w:p w14:paraId="6B7BD5A9">
                  <w:pPr>
                    <w:pStyle w:val="110"/>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rPr>
                  </w:pPr>
                </w:p>
              </w:tc>
              <w:tc>
                <w:tcPr>
                  <w:tcW w:w="181" w:type="pct"/>
                  <w:noWrap w:val="0"/>
                  <w:tcMar>
                    <w:top w:w="0" w:type="dxa"/>
                    <w:left w:w="0" w:type="dxa"/>
                    <w:bottom w:w="0" w:type="dxa"/>
                    <w:right w:w="0" w:type="dxa"/>
                  </w:tcMar>
                  <w:vAlign w:val="center"/>
                </w:tcPr>
                <w:p w14:paraId="474A04A8">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北</w:t>
                  </w:r>
                </w:p>
              </w:tc>
              <w:tc>
                <w:tcPr>
                  <w:tcW w:w="261" w:type="pct"/>
                  <w:noWrap w:val="0"/>
                  <w:tcMar>
                    <w:top w:w="0" w:type="dxa"/>
                    <w:left w:w="0" w:type="dxa"/>
                    <w:bottom w:w="0" w:type="dxa"/>
                    <w:right w:w="0" w:type="dxa"/>
                  </w:tcMar>
                  <w:vAlign w:val="center"/>
                </w:tcPr>
                <w:p w14:paraId="0A1DDD3C">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8</w:t>
                  </w:r>
                </w:p>
              </w:tc>
              <w:tc>
                <w:tcPr>
                  <w:tcW w:w="278" w:type="pct"/>
                  <w:noWrap w:val="0"/>
                  <w:tcMar>
                    <w:top w:w="0" w:type="dxa"/>
                    <w:left w:w="0" w:type="dxa"/>
                    <w:bottom w:w="0" w:type="dxa"/>
                    <w:right w:w="0" w:type="dxa"/>
                  </w:tcMar>
                  <w:vAlign w:val="center"/>
                </w:tcPr>
                <w:p w14:paraId="7D004C3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59.9</w:t>
                  </w:r>
                </w:p>
              </w:tc>
              <w:tc>
                <w:tcPr>
                  <w:tcW w:w="348" w:type="pct"/>
                  <w:vMerge w:val="continue"/>
                  <w:noWrap w:val="0"/>
                  <w:tcMar>
                    <w:top w:w="0" w:type="dxa"/>
                    <w:left w:w="0" w:type="dxa"/>
                    <w:bottom w:w="0" w:type="dxa"/>
                    <w:right w:w="0" w:type="dxa"/>
                  </w:tcMar>
                  <w:vAlign w:val="center"/>
                </w:tcPr>
                <w:p w14:paraId="62259333">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p>
              </w:tc>
              <w:tc>
                <w:tcPr>
                  <w:tcW w:w="391" w:type="pct"/>
                  <w:vMerge w:val="continue"/>
                  <w:noWrap w:val="0"/>
                  <w:tcMar>
                    <w:top w:w="0" w:type="dxa"/>
                    <w:left w:w="0" w:type="dxa"/>
                    <w:bottom w:w="0" w:type="dxa"/>
                    <w:right w:w="0" w:type="dxa"/>
                  </w:tcMar>
                  <w:vAlign w:val="center"/>
                </w:tcPr>
                <w:p w14:paraId="6FAA3519">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634" w:type="pct"/>
                  <w:noWrap w:val="0"/>
                  <w:tcMar>
                    <w:top w:w="0" w:type="dxa"/>
                    <w:left w:w="0" w:type="dxa"/>
                    <w:bottom w:w="0" w:type="dxa"/>
                    <w:right w:w="0" w:type="dxa"/>
                  </w:tcMar>
                  <w:vAlign w:val="center"/>
                </w:tcPr>
                <w:p w14:paraId="1E6824E8">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30.9</w:t>
                  </w:r>
                </w:p>
              </w:tc>
              <w:tc>
                <w:tcPr>
                  <w:tcW w:w="389" w:type="pct"/>
                  <w:vMerge w:val="continue"/>
                  <w:noWrap w:val="0"/>
                  <w:tcMar>
                    <w:top w:w="0" w:type="dxa"/>
                    <w:left w:w="0" w:type="dxa"/>
                    <w:bottom w:w="0" w:type="dxa"/>
                    <w:right w:w="0" w:type="dxa"/>
                  </w:tcMar>
                  <w:vAlign w:val="center"/>
                </w:tcPr>
                <w:p w14:paraId="5C5E8BE7">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r>
            <w:tr w14:paraId="7D01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6240862F">
                  <w:pPr>
                    <w:pStyle w:val="110"/>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rPr>
                  </w:pPr>
                </w:p>
              </w:tc>
              <w:tc>
                <w:tcPr>
                  <w:tcW w:w="615" w:type="pct"/>
                  <w:vMerge w:val="restart"/>
                  <w:noWrap w:val="0"/>
                  <w:tcMar>
                    <w:top w:w="0" w:type="dxa"/>
                    <w:left w:w="0" w:type="dxa"/>
                    <w:bottom w:w="0" w:type="dxa"/>
                    <w:right w:w="0" w:type="dxa"/>
                  </w:tcMar>
                  <w:vAlign w:val="center"/>
                </w:tcPr>
                <w:p w14:paraId="5D977483">
                  <w:pPr>
                    <w:keepNext w:val="0"/>
                    <w:keepLines w:val="0"/>
                    <w:suppressLineNumbers w:val="0"/>
                    <w:spacing w:before="0" w:beforeAutospacing="0" w:after="0" w:afterAutospacing="0"/>
                    <w:ind w:left="0" w:right="0"/>
                    <w:contextualSpacing/>
                    <w:jc w:val="center"/>
                    <w:rPr>
                      <w:rFonts w:hint="eastAsia" w:ascii="Calibri" w:hAnsi="Calibri" w:eastAsia="宋体" w:cs="Times New Roman"/>
                      <w:color w:val="auto"/>
                      <w:kern w:val="0"/>
                      <w:szCs w:val="21"/>
                    </w:rPr>
                  </w:pPr>
                  <w:r>
                    <w:rPr>
                      <w:rFonts w:hint="eastAsia" w:ascii="Times New Roman" w:hAnsi="Times New Roman" w:eastAsia="宋体" w:cs="Times New Roman"/>
                      <w:color w:val="auto"/>
                      <w:szCs w:val="21"/>
                    </w:rPr>
                    <w:t>喷淋除臭装置</w:t>
                  </w:r>
                </w:p>
              </w:tc>
              <w:tc>
                <w:tcPr>
                  <w:tcW w:w="250" w:type="pct"/>
                  <w:vMerge w:val="restart"/>
                  <w:noWrap w:val="0"/>
                  <w:tcMar>
                    <w:top w:w="0" w:type="dxa"/>
                    <w:left w:w="0" w:type="dxa"/>
                    <w:bottom w:w="0" w:type="dxa"/>
                    <w:right w:w="0" w:type="dxa"/>
                  </w:tcMar>
                  <w:vAlign w:val="center"/>
                </w:tcPr>
                <w:p w14:paraId="5FB27A7E">
                  <w:pPr>
                    <w:pStyle w:val="65"/>
                    <w:keepNext w:val="0"/>
                    <w:keepLines w:val="0"/>
                    <w:suppressLineNumbers w:val="0"/>
                    <w:autoSpaceDE/>
                    <w:autoSpaceDN/>
                    <w:snapToGrid w:val="0"/>
                    <w:spacing w:before="0" w:beforeAutospacing="0" w:after="0" w:afterAutospacing="0"/>
                    <w:ind w:left="0" w:right="0"/>
                    <w:contextualSpacing/>
                    <w:rPr>
                      <w:rFonts w:hAnsi="Calibri" w:eastAsia="宋体"/>
                      <w:color w:val="auto"/>
                      <w:szCs w:val="21"/>
                    </w:rPr>
                  </w:pPr>
                  <w:r>
                    <w:rPr>
                      <w:rFonts w:hint="eastAsia" w:ascii="Times New Roman" w:hAnsi="Times New Roman" w:eastAsia="宋体" w:cs="Times New Roman"/>
                      <w:color w:val="auto"/>
                      <w:sz w:val="21"/>
                      <w:szCs w:val="21"/>
                    </w:rPr>
                    <w:t>1套</w:t>
                  </w:r>
                </w:p>
              </w:tc>
              <w:tc>
                <w:tcPr>
                  <w:tcW w:w="363" w:type="pct"/>
                  <w:vMerge w:val="restart"/>
                  <w:noWrap w:val="0"/>
                  <w:tcMar>
                    <w:top w:w="0" w:type="dxa"/>
                    <w:left w:w="0" w:type="dxa"/>
                    <w:bottom w:w="0" w:type="dxa"/>
                    <w:right w:w="0" w:type="dxa"/>
                  </w:tcMar>
                  <w:vAlign w:val="center"/>
                </w:tcPr>
                <w:p w14:paraId="17FED6A9">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80</w:t>
                  </w:r>
                </w:p>
              </w:tc>
              <w:tc>
                <w:tcPr>
                  <w:tcW w:w="323" w:type="pct"/>
                  <w:vMerge w:val="continue"/>
                  <w:noWrap w:val="0"/>
                  <w:tcMar>
                    <w:top w:w="0" w:type="dxa"/>
                    <w:left w:w="0" w:type="dxa"/>
                    <w:bottom w:w="0" w:type="dxa"/>
                    <w:right w:w="0" w:type="dxa"/>
                  </w:tcMar>
                  <w:vAlign w:val="center"/>
                </w:tcPr>
                <w:p w14:paraId="257441F2">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00" w:type="pct"/>
                  <w:vMerge w:val="restart"/>
                  <w:noWrap w:val="0"/>
                  <w:tcMar>
                    <w:top w:w="0" w:type="dxa"/>
                    <w:left w:w="0" w:type="dxa"/>
                    <w:bottom w:w="0" w:type="dxa"/>
                    <w:right w:w="0" w:type="dxa"/>
                  </w:tcMar>
                  <w:vAlign w:val="center"/>
                </w:tcPr>
                <w:p w14:paraId="780611C4">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192" w:type="pct"/>
                  <w:vMerge w:val="restart"/>
                  <w:noWrap w:val="0"/>
                  <w:tcMar>
                    <w:top w:w="0" w:type="dxa"/>
                    <w:left w:w="0" w:type="dxa"/>
                    <w:bottom w:w="0" w:type="dxa"/>
                    <w:right w:w="0" w:type="dxa"/>
                  </w:tcMar>
                  <w:vAlign w:val="center"/>
                </w:tcPr>
                <w:p w14:paraId="17E6AB45">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c>
                <w:tcPr>
                  <w:tcW w:w="229" w:type="pct"/>
                  <w:vMerge w:val="restart"/>
                  <w:noWrap w:val="0"/>
                  <w:tcMar>
                    <w:top w:w="0" w:type="dxa"/>
                    <w:left w:w="0" w:type="dxa"/>
                    <w:bottom w:w="0" w:type="dxa"/>
                    <w:right w:w="0" w:type="dxa"/>
                  </w:tcMar>
                  <w:vAlign w:val="center"/>
                </w:tcPr>
                <w:p w14:paraId="5C4892B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4.5</w:t>
                  </w:r>
                </w:p>
              </w:tc>
              <w:tc>
                <w:tcPr>
                  <w:tcW w:w="181" w:type="pct"/>
                  <w:noWrap w:val="0"/>
                  <w:tcMar>
                    <w:top w:w="0" w:type="dxa"/>
                    <w:left w:w="0" w:type="dxa"/>
                    <w:bottom w:w="0" w:type="dxa"/>
                    <w:right w:w="0" w:type="dxa"/>
                  </w:tcMar>
                  <w:vAlign w:val="center"/>
                </w:tcPr>
                <w:p w14:paraId="6838DEF1">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东</w:t>
                  </w:r>
                </w:p>
              </w:tc>
              <w:tc>
                <w:tcPr>
                  <w:tcW w:w="261" w:type="pct"/>
                  <w:noWrap w:val="0"/>
                  <w:tcMar>
                    <w:top w:w="0" w:type="dxa"/>
                    <w:left w:w="0" w:type="dxa"/>
                    <w:bottom w:w="0" w:type="dxa"/>
                    <w:right w:w="0" w:type="dxa"/>
                  </w:tcMar>
                  <w:vAlign w:val="center"/>
                </w:tcPr>
                <w:p w14:paraId="3C8507C7">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12</w:t>
                  </w:r>
                </w:p>
              </w:tc>
              <w:tc>
                <w:tcPr>
                  <w:tcW w:w="278" w:type="pct"/>
                  <w:noWrap w:val="0"/>
                  <w:tcMar>
                    <w:top w:w="0" w:type="dxa"/>
                    <w:left w:w="0" w:type="dxa"/>
                    <w:bottom w:w="0" w:type="dxa"/>
                    <w:right w:w="0" w:type="dxa"/>
                  </w:tcMar>
                  <w:vAlign w:val="center"/>
                </w:tcPr>
                <w:p w14:paraId="50781A0A">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58.4</w:t>
                  </w:r>
                </w:p>
              </w:tc>
              <w:tc>
                <w:tcPr>
                  <w:tcW w:w="348" w:type="pct"/>
                  <w:vMerge w:val="restart"/>
                  <w:noWrap w:val="0"/>
                  <w:tcMar>
                    <w:top w:w="0" w:type="dxa"/>
                    <w:left w:w="0" w:type="dxa"/>
                    <w:bottom w:w="0" w:type="dxa"/>
                    <w:right w:w="0" w:type="dxa"/>
                  </w:tcMar>
                  <w:vAlign w:val="center"/>
                </w:tcPr>
                <w:p w14:paraId="0849C856">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宋体" w:hAnsi="宋体" w:eastAsia="宋体" w:cs="宋体"/>
                      <w:color w:val="auto"/>
                      <w:szCs w:val="21"/>
                    </w:rPr>
                    <w:t>昼间</w:t>
                  </w:r>
                </w:p>
              </w:tc>
              <w:tc>
                <w:tcPr>
                  <w:tcW w:w="391" w:type="pct"/>
                  <w:vMerge w:val="continue"/>
                  <w:noWrap w:val="0"/>
                  <w:tcMar>
                    <w:top w:w="0" w:type="dxa"/>
                    <w:left w:w="0" w:type="dxa"/>
                    <w:bottom w:w="0" w:type="dxa"/>
                    <w:right w:w="0" w:type="dxa"/>
                  </w:tcMar>
                  <w:vAlign w:val="center"/>
                </w:tcPr>
                <w:p w14:paraId="6DB35DEB">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kern w:val="2"/>
                      <w:sz w:val="21"/>
                      <w:szCs w:val="21"/>
                    </w:rPr>
                  </w:pPr>
                </w:p>
              </w:tc>
              <w:tc>
                <w:tcPr>
                  <w:tcW w:w="634" w:type="pct"/>
                  <w:noWrap w:val="0"/>
                  <w:tcMar>
                    <w:top w:w="0" w:type="dxa"/>
                    <w:left w:w="0" w:type="dxa"/>
                    <w:bottom w:w="0" w:type="dxa"/>
                    <w:right w:w="0" w:type="dxa"/>
                  </w:tcMar>
                  <w:vAlign w:val="center"/>
                </w:tcPr>
                <w:p w14:paraId="7AE17891">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32.4</w:t>
                  </w:r>
                </w:p>
              </w:tc>
              <w:tc>
                <w:tcPr>
                  <w:tcW w:w="389" w:type="pct"/>
                  <w:vMerge w:val="continue"/>
                  <w:noWrap w:val="0"/>
                  <w:tcMar>
                    <w:top w:w="0" w:type="dxa"/>
                    <w:left w:w="0" w:type="dxa"/>
                    <w:bottom w:w="0" w:type="dxa"/>
                    <w:right w:w="0" w:type="dxa"/>
                  </w:tcMar>
                  <w:vAlign w:val="center"/>
                </w:tcPr>
                <w:p w14:paraId="43D35435">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5EAC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55EDDD3A">
                  <w:pPr>
                    <w:pStyle w:val="110"/>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0C7AB643">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4F226F3B">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43E0781F">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234F9BFB">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00" w:type="pct"/>
                  <w:vMerge w:val="continue"/>
                  <w:noWrap w:val="0"/>
                  <w:tcMar>
                    <w:top w:w="0" w:type="dxa"/>
                    <w:left w:w="0" w:type="dxa"/>
                    <w:bottom w:w="0" w:type="dxa"/>
                    <w:right w:w="0" w:type="dxa"/>
                  </w:tcMar>
                  <w:vAlign w:val="center"/>
                </w:tcPr>
                <w:p w14:paraId="518285DD">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27613422">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29" w:type="pct"/>
                  <w:vMerge w:val="continue"/>
                  <w:noWrap w:val="0"/>
                  <w:tcMar>
                    <w:top w:w="0" w:type="dxa"/>
                    <w:left w:w="0" w:type="dxa"/>
                    <w:bottom w:w="0" w:type="dxa"/>
                    <w:right w:w="0" w:type="dxa"/>
                  </w:tcMar>
                  <w:vAlign w:val="center"/>
                </w:tcPr>
                <w:p w14:paraId="5F84186C">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391F7108">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南</w:t>
                  </w:r>
                </w:p>
              </w:tc>
              <w:tc>
                <w:tcPr>
                  <w:tcW w:w="261" w:type="pct"/>
                  <w:noWrap w:val="0"/>
                  <w:tcMar>
                    <w:top w:w="0" w:type="dxa"/>
                    <w:left w:w="0" w:type="dxa"/>
                    <w:bottom w:w="0" w:type="dxa"/>
                    <w:right w:w="0" w:type="dxa"/>
                  </w:tcMar>
                  <w:vAlign w:val="center"/>
                </w:tcPr>
                <w:p w14:paraId="3B195B38">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8</w:t>
                  </w:r>
                </w:p>
              </w:tc>
              <w:tc>
                <w:tcPr>
                  <w:tcW w:w="278" w:type="pct"/>
                  <w:noWrap w:val="0"/>
                  <w:tcMar>
                    <w:top w:w="0" w:type="dxa"/>
                    <w:left w:w="0" w:type="dxa"/>
                    <w:bottom w:w="0" w:type="dxa"/>
                    <w:right w:w="0" w:type="dxa"/>
                  </w:tcMar>
                  <w:vAlign w:val="center"/>
                </w:tcPr>
                <w:p w14:paraId="45A0E27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61.9</w:t>
                  </w:r>
                </w:p>
              </w:tc>
              <w:tc>
                <w:tcPr>
                  <w:tcW w:w="348" w:type="pct"/>
                  <w:vMerge w:val="continue"/>
                  <w:noWrap w:val="0"/>
                  <w:tcMar>
                    <w:top w:w="0" w:type="dxa"/>
                    <w:left w:w="0" w:type="dxa"/>
                    <w:bottom w:w="0" w:type="dxa"/>
                    <w:right w:w="0" w:type="dxa"/>
                  </w:tcMar>
                  <w:vAlign w:val="center"/>
                </w:tcPr>
                <w:p w14:paraId="3B82C752">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6743B27F">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kern w:val="2"/>
                      <w:sz w:val="21"/>
                      <w:szCs w:val="21"/>
                    </w:rPr>
                  </w:pPr>
                </w:p>
              </w:tc>
              <w:tc>
                <w:tcPr>
                  <w:tcW w:w="634" w:type="pct"/>
                  <w:noWrap w:val="0"/>
                  <w:tcMar>
                    <w:top w:w="0" w:type="dxa"/>
                    <w:left w:w="0" w:type="dxa"/>
                    <w:bottom w:w="0" w:type="dxa"/>
                    <w:right w:w="0" w:type="dxa"/>
                  </w:tcMar>
                  <w:vAlign w:val="center"/>
                </w:tcPr>
                <w:p w14:paraId="576A21BE">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35.9</w:t>
                  </w:r>
                </w:p>
              </w:tc>
              <w:tc>
                <w:tcPr>
                  <w:tcW w:w="389" w:type="pct"/>
                  <w:vMerge w:val="continue"/>
                  <w:noWrap w:val="0"/>
                  <w:tcMar>
                    <w:top w:w="0" w:type="dxa"/>
                    <w:left w:w="0" w:type="dxa"/>
                    <w:bottom w:w="0" w:type="dxa"/>
                    <w:right w:w="0" w:type="dxa"/>
                  </w:tcMar>
                  <w:vAlign w:val="center"/>
                </w:tcPr>
                <w:p w14:paraId="1EDF46F8">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24C6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05FFA9B0">
                  <w:pPr>
                    <w:pStyle w:val="110"/>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098D6E9B">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28FCA360">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484B1331">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27E54A74">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00" w:type="pct"/>
                  <w:vMerge w:val="continue"/>
                  <w:noWrap w:val="0"/>
                  <w:tcMar>
                    <w:top w:w="0" w:type="dxa"/>
                    <w:left w:w="0" w:type="dxa"/>
                    <w:bottom w:w="0" w:type="dxa"/>
                    <w:right w:w="0" w:type="dxa"/>
                  </w:tcMar>
                  <w:vAlign w:val="center"/>
                </w:tcPr>
                <w:p w14:paraId="6B5D7A8F">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2036AEE3">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29" w:type="pct"/>
                  <w:vMerge w:val="continue"/>
                  <w:noWrap w:val="0"/>
                  <w:tcMar>
                    <w:top w:w="0" w:type="dxa"/>
                    <w:left w:w="0" w:type="dxa"/>
                    <w:bottom w:w="0" w:type="dxa"/>
                    <w:right w:w="0" w:type="dxa"/>
                  </w:tcMar>
                  <w:vAlign w:val="center"/>
                </w:tcPr>
                <w:p w14:paraId="3A98A8E4">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0C8CA499">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西</w:t>
                  </w:r>
                </w:p>
              </w:tc>
              <w:tc>
                <w:tcPr>
                  <w:tcW w:w="261" w:type="pct"/>
                  <w:noWrap w:val="0"/>
                  <w:tcMar>
                    <w:top w:w="0" w:type="dxa"/>
                    <w:left w:w="0" w:type="dxa"/>
                    <w:bottom w:w="0" w:type="dxa"/>
                    <w:right w:w="0" w:type="dxa"/>
                  </w:tcMar>
                  <w:vAlign w:val="center"/>
                </w:tcPr>
                <w:p w14:paraId="397CF30F">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45</w:t>
                  </w:r>
                </w:p>
              </w:tc>
              <w:tc>
                <w:tcPr>
                  <w:tcW w:w="278" w:type="pct"/>
                  <w:noWrap w:val="0"/>
                  <w:tcMar>
                    <w:top w:w="0" w:type="dxa"/>
                    <w:left w:w="0" w:type="dxa"/>
                    <w:bottom w:w="0" w:type="dxa"/>
                    <w:right w:w="0" w:type="dxa"/>
                  </w:tcMar>
                  <w:vAlign w:val="center"/>
                </w:tcPr>
                <w:p w14:paraId="7453D9B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46.9</w:t>
                  </w:r>
                </w:p>
              </w:tc>
              <w:tc>
                <w:tcPr>
                  <w:tcW w:w="348" w:type="pct"/>
                  <w:vMerge w:val="continue"/>
                  <w:noWrap w:val="0"/>
                  <w:tcMar>
                    <w:top w:w="0" w:type="dxa"/>
                    <w:left w:w="0" w:type="dxa"/>
                    <w:bottom w:w="0" w:type="dxa"/>
                    <w:right w:w="0" w:type="dxa"/>
                  </w:tcMar>
                  <w:vAlign w:val="center"/>
                </w:tcPr>
                <w:p w14:paraId="61B3475C">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1CEFDE1D">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kern w:val="2"/>
                      <w:sz w:val="21"/>
                      <w:szCs w:val="21"/>
                    </w:rPr>
                  </w:pPr>
                </w:p>
              </w:tc>
              <w:tc>
                <w:tcPr>
                  <w:tcW w:w="634" w:type="pct"/>
                  <w:noWrap w:val="0"/>
                  <w:tcMar>
                    <w:top w:w="0" w:type="dxa"/>
                    <w:left w:w="0" w:type="dxa"/>
                    <w:bottom w:w="0" w:type="dxa"/>
                    <w:right w:w="0" w:type="dxa"/>
                  </w:tcMar>
                  <w:vAlign w:val="center"/>
                </w:tcPr>
                <w:p w14:paraId="776A0B0D">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20.9</w:t>
                  </w:r>
                </w:p>
              </w:tc>
              <w:tc>
                <w:tcPr>
                  <w:tcW w:w="389" w:type="pct"/>
                  <w:vMerge w:val="continue"/>
                  <w:noWrap w:val="0"/>
                  <w:tcMar>
                    <w:top w:w="0" w:type="dxa"/>
                    <w:left w:w="0" w:type="dxa"/>
                    <w:bottom w:w="0" w:type="dxa"/>
                    <w:right w:w="0" w:type="dxa"/>
                  </w:tcMar>
                  <w:vAlign w:val="center"/>
                </w:tcPr>
                <w:p w14:paraId="1800693F">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3C4B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0BDAAA4E">
                  <w:pPr>
                    <w:pStyle w:val="110"/>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4FF155B3">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4ADEA9B1">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3D945176">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213D6E71">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00" w:type="pct"/>
                  <w:vMerge w:val="continue"/>
                  <w:noWrap w:val="0"/>
                  <w:tcMar>
                    <w:top w:w="0" w:type="dxa"/>
                    <w:left w:w="0" w:type="dxa"/>
                    <w:bottom w:w="0" w:type="dxa"/>
                    <w:right w:w="0" w:type="dxa"/>
                  </w:tcMar>
                  <w:vAlign w:val="center"/>
                </w:tcPr>
                <w:p w14:paraId="0414310F">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192" w:type="pct"/>
                  <w:vMerge w:val="continue"/>
                  <w:noWrap w:val="0"/>
                  <w:tcMar>
                    <w:top w:w="0" w:type="dxa"/>
                    <w:left w:w="0" w:type="dxa"/>
                    <w:bottom w:w="0" w:type="dxa"/>
                    <w:right w:w="0" w:type="dxa"/>
                  </w:tcMar>
                  <w:vAlign w:val="center"/>
                </w:tcPr>
                <w:p w14:paraId="01E67252">
                  <w:pPr>
                    <w:pStyle w:val="110"/>
                    <w:keepNext w:val="0"/>
                    <w:keepLines w:val="0"/>
                    <w:suppressLineNumbers w:val="0"/>
                    <w:spacing w:before="0" w:beforeAutospacing="0" w:after="0" w:afterAutospacing="0"/>
                    <w:ind w:left="0" w:right="0"/>
                    <w:rPr>
                      <w:rFonts w:ascii="Times New Roman" w:hAnsi="Times New Roman" w:eastAsia="宋体" w:cs="Times New Roman"/>
                      <w:color w:val="auto"/>
                      <w:szCs w:val="21"/>
                    </w:rPr>
                  </w:pPr>
                </w:p>
              </w:tc>
              <w:tc>
                <w:tcPr>
                  <w:tcW w:w="229" w:type="pct"/>
                  <w:vMerge w:val="continue"/>
                  <w:noWrap w:val="0"/>
                  <w:tcMar>
                    <w:top w:w="0" w:type="dxa"/>
                    <w:left w:w="0" w:type="dxa"/>
                    <w:bottom w:w="0" w:type="dxa"/>
                    <w:right w:w="0" w:type="dxa"/>
                  </w:tcMar>
                  <w:vAlign w:val="center"/>
                </w:tcPr>
                <w:p w14:paraId="0A1E9607">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542CF2A3">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北</w:t>
                  </w:r>
                </w:p>
              </w:tc>
              <w:tc>
                <w:tcPr>
                  <w:tcW w:w="261" w:type="pct"/>
                  <w:noWrap w:val="0"/>
                  <w:tcMar>
                    <w:top w:w="0" w:type="dxa"/>
                    <w:left w:w="0" w:type="dxa"/>
                    <w:bottom w:w="0" w:type="dxa"/>
                    <w:right w:w="0" w:type="dxa"/>
                  </w:tcMar>
                  <w:vAlign w:val="center"/>
                </w:tcPr>
                <w:p w14:paraId="23D30B05">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10</w:t>
                  </w:r>
                </w:p>
              </w:tc>
              <w:tc>
                <w:tcPr>
                  <w:tcW w:w="278" w:type="pct"/>
                  <w:noWrap w:val="0"/>
                  <w:tcMar>
                    <w:top w:w="0" w:type="dxa"/>
                    <w:left w:w="0" w:type="dxa"/>
                    <w:bottom w:w="0" w:type="dxa"/>
                    <w:right w:w="0" w:type="dxa"/>
                  </w:tcMar>
                  <w:vAlign w:val="center"/>
                </w:tcPr>
                <w:p w14:paraId="43B8BB52">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60.0</w:t>
                  </w:r>
                </w:p>
              </w:tc>
              <w:tc>
                <w:tcPr>
                  <w:tcW w:w="348" w:type="pct"/>
                  <w:vMerge w:val="continue"/>
                  <w:noWrap w:val="0"/>
                  <w:tcMar>
                    <w:top w:w="0" w:type="dxa"/>
                    <w:left w:w="0" w:type="dxa"/>
                    <w:bottom w:w="0" w:type="dxa"/>
                    <w:right w:w="0" w:type="dxa"/>
                  </w:tcMar>
                  <w:vAlign w:val="center"/>
                </w:tcPr>
                <w:p w14:paraId="3080C0E2">
                  <w:pPr>
                    <w:keepNext w:val="0"/>
                    <w:keepLines w:val="0"/>
                    <w:suppressLineNumbers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2AB4F710">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kern w:val="2"/>
                      <w:sz w:val="21"/>
                      <w:szCs w:val="21"/>
                    </w:rPr>
                  </w:pPr>
                </w:p>
              </w:tc>
              <w:tc>
                <w:tcPr>
                  <w:tcW w:w="634" w:type="pct"/>
                  <w:noWrap w:val="0"/>
                  <w:tcMar>
                    <w:top w:w="0" w:type="dxa"/>
                    <w:left w:w="0" w:type="dxa"/>
                    <w:bottom w:w="0" w:type="dxa"/>
                    <w:right w:w="0" w:type="dxa"/>
                  </w:tcMar>
                  <w:vAlign w:val="center"/>
                </w:tcPr>
                <w:p w14:paraId="35B22079">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kern w:val="2"/>
                      <w:sz w:val="21"/>
                      <w:szCs w:val="21"/>
                    </w:rPr>
                  </w:pPr>
                  <w:r>
                    <w:rPr>
                      <w:rFonts w:hint="eastAsia" w:ascii="Calibri" w:hAnsi="Calibri" w:cs="Times New Roman"/>
                      <w:b w:val="0"/>
                      <w:bCs w:val="0"/>
                      <w:color w:val="auto"/>
                      <w:kern w:val="2"/>
                      <w:sz w:val="21"/>
                      <w:szCs w:val="21"/>
                    </w:rPr>
                    <w:t>34.0</w:t>
                  </w:r>
                </w:p>
              </w:tc>
              <w:tc>
                <w:tcPr>
                  <w:tcW w:w="389" w:type="pct"/>
                  <w:vMerge w:val="continue"/>
                  <w:noWrap w:val="0"/>
                  <w:tcMar>
                    <w:top w:w="0" w:type="dxa"/>
                    <w:left w:w="0" w:type="dxa"/>
                    <w:bottom w:w="0" w:type="dxa"/>
                    <w:right w:w="0" w:type="dxa"/>
                  </w:tcMar>
                  <w:vAlign w:val="center"/>
                </w:tcPr>
                <w:p w14:paraId="3FB4DC9B">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3A76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restart"/>
                  <w:noWrap w:val="0"/>
                  <w:tcMar>
                    <w:top w:w="0" w:type="dxa"/>
                    <w:left w:w="0" w:type="dxa"/>
                    <w:bottom w:w="0" w:type="dxa"/>
                    <w:right w:w="0" w:type="dxa"/>
                  </w:tcMar>
                  <w:vAlign w:val="center"/>
                </w:tcPr>
                <w:p w14:paraId="5A0DF1DE">
                  <w:pPr>
                    <w:keepNext w:val="0"/>
                    <w:keepLines w:val="0"/>
                    <w:suppressLineNumbers w:val="0"/>
                    <w:spacing w:before="0" w:beforeAutospacing="0" w:after="0" w:afterAutospacing="0"/>
                    <w:ind w:left="0" w:right="0"/>
                    <w:contextualSpacing/>
                    <w:jc w:val="center"/>
                    <w:rPr>
                      <w:rFonts w:ascii="Calibri" w:hAnsi="Calibri" w:eastAsia="宋体" w:cs="Times New Roman"/>
                      <w:b/>
                      <w:bCs/>
                      <w:color w:val="auto"/>
                      <w:szCs w:val="21"/>
                    </w:rPr>
                  </w:pPr>
                  <w:r>
                    <w:rPr>
                      <w:rFonts w:hint="eastAsia" w:ascii="Times New Roman" w:hAnsi="Times New Roman" w:eastAsia="宋体" w:cs="Times New Roman"/>
                      <w:color w:val="auto"/>
                      <w:szCs w:val="21"/>
                    </w:rPr>
                    <w:t>分拣间</w:t>
                  </w:r>
                </w:p>
              </w:tc>
              <w:tc>
                <w:tcPr>
                  <w:tcW w:w="615" w:type="pct"/>
                  <w:vMerge w:val="restart"/>
                  <w:noWrap w:val="0"/>
                  <w:tcMar>
                    <w:top w:w="0" w:type="dxa"/>
                    <w:left w:w="0" w:type="dxa"/>
                    <w:bottom w:w="0" w:type="dxa"/>
                    <w:right w:w="0" w:type="dxa"/>
                  </w:tcMar>
                  <w:vAlign w:val="center"/>
                </w:tcPr>
                <w:p w14:paraId="4703F77D">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分拣输送带</w:t>
                  </w:r>
                </w:p>
              </w:tc>
              <w:tc>
                <w:tcPr>
                  <w:tcW w:w="250" w:type="pct"/>
                  <w:vMerge w:val="restart"/>
                  <w:noWrap w:val="0"/>
                  <w:tcMar>
                    <w:top w:w="0" w:type="dxa"/>
                    <w:left w:w="0" w:type="dxa"/>
                    <w:bottom w:w="0" w:type="dxa"/>
                    <w:right w:w="0" w:type="dxa"/>
                  </w:tcMar>
                  <w:vAlign w:val="center"/>
                </w:tcPr>
                <w:p w14:paraId="4A34F7EC">
                  <w:pPr>
                    <w:pStyle w:val="65"/>
                    <w:keepNext w:val="0"/>
                    <w:keepLines w:val="0"/>
                    <w:suppressLineNumbers w:val="0"/>
                    <w:autoSpaceDE/>
                    <w:autoSpaceDN/>
                    <w:snapToGrid w:val="0"/>
                    <w:spacing w:before="0" w:beforeAutospacing="0" w:after="0" w:afterAutospacing="0"/>
                    <w:ind w:left="0" w:right="0"/>
                    <w:contextualSpacing/>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1台</w:t>
                  </w:r>
                </w:p>
              </w:tc>
              <w:tc>
                <w:tcPr>
                  <w:tcW w:w="363" w:type="pct"/>
                  <w:vMerge w:val="restart"/>
                  <w:noWrap w:val="0"/>
                  <w:tcMar>
                    <w:top w:w="0" w:type="dxa"/>
                    <w:left w:w="0" w:type="dxa"/>
                    <w:bottom w:w="0" w:type="dxa"/>
                    <w:right w:w="0" w:type="dxa"/>
                  </w:tcMar>
                  <w:vAlign w:val="center"/>
                </w:tcPr>
                <w:p w14:paraId="788A788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65</w:t>
                  </w:r>
                </w:p>
              </w:tc>
              <w:tc>
                <w:tcPr>
                  <w:tcW w:w="323" w:type="pct"/>
                  <w:vMerge w:val="continue"/>
                  <w:noWrap w:val="0"/>
                  <w:tcMar>
                    <w:top w:w="0" w:type="dxa"/>
                    <w:left w:w="0" w:type="dxa"/>
                    <w:bottom w:w="0" w:type="dxa"/>
                    <w:right w:w="0" w:type="dxa"/>
                  </w:tcMar>
                  <w:vAlign w:val="center"/>
                </w:tcPr>
                <w:p w14:paraId="17AC5D3F">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p>
              </w:tc>
              <w:tc>
                <w:tcPr>
                  <w:tcW w:w="200" w:type="pct"/>
                  <w:vMerge w:val="restart"/>
                  <w:noWrap w:val="0"/>
                  <w:tcMar>
                    <w:top w:w="0" w:type="dxa"/>
                    <w:left w:w="0" w:type="dxa"/>
                    <w:bottom w:w="0" w:type="dxa"/>
                    <w:right w:w="0" w:type="dxa"/>
                  </w:tcMar>
                  <w:vAlign w:val="center"/>
                </w:tcPr>
                <w:p w14:paraId="11844F3C">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5</w:t>
                  </w:r>
                </w:p>
              </w:tc>
              <w:tc>
                <w:tcPr>
                  <w:tcW w:w="192" w:type="pct"/>
                  <w:vMerge w:val="restart"/>
                  <w:noWrap w:val="0"/>
                  <w:tcMar>
                    <w:top w:w="0" w:type="dxa"/>
                    <w:left w:w="0" w:type="dxa"/>
                    <w:bottom w:w="0" w:type="dxa"/>
                    <w:right w:w="0" w:type="dxa"/>
                  </w:tcMar>
                  <w:vAlign w:val="center"/>
                </w:tcPr>
                <w:p w14:paraId="5C613F47">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30</w:t>
                  </w:r>
                </w:p>
              </w:tc>
              <w:tc>
                <w:tcPr>
                  <w:tcW w:w="229" w:type="pct"/>
                  <w:vMerge w:val="restart"/>
                  <w:noWrap w:val="0"/>
                  <w:tcMar>
                    <w:top w:w="0" w:type="dxa"/>
                    <w:left w:w="0" w:type="dxa"/>
                    <w:bottom w:w="0" w:type="dxa"/>
                    <w:right w:w="0" w:type="dxa"/>
                  </w:tcMar>
                  <w:vAlign w:val="center"/>
                </w:tcPr>
                <w:p w14:paraId="4F4208B0">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r>
                    <w:rPr>
                      <w:rFonts w:hint="eastAsia" w:ascii="Calibri" w:hAnsi="Calibri" w:eastAsia="宋体" w:cs="Times New Roman"/>
                      <w:color w:val="auto"/>
                      <w:szCs w:val="21"/>
                    </w:rPr>
                    <w:t>1.5</w:t>
                  </w:r>
                </w:p>
              </w:tc>
              <w:tc>
                <w:tcPr>
                  <w:tcW w:w="181" w:type="pct"/>
                  <w:noWrap w:val="0"/>
                  <w:tcMar>
                    <w:top w:w="0" w:type="dxa"/>
                    <w:left w:w="0" w:type="dxa"/>
                    <w:bottom w:w="0" w:type="dxa"/>
                    <w:right w:w="0" w:type="dxa"/>
                  </w:tcMar>
                  <w:vAlign w:val="center"/>
                </w:tcPr>
                <w:p w14:paraId="0521E6E2">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东</w:t>
                  </w:r>
                </w:p>
              </w:tc>
              <w:tc>
                <w:tcPr>
                  <w:tcW w:w="261" w:type="pct"/>
                  <w:noWrap w:val="0"/>
                  <w:tcMar>
                    <w:top w:w="0" w:type="dxa"/>
                    <w:left w:w="0" w:type="dxa"/>
                    <w:bottom w:w="0" w:type="dxa"/>
                    <w:right w:w="0" w:type="dxa"/>
                  </w:tcMar>
                  <w:vAlign w:val="center"/>
                </w:tcPr>
                <w:p w14:paraId="682209A2">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6</w:t>
                  </w:r>
                </w:p>
              </w:tc>
              <w:tc>
                <w:tcPr>
                  <w:tcW w:w="278" w:type="pct"/>
                  <w:noWrap w:val="0"/>
                  <w:tcMar>
                    <w:top w:w="0" w:type="dxa"/>
                    <w:left w:w="0" w:type="dxa"/>
                    <w:bottom w:w="0" w:type="dxa"/>
                    <w:right w:w="0" w:type="dxa"/>
                  </w:tcMar>
                  <w:vAlign w:val="center"/>
                </w:tcPr>
                <w:p w14:paraId="16414202">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49.4</w:t>
                  </w:r>
                </w:p>
              </w:tc>
              <w:tc>
                <w:tcPr>
                  <w:tcW w:w="348" w:type="pct"/>
                  <w:vMerge w:val="restart"/>
                  <w:noWrap w:val="0"/>
                  <w:tcMar>
                    <w:top w:w="0" w:type="dxa"/>
                    <w:left w:w="0" w:type="dxa"/>
                    <w:bottom w:w="0" w:type="dxa"/>
                    <w:right w:w="0" w:type="dxa"/>
                  </w:tcMar>
                  <w:vAlign w:val="center"/>
                </w:tcPr>
                <w:p w14:paraId="55FA8F87">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昼间</w:t>
                  </w:r>
                </w:p>
              </w:tc>
              <w:tc>
                <w:tcPr>
                  <w:tcW w:w="391" w:type="pct"/>
                  <w:vMerge w:val="continue"/>
                  <w:noWrap w:val="0"/>
                  <w:tcMar>
                    <w:top w:w="0" w:type="dxa"/>
                    <w:left w:w="0" w:type="dxa"/>
                    <w:bottom w:w="0" w:type="dxa"/>
                    <w:right w:w="0" w:type="dxa"/>
                  </w:tcMar>
                  <w:vAlign w:val="center"/>
                </w:tcPr>
                <w:p w14:paraId="04470AA6">
                  <w:pPr>
                    <w:keepNext w:val="0"/>
                    <w:keepLines w:val="0"/>
                    <w:suppressLineNumbers w:val="0"/>
                    <w:snapToGrid w:val="0"/>
                    <w:spacing w:before="0" w:beforeAutospacing="0" w:after="0" w:afterAutospacing="0"/>
                    <w:ind w:left="0" w:right="0"/>
                    <w:jc w:val="center"/>
                    <w:rPr>
                      <w:rFonts w:ascii="Calibri" w:hAnsi="Calibri" w:eastAsia="宋体" w:cs="Times New Roman"/>
                      <w:color w:val="auto"/>
                      <w:szCs w:val="21"/>
                    </w:rPr>
                  </w:pPr>
                </w:p>
              </w:tc>
              <w:tc>
                <w:tcPr>
                  <w:tcW w:w="634" w:type="pct"/>
                  <w:noWrap w:val="0"/>
                  <w:tcMar>
                    <w:top w:w="0" w:type="dxa"/>
                    <w:left w:w="0" w:type="dxa"/>
                    <w:bottom w:w="0" w:type="dxa"/>
                    <w:right w:w="0" w:type="dxa"/>
                  </w:tcMar>
                  <w:vAlign w:val="center"/>
                </w:tcPr>
                <w:p w14:paraId="0AA829A9">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23.4</w:t>
                  </w:r>
                </w:p>
              </w:tc>
              <w:tc>
                <w:tcPr>
                  <w:tcW w:w="389" w:type="pct"/>
                  <w:vMerge w:val="continue"/>
                  <w:noWrap w:val="0"/>
                  <w:tcMar>
                    <w:top w:w="0" w:type="dxa"/>
                    <w:left w:w="0" w:type="dxa"/>
                    <w:bottom w:w="0" w:type="dxa"/>
                    <w:right w:w="0" w:type="dxa"/>
                  </w:tcMar>
                  <w:vAlign w:val="center"/>
                </w:tcPr>
                <w:p w14:paraId="68FC111F">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4EAF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227F3A04">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2CF1BA3A">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1F75907D">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695DF26C">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2EF702EB">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p>
              </w:tc>
              <w:tc>
                <w:tcPr>
                  <w:tcW w:w="200" w:type="pct"/>
                  <w:vMerge w:val="continue"/>
                  <w:noWrap w:val="0"/>
                  <w:tcMar>
                    <w:top w:w="0" w:type="dxa"/>
                    <w:left w:w="0" w:type="dxa"/>
                    <w:bottom w:w="0" w:type="dxa"/>
                    <w:right w:w="0" w:type="dxa"/>
                  </w:tcMar>
                  <w:vAlign w:val="center"/>
                </w:tcPr>
                <w:p w14:paraId="050E358F">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192" w:type="pct"/>
                  <w:vMerge w:val="continue"/>
                  <w:noWrap w:val="0"/>
                  <w:tcMar>
                    <w:top w:w="0" w:type="dxa"/>
                    <w:left w:w="0" w:type="dxa"/>
                    <w:bottom w:w="0" w:type="dxa"/>
                    <w:right w:w="0" w:type="dxa"/>
                  </w:tcMar>
                  <w:vAlign w:val="center"/>
                </w:tcPr>
                <w:p w14:paraId="3CD6D989">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229" w:type="pct"/>
                  <w:vMerge w:val="continue"/>
                  <w:noWrap w:val="0"/>
                  <w:tcMar>
                    <w:top w:w="0" w:type="dxa"/>
                    <w:left w:w="0" w:type="dxa"/>
                    <w:bottom w:w="0" w:type="dxa"/>
                    <w:right w:w="0" w:type="dxa"/>
                  </w:tcMar>
                  <w:vAlign w:val="center"/>
                </w:tcPr>
                <w:p w14:paraId="03E00C04">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6688D6EC">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南</w:t>
                  </w:r>
                </w:p>
              </w:tc>
              <w:tc>
                <w:tcPr>
                  <w:tcW w:w="261" w:type="pct"/>
                  <w:noWrap w:val="0"/>
                  <w:tcMar>
                    <w:top w:w="0" w:type="dxa"/>
                    <w:left w:w="0" w:type="dxa"/>
                    <w:bottom w:w="0" w:type="dxa"/>
                    <w:right w:w="0" w:type="dxa"/>
                  </w:tcMar>
                  <w:vAlign w:val="center"/>
                </w:tcPr>
                <w:p w14:paraId="3180909C">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70</w:t>
                  </w:r>
                </w:p>
              </w:tc>
              <w:tc>
                <w:tcPr>
                  <w:tcW w:w="278" w:type="pct"/>
                  <w:noWrap w:val="0"/>
                  <w:tcMar>
                    <w:top w:w="0" w:type="dxa"/>
                    <w:left w:w="0" w:type="dxa"/>
                    <w:bottom w:w="0" w:type="dxa"/>
                    <w:right w:w="0" w:type="dxa"/>
                  </w:tcMar>
                  <w:vAlign w:val="center"/>
                </w:tcPr>
                <w:p w14:paraId="512AF89F">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28.1</w:t>
                  </w:r>
                </w:p>
              </w:tc>
              <w:tc>
                <w:tcPr>
                  <w:tcW w:w="348" w:type="pct"/>
                  <w:vMerge w:val="continue"/>
                  <w:noWrap w:val="0"/>
                  <w:tcMar>
                    <w:top w:w="0" w:type="dxa"/>
                    <w:left w:w="0" w:type="dxa"/>
                    <w:bottom w:w="0" w:type="dxa"/>
                    <w:right w:w="0" w:type="dxa"/>
                  </w:tcMar>
                  <w:vAlign w:val="center"/>
                </w:tcPr>
                <w:p w14:paraId="7FA8F029">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3049941E">
                  <w:pPr>
                    <w:keepNext w:val="0"/>
                    <w:keepLines w:val="0"/>
                    <w:suppressLineNumbers w:val="0"/>
                    <w:snapToGrid w:val="0"/>
                    <w:spacing w:before="0" w:beforeAutospacing="0" w:after="0" w:afterAutospacing="0"/>
                    <w:ind w:left="0" w:right="0"/>
                    <w:jc w:val="center"/>
                    <w:rPr>
                      <w:rFonts w:ascii="Calibri" w:hAnsi="Calibri" w:eastAsia="宋体" w:cs="Times New Roman"/>
                      <w:color w:val="auto"/>
                      <w:szCs w:val="21"/>
                    </w:rPr>
                  </w:pPr>
                </w:p>
              </w:tc>
              <w:tc>
                <w:tcPr>
                  <w:tcW w:w="634" w:type="pct"/>
                  <w:noWrap w:val="0"/>
                  <w:tcMar>
                    <w:top w:w="0" w:type="dxa"/>
                    <w:left w:w="0" w:type="dxa"/>
                    <w:bottom w:w="0" w:type="dxa"/>
                    <w:right w:w="0" w:type="dxa"/>
                  </w:tcMar>
                  <w:vAlign w:val="center"/>
                </w:tcPr>
                <w:p w14:paraId="739A7936">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r>
                    <w:rPr>
                      <w:rFonts w:hint="eastAsia" w:ascii="Times New Roman" w:hAnsi="Times New Roman" w:cs="Times New Roman"/>
                      <w:b w:val="0"/>
                      <w:bCs w:val="0"/>
                      <w:color w:val="auto"/>
                      <w:sz w:val="21"/>
                      <w:szCs w:val="21"/>
                    </w:rPr>
                    <w:t>2.1</w:t>
                  </w:r>
                </w:p>
              </w:tc>
              <w:tc>
                <w:tcPr>
                  <w:tcW w:w="389" w:type="pct"/>
                  <w:vMerge w:val="continue"/>
                  <w:noWrap w:val="0"/>
                  <w:tcMar>
                    <w:top w:w="0" w:type="dxa"/>
                    <w:left w:w="0" w:type="dxa"/>
                    <w:bottom w:w="0" w:type="dxa"/>
                    <w:right w:w="0" w:type="dxa"/>
                  </w:tcMar>
                  <w:vAlign w:val="center"/>
                </w:tcPr>
                <w:p w14:paraId="22FC6B85">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3334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19E90B22">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4BAAE907">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3D33B90E">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4B13DCA6">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67F915A8">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p>
              </w:tc>
              <w:tc>
                <w:tcPr>
                  <w:tcW w:w="200" w:type="pct"/>
                  <w:vMerge w:val="continue"/>
                  <w:noWrap w:val="0"/>
                  <w:tcMar>
                    <w:top w:w="0" w:type="dxa"/>
                    <w:left w:w="0" w:type="dxa"/>
                    <w:bottom w:w="0" w:type="dxa"/>
                    <w:right w:w="0" w:type="dxa"/>
                  </w:tcMar>
                  <w:vAlign w:val="center"/>
                </w:tcPr>
                <w:p w14:paraId="714E50DB">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192" w:type="pct"/>
                  <w:vMerge w:val="continue"/>
                  <w:noWrap w:val="0"/>
                  <w:tcMar>
                    <w:top w:w="0" w:type="dxa"/>
                    <w:left w:w="0" w:type="dxa"/>
                    <w:bottom w:w="0" w:type="dxa"/>
                    <w:right w:w="0" w:type="dxa"/>
                  </w:tcMar>
                  <w:vAlign w:val="center"/>
                </w:tcPr>
                <w:p w14:paraId="49C924EE">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229" w:type="pct"/>
                  <w:vMerge w:val="continue"/>
                  <w:noWrap w:val="0"/>
                  <w:tcMar>
                    <w:top w:w="0" w:type="dxa"/>
                    <w:left w:w="0" w:type="dxa"/>
                    <w:bottom w:w="0" w:type="dxa"/>
                    <w:right w:w="0" w:type="dxa"/>
                  </w:tcMar>
                  <w:vAlign w:val="center"/>
                </w:tcPr>
                <w:p w14:paraId="3024F7B3">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0D137D16">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西</w:t>
                  </w:r>
                </w:p>
              </w:tc>
              <w:tc>
                <w:tcPr>
                  <w:tcW w:w="261" w:type="pct"/>
                  <w:noWrap w:val="0"/>
                  <w:tcMar>
                    <w:top w:w="0" w:type="dxa"/>
                    <w:left w:w="0" w:type="dxa"/>
                    <w:bottom w:w="0" w:type="dxa"/>
                    <w:right w:w="0" w:type="dxa"/>
                  </w:tcMar>
                  <w:vAlign w:val="center"/>
                </w:tcPr>
                <w:p w14:paraId="2644EADE">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5</w:t>
                  </w:r>
                </w:p>
              </w:tc>
              <w:tc>
                <w:tcPr>
                  <w:tcW w:w="278" w:type="pct"/>
                  <w:noWrap w:val="0"/>
                  <w:tcMar>
                    <w:top w:w="0" w:type="dxa"/>
                    <w:left w:w="0" w:type="dxa"/>
                    <w:bottom w:w="0" w:type="dxa"/>
                    <w:right w:w="0" w:type="dxa"/>
                  </w:tcMar>
                  <w:vAlign w:val="center"/>
                </w:tcPr>
                <w:p w14:paraId="0D2A0EE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51.0</w:t>
                  </w:r>
                </w:p>
              </w:tc>
              <w:tc>
                <w:tcPr>
                  <w:tcW w:w="348" w:type="pct"/>
                  <w:vMerge w:val="continue"/>
                  <w:noWrap w:val="0"/>
                  <w:tcMar>
                    <w:top w:w="0" w:type="dxa"/>
                    <w:left w:w="0" w:type="dxa"/>
                    <w:bottom w:w="0" w:type="dxa"/>
                    <w:right w:w="0" w:type="dxa"/>
                  </w:tcMar>
                  <w:vAlign w:val="center"/>
                </w:tcPr>
                <w:p w14:paraId="51D0FCDA">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0B6146AC">
                  <w:pPr>
                    <w:keepNext w:val="0"/>
                    <w:keepLines w:val="0"/>
                    <w:suppressLineNumbers w:val="0"/>
                    <w:snapToGrid w:val="0"/>
                    <w:spacing w:before="0" w:beforeAutospacing="0" w:after="0" w:afterAutospacing="0"/>
                    <w:ind w:left="0" w:right="0"/>
                    <w:jc w:val="center"/>
                    <w:rPr>
                      <w:rFonts w:ascii="Calibri" w:hAnsi="Calibri" w:eastAsia="宋体" w:cs="Times New Roman"/>
                      <w:color w:val="auto"/>
                      <w:szCs w:val="21"/>
                    </w:rPr>
                  </w:pPr>
                </w:p>
              </w:tc>
              <w:tc>
                <w:tcPr>
                  <w:tcW w:w="634" w:type="pct"/>
                  <w:noWrap w:val="0"/>
                  <w:tcMar>
                    <w:top w:w="0" w:type="dxa"/>
                    <w:left w:w="0" w:type="dxa"/>
                    <w:bottom w:w="0" w:type="dxa"/>
                    <w:right w:w="0" w:type="dxa"/>
                  </w:tcMar>
                  <w:vAlign w:val="center"/>
                </w:tcPr>
                <w:p w14:paraId="123498B5">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25.0</w:t>
                  </w:r>
                </w:p>
              </w:tc>
              <w:tc>
                <w:tcPr>
                  <w:tcW w:w="389" w:type="pct"/>
                  <w:vMerge w:val="continue"/>
                  <w:noWrap w:val="0"/>
                  <w:tcMar>
                    <w:top w:w="0" w:type="dxa"/>
                    <w:left w:w="0" w:type="dxa"/>
                    <w:bottom w:w="0" w:type="dxa"/>
                    <w:right w:w="0" w:type="dxa"/>
                  </w:tcMar>
                  <w:vAlign w:val="center"/>
                </w:tcPr>
                <w:p w14:paraId="6E42E9F3">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4ECE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1C46AD9B">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0E015A04">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4BA21F89">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55FC18F4">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7BFCE273">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p>
              </w:tc>
              <w:tc>
                <w:tcPr>
                  <w:tcW w:w="200" w:type="pct"/>
                  <w:vMerge w:val="continue"/>
                  <w:noWrap w:val="0"/>
                  <w:tcMar>
                    <w:top w:w="0" w:type="dxa"/>
                    <w:left w:w="0" w:type="dxa"/>
                    <w:bottom w:w="0" w:type="dxa"/>
                    <w:right w:w="0" w:type="dxa"/>
                  </w:tcMar>
                  <w:vAlign w:val="center"/>
                </w:tcPr>
                <w:p w14:paraId="4F9A6C54">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192" w:type="pct"/>
                  <w:vMerge w:val="continue"/>
                  <w:noWrap w:val="0"/>
                  <w:tcMar>
                    <w:top w:w="0" w:type="dxa"/>
                    <w:left w:w="0" w:type="dxa"/>
                    <w:bottom w:w="0" w:type="dxa"/>
                    <w:right w:w="0" w:type="dxa"/>
                  </w:tcMar>
                  <w:vAlign w:val="center"/>
                </w:tcPr>
                <w:p w14:paraId="48F6A08B">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229" w:type="pct"/>
                  <w:vMerge w:val="continue"/>
                  <w:noWrap w:val="0"/>
                  <w:tcMar>
                    <w:top w:w="0" w:type="dxa"/>
                    <w:left w:w="0" w:type="dxa"/>
                    <w:bottom w:w="0" w:type="dxa"/>
                    <w:right w:w="0" w:type="dxa"/>
                  </w:tcMar>
                  <w:vAlign w:val="center"/>
                </w:tcPr>
                <w:p w14:paraId="20AC6839">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5FDF1C22">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北</w:t>
                  </w:r>
                </w:p>
              </w:tc>
              <w:tc>
                <w:tcPr>
                  <w:tcW w:w="261" w:type="pct"/>
                  <w:noWrap w:val="0"/>
                  <w:tcMar>
                    <w:top w:w="0" w:type="dxa"/>
                    <w:left w:w="0" w:type="dxa"/>
                    <w:bottom w:w="0" w:type="dxa"/>
                    <w:right w:w="0" w:type="dxa"/>
                  </w:tcMar>
                  <w:vAlign w:val="center"/>
                </w:tcPr>
                <w:p w14:paraId="2DECC3E9">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12</w:t>
                  </w:r>
                </w:p>
              </w:tc>
              <w:tc>
                <w:tcPr>
                  <w:tcW w:w="278" w:type="pct"/>
                  <w:noWrap w:val="0"/>
                  <w:tcMar>
                    <w:top w:w="0" w:type="dxa"/>
                    <w:left w:w="0" w:type="dxa"/>
                    <w:bottom w:w="0" w:type="dxa"/>
                    <w:right w:w="0" w:type="dxa"/>
                  </w:tcMar>
                  <w:vAlign w:val="center"/>
                </w:tcPr>
                <w:p w14:paraId="7EAAD8A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43.4</w:t>
                  </w:r>
                </w:p>
              </w:tc>
              <w:tc>
                <w:tcPr>
                  <w:tcW w:w="348" w:type="pct"/>
                  <w:vMerge w:val="continue"/>
                  <w:noWrap w:val="0"/>
                  <w:tcMar>
                    <w:top w:w="0" w:type="dxa"/>
                    <w:left w:w="0" w:type="dxa"/>
                    <w:bottom w:w="0" w:type="dxa"/>
                    <w:right w:w="0" w:type="dxa"/>
                  </w:tcMar>
                  <w:vAlign w:val="center"/>
                </w:tcPr>
                <w:p w14:paraId="26FB0D54">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3310130F">
                  <w:pPr>
                    <w:keepNext w:val="0"/>
                    <w:keepLines w:val="0"/>
                    <w:suppressLineNumbers w:val="0"/>
                    <w:snapToGrid w:val="0"/>
                    <w:spacing w:before="0" w:beforeAutospacing="0" w:after="0" w:afterAutospacing="0"/>
                    <w:ind w:left="0" w:right="0"/>
                    <w:jc w:val="center"/>
                    <w:rPr>
                      <w:rFonts w:ascii="Calibri" w:hAnsi="Calibri" w:eastAsia="宋体" w:cs="Times New Roman"/>
                      <w:color w:val="auto"/>
                      <w:szCs w:val="21"/>
                    </w:rPr>
                  </w:pPr>
                </w:p>
              </w:tc>
              <w:tc>
                <w:tcPr>
                  <w:tcW w:w="634" w:type="pct"/>
                  <w:noWrap w:val="0"/>
                  <w:tcMar>
                    <w:top w:w="0" w:type="dxa"/>
                    <w:left w:w="0" w:type="dxa"/>
                    <w:bottom w:w="0" w:type="dxa"/>
                    <w:right w:w="0" w:type="dxa"/>
                  </w:tcMar>
                  <w:vAlign w:val="center"/>
                </w:tcPr>
                <w:p w14:paraId="12F48B76">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17.4</w:t>
                  </w:r>
                </w:p>
              </w:tc>
              <w:tc>
                <w:tcPr>
                  <w:tcW w:w="389" w:type="pct"/>
                  <w:vMerge w:val="continue"/>
                  <w:noWrap w:val="0"/>
                  <w:tcMar>
                    <w:top w:w="0" w:type="dxa"/>
                    <w:left w:w="0" w:type="dxa"/>
                    <w:bottom w:w="0" w:type="dxa"/>
                    <w:right w:w="0" w:type="dxa"/>
                  </w:tcMar>
                  <w:vAlign w:val="center"/>
                </w:tcPr>
                <w:p w14:paraId="7B0EB28A">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3D2C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restart"/>
                  <w:noWrap w:val="0"/>
                  <w:tcMar>
                    <w:top w:w="0" w:type="dxa"/>
                    <w:left w:w="0" w:type="dxa"/>
                    <w:bottom w:w="0" w:type="dxa"/>
                    <w:right w:w="0" w:type="dxa"/>
                  </w:tcMar>
                  <w:vAlign w:val="center"/>
                </w:tcPr>
                <w:p w14:paraId="02F1A6AA">
                  <w:pPr>
                    <w:keepNext w:val="0"/>
                    <w:keepLines w:val="0"/>
                    <w:suppressLineNumbers w:val="0"/>
                    <w:spacing w:before="0" w:beforeAutospacing="0" w:after="0" w:afterAutospacing="0"/>
                    <w:ind w:left="0" w:right="0"/>
                    <w:contextualSpacing/>
                    <w:jc w:val="center"/>
                    <w:rPr>
                      <w:rFonts w:ascii="Calibri" w:hAnsi="Calibri" w:eastAsia="宋体" w:cs="Times New Roman"/>
                      <w:b/>
                      <w:bCs/>
                      <w:color w:val="auto"/>
                      <w:szCs w:val="21"/>
                    </w:rPr>
                  </w:pPr>
                  <w:r>
                    <w:rPr>
                      <w:rFonts w:hint="eastAsia" w:ascii="Times New Roman" w:hAnsi="Times New Roman" w:eastAsia="宋体" w:cs="Times New Roman"/>
                      <w:color w:val="auto"/>
                      <w:szCs w:val="21"/>
                    </w:rPr>
                    <w:t>产品堆场</w:t>
                  </w:r>
                </w:p>
              </w:tc>
              <w:tc>
                <w:tcPr>
                  <w:tcW w:w="615" w:type="pct"/>
                  <w:vMerge w:val="restart"/>
                  <w:noWrap w:val="0"/>
                  <w:tcMar>
                    <w:top w:w="0" w:type="dxa"/>
                    <w:left w:w="0" w:type="dxa"/>
                    <w:bottom w:w="0" w:type="dxa"/>
                    <w:right w:w="0" w:type="dxa"/>
                  </w:tcMar>
                  <w:vAlign w:val="center"/>
                </w:tcPr>
                <w:p w14:paraId="3F64E8FA">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打包机</w:t>
                  </w:r>
                </w:p>
              </w:tc>
              <w:tc>
                <w:tcPr>
                  <w:tcW w:w="250" w:type="pct"/>
                  <w:vMerge w:val="restart"/>
                  <w:noWrap w:val="0"/>
                  <w:tcMar>
                    <w:top w:w="0" w:type="dxa"/>
                    <w:left w:w="0" w:type="dxa"/>
                    <w:bottom w:w="0" w:type="dxa"/>
                    <w:right w:w="0" w:type="dxa"/>
                  </w:tcMar>
                  <w:vAlign w:val="center"/>
                </w:tcPr>
                <w:p w14:paraId="5BA26BAA">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1台</w:t>
                  </w:r>
                </w:p>
              </w:tc>
              <w:tc>
                <w:tcPr>
                  <w:tcW w:w="363" w:type="pct"/>
                  <w:vMerge w:val="restart"/>
                  <w:noWrap w:val="0"/>
                  <w:tcMar>
                    <w:top w:w="0" w:type="dxa"/>
                    <w:left w:w="0" w:type="dxa"/>
                    <w:bottom w:w="0" w:type="dxa"/>
                    <w:right w:w="0" w:type="dxa"/>
                  </w:tcMar>
                  <w:vAlign w:val="center"/>
                </w:tcPr>
                <w:p w14:paraId="7222AC9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70</w:t>
                  </w:r>
                </w:p>
              </w:tc>
              <w:tc>
                <w:tcPr>
                  <w:tcW w:w="323" w:type="pct"/>
                  <w:vMerge w:val="continue"/>
                  <w:noWrap w:val="0"/>
                  <w:tcMar>
                    <w:top w:w="0" w:type="dxa"/>
                    <w:left w:w="0" w:type="dxa"/>
                    <w:bottom w:w="0" w:type="dxa"/>
                    <w:right w:w="0" w:type="dxa"/>
                  </w:tcMar>
                  <w:vAlign w:val="center"/>
                </w:tcPr>
                <w:p w14:paraId="03D021DE">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p>
              </w:tc>
              <w:tc>
                <w:tcPr>
                  <w:tcW w:w="200" w:type="pct"/>
                  <w:vMerge w:val="restart"/>
                  <w:noWrap w:val="0"/>
                  <w:tcMar>
                    <w:top w:w="0" w:type="dxa"/>
                    <w:left w:w="0" w:type="dxa"/>
                    <w:bottom w:w="0" w:type="dxa"/>
                    <w:right w:w="0" w:type="dxa"/>
                  </w:tcMar>
                  <w:vAlign w:val="center"/>
                </w:tcPr>
                <w:p w14:paraId="406DF82B">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-20</w:t>
                  </w:r>
                </w:p>
              </w:tc>
              <w:tc>
                <w:tcPr>
                  <w:tcW w:w="192" w:type="pct"/>
                  <w:vMerge w:val="restart"/>
                  <w:noWrap w:val="0"/>
                  <w:tcMar>
                    <w:top w:w="0" w:type="dxa"/>
                    <w:left w:w="0" w:type="dxa"/>
                    <w:bottom w:w="0" w:type="dxa"/>
                    <w:right w:w="0" w:type="dxa"/>
                  </w:tcMar>
                  <w:vAlign w:val="center"/>
                </w:tcPr>
                <w:p w14:paraId="09B6AAFA">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-10</w:t>
                  </w:r>
                </w:p>
              </w:tc>
              <w:tc>
                <w:tcPr>
                  <w:tcW w:w="229" w:type="pct"/>
                  <w:vMerge w:val="restart"/>
                  <w:noWrap w:val="0"/>
                  <w:tcMar>
                    <w:top w:w="0" w:type="dxa"/>
                    <w:left w:w="0" w:type="dxa"/>
                    <w:bottom w:w="0" w:type="dxa"/>
                    <w:right w:w="0" w:type="dxa"/>
                  </w:tcMar>
                  <w:vAlign w:val="center"/>
                </w:tcPr>
                <w:p w14:paraId="7B119785">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r>
                    <w:rPr>
                      <w:rFonts w:hint="eastAsia" w:ascii="Calibri" w:hAnsi="Calibri" w:eastAsia="宋体" w:cs="Times New Roman"/>
                      <w:color w:val="auto"/>
                      <w:szCs w:val="21"/>
                    </w:rPr>
                    <w:t>1.0</w:t>
                  </w:r>
                </w:p>
              </w:tc>
              <w:tc>
                <w:tcPr>
                  <w:tcW w:w="181" w:type="pct"/>
                  <w:noWrap w:val="0"/>
                  <w:tcMar>
                    <w:top w:w="0" w:type="dxa"/>
                    <w:left w:w="0" w:type="dxa"/>
                    <w:bottom w:w="0" w:type="dxa"/>
                    <w:right w:w="0" w:type="dxa"/>
                  </w:tcMar>
                  <w:vAlign w:val="center"/>
                </w:tcPr>
                <w:p w14:paraId="6484F33B">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东</w:t>
                  </w:r>
                </w:p>
              </w:tc>
              <w:tc>
                <w:tcPr>
                  <w:tcW w:w="261" w:type="pct"/>
                  <w:noWrap w:val="0"/>
                  <w:tcMar>
                    <w:top w:w="0" w:type="dxa"/>
                    <w:left w:w="0" w:type="dxa"/>
                    <w:bottom w:w="0" w:type="dxa"/>
                    <w:right w:w="0" w:type="dxa"/>
                  </w:tcMar>
                  <w:vAlign w:val="center"/>
                </w:tcPr>
                <w:p w14:paraId="3DD72286">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30</w:t>
                  </w:r>
                </w:p>
              </w:tc>
              <w:tc>
                <w:tcPr>
                  <w:tcW w:w="278" w:type="pct"/>
                  <w:noWrap w:val="0"/>
                  <w:tcMar>
                    <w:top w:w="0" w:type="dxa"/>
                    <w:left w:w="0" w:type="dxa"/>
                    <w:bottom w:w="0" w:type="dxa"/>
                    <w:right w:w="0" w:type="dxa"/>
                  </w:tcMar>
                  <w:vAlign w:val="center"/>
                </w:tcPr>
                <w:p w14:paraId="24CD2D8B">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40.5</w:t>
                  </w:r>
                </w:p>
              </w:tc>
              <w:tc>
                <w:tcPr>
                  <w:tcW w:w="348" w:type="pct"/>
                  <w:vMerge w:val="restart"/>
                  <w:noWrap w:val="0"/>
                  <w:tcMar>
                    <w:top w:w="0" w:type="dxa"/>
                    <w:left w:w="0" w:type="dxa"/>
                    <w:bottom w:w="0" w:type="dxa"/>
                    <w:right w:w="0" w:type="dxa"/>
                  </w:tcMar>
                  <w:vAlign w:val="center"/>
                </w:tcPr>
                <w:p w14:paraId="0795EA2F">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昼间</w:t>
                  </w:r>
                </w:p>
              </w:tc>
              <w:tc>
                <w:tcPr>
                  <w:tcW w:w="391" w:type="pct"/>
                  <w:vMerge w:val="continue"/>
                  <w:noWrap w:val="0"/>
                  <w:tcMar>
                    <w:top w:w="0" w:type="dxa"/>
                    <w:left w:w="0" w:type="dxa"/>
                    <w:bottom w:w="0" w:type="dxa"/>
                    <w:right w:w="0" w:type="dxa"/>
                  </w:tcMar>
                  <w:vAlign w:val="center"/>
                </w:tcPr>
                <w:p w14:paraId="62FC6FFA">
                  <w:pPr>
                    <w:keepNext w:val="0"/>
                    <w:keepLines w:val="0"/>
                    <w:suppressLineNumbers w:val="0"/>
                    <w:snapToGrid w:val="0"/>
                    <w:spacing w:before="0" w:beforeAutospacing="0" w:after="0" w:afterAutospacing="0"/>
                    <w:ind w:left="0" w:right="0"/>
                    <w:jc w:val="center"/>
                    <w:rPr>
                      <w:rFonts w:ascii="Calibri" w:hAnsi="Calibri" w:eastAsia="宋体" w:cs="Times New Roman"/>
                      <w:color w:val="auto"/>
                      <w:szCs w:val="21"/>
                    </w:rPr>
                  </w:pPr>
                </w:p>
              </w:tc>
              <w:tc>
                <w:tcPr>
                  <w:tcW w:w="634" w:type="pct"/>
                  <w:noWrap w:val="0"/>
                  <w:tcMar>
                    <w:top w:w="0" w:type="dxa"/>
                    <w:left w:w="0" w:type="dxa"/>
                    <w:bottom w:w="0" w:type="dxa"/>
                    <w:right w:w="0" w:type="dxa"/>
                  </w:tcMar>
                  <w:vAlign w:val="center"/>
                </w:tcPr>
                <w:p w14:paraId="296BA68A">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14.5</w:t>
                  </w:r>
                </w:p>
              </w:tc>
              <w:tc>
                <w:tcPr>
                  <w:tcW w:w="389" w:type="pct"/>
                  <w:vMerge w:val="continue"/>
                  <w:noWrap w:val="0"/>
                  <w:tcMar>
                    <w:top w:w="0" w:type="dxa"/>
                    <w:left w:w="0" w:type="dxa"/>
                    <w:bottom w:w="0" w:type="dxa"/>
                    <w:right w:w="0" w:type="dxa"/>
                  </w:tcMar>
                  <w:vAlign w:val="center"/>
                </w:tcPr>
                <w:p w14:paraId="7B515C28">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1E59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63E8F930">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178F5090">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4874E6B3">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5CD91DCA">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1E0E11D3">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p>
              </w:tc>
              <w:tc>
                <w:tcPr>
                  <w:tcW w:w="200" w:type="pct"/>
                  <w:vMerge w:val="continue"/>
                  <w:noWrap w:val="0"/>
                  <w:tcMar>
                    <w:top w:w="0" w:type="dxa"/>
                    <w:left w:w="0" w:type="dxa"/>
                    <w:bottom w:w="0" w:type="dxa"/>
                    <w:right w:w="0" w:type="dxa"/>
                  </w:tcMar>
                  <w:vAlign w:val="center"/>
                </w:tcPr>
                <w:p w14:paraId="16C59654">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192" w:type="pct"/>
                  <w:vMerge w:val="continue"/>
                  <w:noWrap w:val="0"/>
                  <w:tcMar>
                    <w:top w:w="0" w:type="dxa"/>
                    <w:left w:w="0" w:type="dxa"/>
                    <w:bottom w:w="0" w:type="dxa"/>
                    <w:right w:w="0" w:type="dxa"/>
                  </w:tcMar>
                  <w:vAlign w:val="center"/>
                </w:tcPr>
                <w:p w14:paraId="5B8B5BA2">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229" w:type="pct"/>
                  <w:vMerge w:val="continue"/>
                  <w:noWrap w:val="0"/>
                  <w:tcMar>
                    <w:top w:w="0" w:type="dxa"/>
                    <w:left w:w="0" w:type="dxa"/>
                    <w:bottom w:w="0" w:type="dxa"/>
                    <w:right w:w="0" w:type="dxa"/>
                  </w:tcMar>
                  <w:vAlign w:val="center"/>
                </w:tcPr>
                <w:p w14:paraId="6BD33B38">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4F4D3428">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南</w:t>
                  </w:r>
                </w:p>
              </w:tc>
              <w:tc>
                <w:tcPr>
                  <w:tcW w:w="261" w:type="pct"/>
                  <w:noWrap w:val="0"/>
                  <w:tcMar>
                    <w:top w:w="0" w:type="dxa"/>
                    <w:left w:w="0" w:type="dxa"/>
                    <w:bottom w:w="0" w:type="dxa"/>
                    <w:right w:w="0" w:type="dxa"/>
                  </w:tcMar>
                  <w:vAlign w:val="center"/>
                </w:tcPr>
                <w:p w14:paraId="45DF572A">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10</w:t>
                  </w:r>
                </w:p>
              </w:tc>
              <w:tc>
                <w:tcPr>
                  <w:tcW w:w="278" w:type="pct"/>
                  <w:noWrap w:val="0"/>
                  <w:tcMar>
                    <w:top w:w="0" w:type="dxa"/>
                    <w:left w:w="0" w:type="dxa"/>
                    <w:bottom w:w="0" w:type="dxa"/>
                    <w:right w:w="0" w:type="dxa"/>
                  </w:tcMar>
                  <w:vAlign w:val="center"/>
                </w:tcPr>
                <w:p w14:paraId="540CF059">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50.0</w:t>
                  </w:r>
                </w:p>
              </w:tc>
              <w:tc>
                <w:tcPr>
                  <w:tcW w:w="348" w:type="pct"/>
                  <w:vMerge w:val="continue"/>
                  <w:noWrap w:val="0"/>
                  <w:tcMar>
                    <w:top w:w="0" w:type="dxa"/>
                    <w:left w:w="0" w:type="dxa"/>
                    <w:bottom w:w="0" w:type="dxa"/>
                    <w:right w:w="0" w:type="dxa"/>
                  </w:tcMar>
                  <w:vAlign w:val="center"/>
                </w:tcPr>
                <w:p w14:paraId="54A5027D">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6605173C">
                  <w:pPr>
                    <w:keepNext w:val="0"/>
                    <w:keepLines w:val="0"/>
                    <w:suppressLineNumbers w:val="0"/>
                    <w:snapToGrid w:val="0"/>
                    <w:spacing w:before="0" w:beforeAutospacing="0" w:after="0" w:afterAutospacing="0"/>
                    <w:ind w:left="0" w:right="0"/>
                    <w:jc w:val="center"/>
                    <w:rPr>
                      <w:rFonts w:ascii="Calibri" w:hAnsi="Calibri" w:eastAsia="宋体" w:cs="Times New Roman"/>
                      <w:color w:val="auto"/>
                      <w:szCs w:val="21"/>
                    </w:rPr>
                  </w:pPr>
                </w:p>
              </w:tc>
              <w:tc>
                <w:tcPr>
                  <w:tcW w:w="634" w:type="pct"/>
                  <w:noWrap w:val="0"/>
                  <w:tcMar>
                    <w:top w:w="0" w:type="dxa"/>
                    <w:left w:w="0" w:type="dxa"/>
                    <w:bottom w:w="0" w:type="dxa"/>
                    <w:right w:w="0" w:type="dxa"/>
                  </w:tcMar>
                  <w:vAlign w:val="center"/>
                </w:tcPr>
                <w:p w14:paraId="642B2DEA">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24.0</w:t>
                  </w:r>
                </w:p>
              </w:tc>
              <w:tc>
                <w:tcPr>
                  <w:tcW w:w="389" w:type="pct"/>
                  <w:vMerge w:val="continue"/>
                  <w:noWrap w:val="0"/>
                  <w:tcMar>
                    <w:top w:w="0" w:type="dxa"/>
                    <w:left w:w="0" w:type="dxa"/>
                    <w:bottom w:w="0" w:type="dxa"/>
                    <w:right w:w="0" w:type="dxa"/>
                  </w:tcMar>
                  <w:vAlign w:val="center"/>
                </w:tcPr>
                <w:p w14:paraId="19FF4EFE">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19BB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08F22B76">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3AC023D4">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25F0EECB">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052F6148">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5BAB24EC">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p>
              </w:tc>
              <w:tc>
                <w:tcPr>
                  <w:tcW w:w="200" w:type="pct"/>
                  <w:vMerge w:val="continue"/>
                  <w:noWrap w:val="0"/>
                  <w:tcMar>
                    <w:top w:w="0" w:type="dxa"/>
                    <w:left w:w="0" w:type="dxa"/>
                    <w:bottom w:w="0" w:type="dxa"/>
                    <w:right w:w="0" w:type="dxa"/>
                  </w:tcMar>
                  <w:vAlign w:val="center"/>
                </w:tcPr>
                <w:p w14:paraId="19A7D0BC">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192" w:type="pct"/>
                  <w:vMerge w:val="continue"/>
                  <w:noWrap w:val="0"/>
                  <w:tcMar>
                    <w:top w:w="0" w:type="dxa"/>
                    <w:left w:w="0" w:type="dxa"/>
                    <w:bottom w:w="0" w:type="dxa"/>
                    <w:right w:w="0" w:type="dxa"/>
                  </w:tcMar>
                  <w:vAlign w:val="center"/>
                </w:tcPr>
                <w:p w14:paraId="3E2A3B69">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229" w:type="pct"/>
                  <w:vMerge w:val="continue"/>
                  <w:noWrap w:val="0"/>
                  <w:tcMar>
                    <w:top w:w="0" w:type="dxa"/>
                    <w:left w:w="0" w:type="dxa"/>
                    <w:bottom w:w="0" w:type="dxa"/>
                    <w:right w:w="0" w:type="dxa"/>
                  </w:tcMar>
                  <w:vAlign w:val="center"/>
                </w:tcPr>
                <w:p w14:paraId="2F99CDC4">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53257CB9">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西</w:t>
                  </w:r>
                </w:p>
              </w:tc>
              <w:tc>
                <w:tcPr>
                  <w:tcW w:w="261" w:type="pct"/>
                  <w:noWrap w:val="0"/>
                  <w:tcMar>
                    <w:top w:w="0" w:type="dxa"/>
                    <w:left w:w="0" w:type="dxa"/>
                    <w:bottom w:w="0" w:type="dxa"/>
                    <w:right w:w="0" w:type="dxa"/>
                  </w:tcMar>
                  <w:vAlign w:val="center"/>
                </w:tcPr>
                <w:p w14:paraId="6DCBB139">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8</w:t>
                  </w:r>
                </w:p>
              </w:tc>
              <w:tc>
                <w:tcPr>
                  <w:tcW w:w="278" w:type="pct"/>
                  <w:noWrap w:val="0"/>
                  <w:tcMar>
                    <w:top w:w="0" w:type="dxa"/>
                    <w:left w:w="0" w:type="dxa"/>
                    <w:bottom w:w="0" w:type="dxa"/>
                    <w:right w:w="0" w:type="dxa"/>
                  </w:tcMar>
                  <w:vAlign w:val="center"/>
                </w:tcPr>
                <w:p w14:paraId="79E73D3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51.9</w:t>
                  </w:r>
                </w:p>
              </w:tc>
              <w:tc>
                <w:tcPr>
                  <w:tcW w:w="348" w:type="pct"/>
                  <w:vMerge w:val="continue"/>
                  <w:noWrap w:val="0"/>
                  <w:tcMar>
                    <w:top w:w="0" w:type="dxa"/>
                    <w:left w:w="0" w:type="dxa"/>
                    <w:bottom w:w="0" w:type="dxa"/>
                    <w:right w:w="0" w:type="dxa"/>
                  </w:tcMar>
                  <w:vAlign w:val="center"/>
                </w:tcPr>
                <w:p w14:paraId="00469616">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7477E8BC">
                  <w:pPr>
                    <w:keepNext w:val="0"/>
                    <w:keepLines w:val="0"/>
                    <w:suppressLineNumbers w:val="0"/>
                    <w:snapToGrid w:val="0"/>
                    <w:spacing w:before="0" w:beforeAutospacing="0" w:after="0" w:afterAutospacing="0"/>
                    <w:ind w:left="0" w:right="0"/>
                    <w:jc w:val="center"/>
                    <w:rPr>
                      <w:rFonts w:ascii="Calibri" w:hAnsi="Calibri" w:eastAsia="宋体" w:cs="Times New Roman"/>
                      <w:color w:val="auto"/>
                      <w:szCs w:val="21"/>
                    </w:rPr>
                  </w:pPr>
                </w:p>
              </w:tc>
              <w:tc>
                <w:tcPr>
                  <w:tcW w:w="634" w:type="pct"/>
                  <w:noWrap w:val="0"/>
                  <w:tcMar>
                    <w:top w:w="0" w:type="dxa"/>
                    <w:left w:w="0" w:type="dxa"/>
                    <w:bottom w:w="0" w:type="dxa"/>
                    <w:right w:w="0" w:type="dxa"/>
                  </w:tcMar>
                  <w:vAlign w:val="center"/>
                </w:tcPr>
                <w:p w14:paraId="344D135D">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25.9</w:t>
                  </w:r>
                </w:p>
              </w:tc>
              <w:tc>
                <w:tcPr>
                  <w:tcW w:w="389" w:type="pct"/>
                  <w:vMerge w:val="continue"/>
                  <w:noWrap w:val="0"/>
                  <w:tcMar>
                    <w:top w:w="0" w:type="dxa"/>
                    <w:left w:w="0" w:type="dxa"/>
                    <w:bottom w:w="0" w:type="dxa"/>
                    <w:right w:w="0" w:type="dxa"/>
                  </w:tcMar>
                  <w:vAlign w:val="center"/>
                </w:tcPr>
                <w:p w14:paraId="375EF1DF">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r w14:paraId="3BEB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 w:type="pct"/>
                  <w:vMerge w:val="continue"/>
                  <w:noWrap w:val="0"/>
                  <w:tcMar>
                    <w:top w:w="0" w:type="dxa"/>
                    <w:left w:w="0" w:type="dxa"/>
                    <w:bottom w:w="0" w:type="dxa"/>
                    <w:right w:w="0" w:type="dxa"/>
                  </w:tcMar>
                  <w:vAlign w:val="center"/>
                </w:tcPr>
                <w:p w14:paraId="07D108E6">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615" w:type="pct"/>
                  <w:vMerge w:val="continue"/>
                  <w:noWrap w:val="0"/>
                  <w:tcMar>
                    <w:top w:w="0" w:type="dxa"/>
                    <w:left w:w="0" w:type="dxa"/>
                    <w:bottom w:w="0" w:type="dxa"/>
                    <w:right w:w="0" w:type="dxa"/>
                  </w:tcMar>
                  <w:vAlign w:val="center"/>
                </w:tcPr>
                <w:p w14:paraId="1A476FB8">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rPr>
                  </w:pPr>
                </w:p>
              </w:tc>
              <w:tc>
                <w:tcPr>
                  <w:tcW w:w="250" w:type="pct"/>
                  <w:vMerge w:val="continue"/>
                  <w:noWrap w:val="0"/>
                  <w:tcMar>
                    <w:top w:w="0" w:type="dxa"/>
                    <w:left w:w="0" w:type="dxa"/>
                    <w:bottom w:w="0" w:type="dxa"/>
                    <w:right w:w="0" w:type="dxa"/>
                  </w:tcMar>
                  <w:vAlign w:val="center"/>
                </w:tcPr>
                <w:p w14:paraId="1B7E80CC">
                  <w:pPr>
                    <w:pStyle w:val="65"/>
                    <w:keepNext w:val="0"/>
                    <w:keepLines w:val="0"/>
                    <w:suppressLineNumbers w:val="0"/>
                    <w:autoSpaceDE/>
                    <w:autoSpaceDN/>
                    <w:snapToGrid w:val="0"/>
                    <w:spacing w:before="0" w:beforeAutospacing="0" w:after="0" w:afterAutospacing="0"/>
                    <w:ind w:left="0" w:right="0"/>
                    <w:contextualSpacing/>
                    <w:rPr>
                      <w:rFonts w:hint="eastAsia" w:ascii="Times New Roman" w:hAnsi="Times New Roman" w:eastAsia="宋体" w:cs="Times New Roman"/>
                      <w:color w:val="auto"/>
                      <w:sz w:val="21"/>
                      <w:szCs w:val="21"/>
                    </w:rPr>
                  </w:pPr>
                </w:p>
              </w:tc>
              <w:tc>
                <w:tcPr>
                  <w:tcW w:w="363" w:type="pct"/>
                  <w:vMerge w:val="continue"/>
                  <w:noWrap w:val="0"/>
                  <w:tcMar>
                    <w:top w:w="0" w:type="dxa"/>
                    <w:left w:w="0" w:type="dxa"/>
                    <w:bottom w:w="0" w:type="dxa"/>
                    <w:right w:w="0" w:type="dxa"/>
                  </w:tcMar>
                  <w:vAlign w:val="center"/>
                </w:tcPr>
                <w:p w14:paraId="5D362C8A">
                  <w:pPr>
                    <w:keepNext w:val="0"/>
                    <w:keepLines w:val="0"/>
                    <w:suppressLineNumbers w:val="0"/>
                    <w:spacing w:before="0" w:beforeAutospacing="0" w:after="0" w:afterAutospacing="0"/>
                    <w:ind w:left="0" w:right="0"/>
                    <w:jc w:val="center"/>
                    <w:rPr>
                      <w:rFonts w:hint="eastAsia" w:ascii="Calibri" w:hAnsi="Calibri" w:eastAsia="宋体" w:cs="Times New Roman"/>
                      <w:color w:val="auto"/>
                      <w:szCs w:val="21"/>
                    </w:rPr>
                  </w:pPr>
                </w:p>
              </w:tc>
              <w:tc>
                <w:tcPr>
                  <w:tcW w:w="323" w:type="pct"/>
                  <w:vMerge w:val="continue"/>
                  <w:noWrap w:val="0"/>
                  <w:tcMar>
                    <w:top w:w="0" w:type="dxa"/>
                    <w:left w:w="0" w:type="dxa"/>
                    <w:bottom w:w="0" w:type="dxa"/>
                    <w:right w:w="0" w:type="dxa"/>
                  </w:tcMar>
                  <w:vAlign w:val="center"/>
                </w:tcPr>
                <w:p w14:paraId="0D84E836">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p>
              </w:tc>
              <w:tc>
                <w:tcPr>
                  <w:tcW w:w="200" w:type="pct"/>
                  <w:vMerge w:val="continue"/>
                  <w:noWrap w:val="0"/>
                  <w:tcMar>
                    <w:top w:w="0" w:type="dxa"/>
                    <w:left w:w="0" w:type="dxa"/>
                    <w:bottom w:w="0" w:type="dxa"/>
                    <w:right w:w="0" w:type="dxa"/>
                  </w:tcMar>
                  <w:vAlign w:val="center"/>
                </w:tcPr>
                <w:p w14:paraId="542C4356">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192" w:type="pct"/>
                  <w:vMerge w:val="continue"/>
                  <w:noWrap w:val="0"/>
                  <w:tcMar>
                    <w:top w:w="0" w:type="dxa"/>
                    <w:left w:w="0" w:type="dxa"/>
                    <w:bottom w:w="0" w:type="dxa"/>
                    <w:right w:w="0" w:type="dxa"/>
                  </w:tcMar>
                  <w:vAlign w:val="center"/>
                </w:tcPr>
                <w:p w14:paraId="3A81746C">
                  <w:pPr>
                    <w:pStyle w:val="2"/>
                    <w:keepNext w:val="0"/>
                    <w:keepLines w:val="0"/>
                    <w:suppressLineNumbers w:val="0"/>
                    <w:spacing w:beforeAutospacing="0" w:afterAutospacing="0" w:line="240" w:lineRule="auto"/>
                    <w:ind w:right="0"/>
                    <w:jc w:val="center"/>
                    <w:outlineLvl w:val="0"/>
                    <w:rPr>
                      <w:rFonts w:hint="eastAsia" w:ascii="Calibri" w:hAnsi="Calibri" w:cs="Times New Roman"/>
                      <w:b w:val="0"/>
                      <w:bCs w:val="0"/>
                      <w:color w:val="auto"/>
                      <w:sz w:val="21"/>
                      <w:szCs w:val="21"/>
                    </w:rPr>
                  </w:pPr>
                </w:p>
              </w:tc>
              <w:tc>
                <w:tcPr>
                  <w:tcW w:w="229" w:type="pct"/>
                  <w:vMerge w:val="continue"/>
                  <w:noWrap w:val="0"/>
                  <w:tcMar>
                    <w:top w:w="0" w:type="dxa"/>
                    <w:left w:w="0" w:type="dxa"/>
                    <w:bottom w:w="0" w:type="dxa"/>
                    <w:right w:w="0" w:type="dxa"/>
                  </w:tcMar>
                  <w:vAlign w:val="center"/>
                </w:tcPr>
                <w:p w14:paraId="0EE5FBA8">
                  <w:pPr>
                    <w:keepNext w:val="0"/>
                    <w:keepLines w:val="0"/>
                    <w:suppressLineNumbers w:val="0"/>
                    <w:spacing w:before="0" w:beforeAutospacing="0" w:after="0" w:afterAutospacing="0"/>
                    <w:ind w:left="0" w:right="0"/>
                    <w:jc w:val="center"/>
                    <w:outlineLvl w:val="0"/>
                    <w:rPr>
                      <w:rFonts w:hint="eastAsia" w:ascii="Calibri" w:hAnsi="Calibri" w:eastAsia="宋体" w:cs="Times New Roman"/>
                      <w:color w:val="auto"/>
                      <w:szCs w:val="21"/>
                    </w:rPr>
                  </w:pPr>
                </w:p>
              </w:tc>
              <w:tc>
                <w:tcPr>
                  <w:tcW w:w="181" w:type="pct"/>
                  <w:noWrap w:val="0"/>
                  <w:tcMar>
                    <w:top w:w="0" w:type="dxa"/>
                    <w:left w:w="0" w:type="dxa"/>
                    <w:bottom w:w="0" w:type="dxa"/>
                    <w:right w:w="0" w:type="dxa"/>
                  </w:tcMar>
                  <w:vAlign w:val="center"/>
                </w:tcPr>
                <w:p w14:paraId="272324A4">
                  <w:pPr>
                    <w:pStyle w:val="2"/>
                    <w:keepNext w:val="0"/>
                    <w:keepLines w:val="0"/>
                    <w:suppressLineNumbers w:val="0"/>
                    <w:spacing w:beforeAutospacing="0" w:afterAutospacing="0" w:line="240" w:lineRule="auto"/>
                    <w:ind w:right="0"/>
                    <w:jc w:val="center"/>
                    <w:outlineLvl w:val="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北</w:t>
                  </w:r>
                </w:p>
              </w:tc>
              <w:tc>
                <w:tcPr>
                  <w:tcW w:w="261" w:type="pct"/>
                  <w:noWrap w:val="0"/>
                  <w:tcMar>
                    <w:top w:w="0" w:type="dxa"/>
                    <w:left w:w="0" w:type="dxa"/>
                    <w:bottom w:w="0" w:type="dxa"/>
                    <w:right w:w="0" w:type="dxa"/>
                  </w:tcMar>
                  <w:vAlign w:val="center"/>
                </w:tcPr>
                <w:p w14:paraId="4805A4ED">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10</w:t>
                  </w:r>
                </w:p>
              </w:tc>
              <w:tc>
                <w:tcPr>
                  <w:tcW w:w="278" w:type="pct"/>
                  <w:noWrap w:val="0"/>
                  <w:tcMar>
                    <w:top w:w="0" w:type="dxa"/>
                    <w:left w:w="0" w:type="dxa"/>
                    <w:bottom w:w="0" w:type="dxa"/>
                    <w:right w:w="0" w:type="dxa"/>
                  </w:tcMar>
                  <w:vAlign w:val="center"/>
                </w:tcPr>
                <w:p w14:paraId="1EB1720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50.0</w:t>
                  </w:r>
                </w:p>
              </w:tc>
              <w:tc>
                <w:tcPr>
                  <w:tcW w:w="348" w:type="pct"/>
                  <w:vMerge w:val="continue"/>
                  <w:noWrap w:val="0"/>
                  <w:tcMar>
                    <w:top w:w="0" w:type="dxa"/>
                    <w:left w:w="0" w:type="dxa"/>
                    <w:bottom w:w="0" w:type="dxa"/>
                    <w:right w:w="0" w:type="dxa"/>
                  </w:tcMar>
                  <w:vAlign w:val="center"/>
                </w:tcPr>
                <w:p w14:paraId="3FB2ED19">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Cs w:val="21"/>
                    </w:rPr>
                  </w:pPr>
                </w:p>
              </w:tc>
              <w:tc>
                <w:tcPr>
                  <w:tcW w:w="391" w:type="pct"/>
                  <w:vMerge w:val="continue"/>
                  <w:noWrap w:val="0"/>
                  <w:tcMar>
                    <w:top w:w="0" w:type="dxa"/>
                    <w:left w:w="0" w:type="dxa"/>
                    <w:bottom w:w="0" w:type="dxa"/>
                    <w:right w:w="0" w:type="dxa"/>
                  </w:tcMar>
                  <w:vAlign w:val="center"/>
                </w:tcPr>
                <w:p w14:paraId="341E730C">
                  <w:pPr>
                    <w:keepNext w:val="0"/>
                    <w:keepLines w:val="0"/>
                    <w:suppressLineNumbers w:val="0"/>
                    <w:snapToGrid w:val="0"/>
                    <w:spacing w:before="0" w:beforeAutospacing="0" w:after="0" w:afterAutospacing="0"/>
                    <w:ind w:left="0" w:right="0"/>
                    <w:jc w:val="center"/>
                    <w:rPr>
                      <w:rFonts w:ascii="Calibri" w:hAnsi="Calibri" w:eastAsia="宋体" w:cs="Times New Roman"/>
                      <w:color w:val="auto"/>
                      <w:szCs w:val="21"/>
                    </w:rPr>
                  </w:pPr>
                </w:p>
              </w:tc>
              <w:tc>
                <w:tcPr>
                  <w:tcW w:w="634" w:type="pct"/>
                  <w:noWrap w:val="0"/>
                  <w:tcMar>
                    <w:top w:w="0" w:type="dxa"/>
                    <w:left w:w="0" w:type="dxa"/>
                    <w:bottom w:w="0" w:type="dxa"/>
                    <w:right w:w="0" w:type="dxa"/>
                  </w:tcMar>
                  <w:vAlign w:val="center"/>
                </w:tcPr>
                <w:p w14:paraId="19A868D8">
                  <w:pPr>
                    <w:pStyle w:val="2"/>
                    <w:keepNext w:val="0"/>
                    <w:keepLines w:val="0"/>
                    <w:suppressLineNumbers w:val="0"/>
                    <w:spacing w:beforeAutospacing="0" w:afterAutospacing="0" w:line="240" w:lineRule="auto"/>
                    <w:ind w:right="0"/>
                    <w:jc w:val="center"/>
                    <w:outlineLvl w:val="0"/>
                    <w:rPr>
                      <w:rFonts w:ascii="Calibri" w:hAnsi="Calibri" w:cs="Times New Roman"/>
                      <w:b w:val="0"/>
                      <w:bCs w:val="0"/>
                      <w:color w:val="auto"/>
                      <w:sz w:val="21"/>
                      <w:szCs w:val="21"/>
                    </w:rPr>
                  </w:pPr>
                  <w:r>
                    <w:rPr>
                      <w:rFonts w:hint="eastAsia" w:ascii="Calibri" w:hAnsi="Calibri" w:cs="Times New Roman"/>
                      <w:b w:val="0"/>
                      <w:bCs w:val="0"/>
                      <w:color w:val="auto"/>
                      <w:sz w:val="21"/>
                      <w:szCs w:val="21"/>
                    </w:rPr>
                    <w:t>24.0</w:t>
                  </w:r>
                </w:p>
              </w:tc>
              <w:tc>
                <w:tcPr>
                  <w:tcW w:w="389" w:type="pct"/>
                  <w:vMerge w:val="continue"/>
                  <w:noWrap w:val="0"/>
                  <w:tcMar>
                    <w:top w:w="0" w:type="dxa"/>
                    <w:left w:w="0" w:type="dxa"/>
                    <w:bottom w:w="0" w:type="dxa"/>
                    <w:right w:w="0" w:type="dxa"/>
                  </w:tcMar>
                  <w:vAlign w:val="center"/>
                </w:tcPr>
                <w:p w14:paraId="751CAECF">
                  <w:pPr>
                    <w:keepNext w:val="0"/>
                    <w:keepLines w:val="0"/>
                    <w:suppressLineNumbers w:val="0"/>
                    <w:spacing w:before="0" w:beforeAutospacing="0" w:after="0" w:afterAutospacing="0"/>
                    <w:ind w:left="0" w:right="0"/>
                    <w:jc w:val="center"/>
                    <w:outlineLvl w:val="0"/>
                    <w:rPr>
                      <w:rFonts w:ascii="Calibri" w:hAnsi="Calibri" w:eastAsia="宋体" w:cs="Times New Roman"/>
                      <w:color w:val="auto"/>
                      <w:szCs w:val="21"/>
                    </w:rPr>
                  </w:pPr>
                </w:p>
              </w:tc>
            </w:tr>
          </w:tbl>
          <w:p w14:paraId="209B8194">
            <w:pPr>
              <w:pStyle w:val="6"/>
              <w:keepNext w:val="0"/>
              <w:keepLines w:val="0"/>
              <w:suppressLineNumbers w:val="0"/>
              <w:spacing w:before="0" w:beforeAutospacing="0" w:after="0" w:afterAutospacing="0"/>
              <w:ind w:left="0" w:right="0"/>
              <w:jc w:val="left"/>
              <w:rPr>
                <w:rFonts w:hint="eastAsia" w:ascii="Calibri" w:hAnsi="Calibri" w:eastAsia="宋体" w:cs="Times New Roman"/>
                <w:b/>
                <w:bCs/>
                <w:color w:val="auto"/>
                <w:spacing w:val="12"/>
                <w:sz w:val="18"/>
                <w:szCs w:val="18"/>
              </w:rPr>
            </w:pPr>
            <w:r>
              <w:rPr>
                <w:rFonts w:hint="eastAsia" w:ascii="Calibri" w:hAnsi="Calibri" w:eastAsia="宋体" w:cs="Times New Roman"/>
                <w:b/>
                <w:bCs/>
                <w:color w:val="auto"/>
                <w:spacing w:val="12"/>
                <w:sz w:val="18"/>
                <w:szCs w:val="18"/>
              </w:rPr>
              <w:t>注：表中坐标以厂界中心（</w:t>
            </w:r>
            <w:r>
              <w:rPr>
                <w:rFonts w:ascii="Times New Roman" w:hAnsi="Times New Roman" w:eastAsia="宋体" w:cs="Times New Roman"/>
                <w:b/>
                <w:bCs/>
                <w:color w:val="auto"/>
                <w:spacing w:val="12"/>
                <w:sz w:val="18"/>
                <w:szCs w:val="18"/>
              </w:rPr>
              <w:t>东经108°17′10.377″，北纬21°38′17.504″）</w:t>
            </w:r>
            <w:r>
              <w:rPr>
                <w:rFonts w:hint="eastAsia" w:ascii="Calibri" w:hAnsi="Calibri" w:eastAsia="宋体" w:cs="Times New Roman"/>
                <w:b/>
                <w:bCs/>
                <w:color w:val="auto"/>
                <w:spacing w:val="12"/>
                <w:sz w:val="18"/>
                <w:szCs w:val="18"/>
              </w:rPr>
              <w:t>为坐标原点，正东向为X轴正方向，正北向为Y轴正方向。</w:t>
            </w:r>
          </w:p>
          <w:p w14:paraId="355B090C">
            <w:pPr>
              <w:keepNext w:val="0"/>
              <w:keepLines w:val="0"/>
              <w:suppressLineNumbers w:val="0"/>
              <w:spacing w:before="0" w:beforeAutospacing="0" w:after="0" w:afterAutospacing="0" w:line="360" w:lineRule="auto"/>
              <w:ind w:left="0" w:right="0" w:firstLine="482"/>
              <w:rPr>
                <w:rFonts w:ascii="Calibri" w:hAnsi="Calibri" w:eastAsia="宋体" w:cs="Times New Roman"/>
                <w:b/>
                <w:bCs/>
                <w:color w:val="auto"/>
                <w:sz w:val="24"/>
              </w:rPr>
            </w:pPr>
            <w:r>
              <w:rPr>
                <w:rFonts w:hint="eastAsia" w:ascii="Calibri" w:hAnsi="Calibri" w:eastAsia="宋体" w:cs="Times New Roman"/>
                <w:b/>
                <w:bCs/>
                <w:color w:val="auto"/>
                <w:sz w:val="24"/>
              </w:rPr>
              <w:t>3.2影响分析</w:t>
            </w:r>
          </w:p>
          <w:p w14:paraId="70E7ED2A">
            <w:pPr>
              <w:keepNext w:val="0"/>
              <w:keepLines w:val="0"/>
              <w:suppressLineNumbers w:val="0"/>
              <w:adjustRightInd w:val="0"/>
              <w:snapToGrid w:val="0"/>
              <w:spacing w:before="0" w:beforeAutospacing="0" w:after="0" w:afterAutospacing="0" w:line="360" w:lineRule="auto"/>
              <w:ind w:left="0" w:right="0" w:firstLine="482" w:firstLineChars="200"/>
              <w:rPr>
                <w:rFonts w:ascii="Calibri" w:hAnsi="Calibri" w:eastAsia="宋体" w:cs="Times New Roman"/>
                <w:b/>
                <w:bCs/>
                <w:color w:val="auto"/>
                <w:sz w:val="24"/>
              </w:rPr>
            </w:pPr>
            <w:r>
              <w:rPr>
                <w:rFonts w:hint="eastAsia" w:ascii="Calibri" w:hAnsi="Calibri" w:eastAsia="宋体" w:cs="Times New Roman"/>
                <w:b/>
                <w:bCs/>
                <w:color w:val="auto"/>
                <w:sz w:val="24"/>
              </w:rPr>
              <w:t>1、预测模式</w:t>
            </w:r>
          </w:p>
          <w:p w14:paraId="4A51E344">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根据本项目营运期各噪声源的特征，根据《环境影响评价技术导则声环境》(HJ2.4-2021)的技术要求，本次评价采取导则上推荐模式对噪声进行预测，具体预测公式如下：</w:t>
            </w:r>
          </w:p>
          <w:p w14:paraId="0D120DFB">
            <w:pPr>
              <w:keepNext w:val="0"/>
              <w:keepLines w:val="0"/>
              <w:suppressLineNumbers w:val="0"/>
              <w:adjustRightInd w:val="0"/>
              <w:snapToGrid w:val="0"/>
              <w:spacing w:before="0" w:beforeAutospacing="0" w:after="0" w:afterAutospacing="0" w:line="360" w:lineRule="auto"/>
              <w:ind w:left="0" w:right="0" w:firstLine="482" w:firstLineChars="200"/>
              <w:rPr>
                <w:rFonts w:ascii="Calibri" w:hAnsi="Calibri" w:eastAsia="宋体" w:cs="Times New Roman"/>
                <w:b/>
                <w:bCs/>
                <w:color w:val="auto"/>
                <w:sz w:val="24"/>
              </w:rPr>
            </w:pPr>
            <w:r>
              <w:rPr>
                <w:rFonts w:hint="eastAsia" w:ascii="Calibri" w:hAnsi="Calibri" w:eastAsia="宋体" w:cs="Times New Roman"/>
                <w:b/>
                <w:bCs/>
                <w:color w:val="auto"/>
                <w:sz w:val="24"/>
              </w:rPr>
              <w:t>室内声源等效室外声源声功率级计算方法：</w:t>
            </w:r>
          </w:p>
          <w:p w14:paraId="78D21989">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声源位于室内，室内声源可采用等效室外声源声功率级法进行计算。设靠近开口处（或窗户）室内、室外某倍频带的声压级或 A 声级分别为 L p1 和 L p2 。</w:t>
            </w:r>
          </w:p>
          <w:p w14:paraId="61C005CB">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①某一室内声源靠近围护结构处产生的倍频带声压级或 A 声级：</w:t>
            </w:r>
          </w:p>
          <w:p w14:paraId="19E6BA58">
            <w:pPr>
              <w:keepNext w:val="0"/>
              <w:keepLines w:val="0"/>
              <w:suppressLineNumbers w:val="0"/>
              <w:adjustRightInd w:val="0"/>
              <w:snapToGrid w:val="0"/>
              <w:spacing w:before="0" w:beforeAutospacing="0" w:after="0" w:afterAutospacing="0" w:line="360" w:lineRule="auto"/>
              <w:ind w:left="0" w:right="0" w:firstLine="480" w:firstLineChars="200"/>
              <w:jc w:val="center"/>
              <w:rPr>
                <w:rFonts w:ascii="Calibri" w:hAnsi="Calibri" w:eastAsia="宋体" w:cs="Times New Roman"/>
                <w:color w:val="auto"/>
                <w:sz w:val="24"/>
              </w:rPr>
            </w:pPr>
            <w:r>
              <w:rPr>
                <w:rFonts w:ascii="Calibri" w:hAnsi="Calibri" w:eastAsia="宋体" w:cs="Times New Roman"/>
                <w:color w:val="auto"/>
                <w:sz w:val="24"/>
              </w:rPr>
              <w:drawing>
                <wp:inline distT="0" distB="0" distL="114300" distR="114300">
                  <wp:extent cx="1356360" cy="441960"/>
                  <wp:effectExtent l="0" t="0" r="15240" b="15240"/>
                  <wp:docPr id="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5"/>
                          <pic:cNvPicPr>
                            <a:picLocks noChangeAspect="1"/>
                          </pic:cNvPicPr>
                        </pic:nvPicPr>
                        <pic:blipFill>
                          <a:blip r:embed="rId21"/>
                          <a:stretch>
                            <a:fillRect/>
                          </a:stretch>
                        </pic:blipFill>
                        <pic:spPr>
                          <a:xfrm>
                            <a:off x="0" y="0"/>
                            <a:ext cx="1356360" cy="441960"/>
                          </a:xfrm>
                          <a:prstGeom prst="rect">
                            <a:avLst/>
                          </a:prstGeom>
                          <a:noFill/>
                          <a:ln>
                            <a:noFill/>
                          </a:ln>
                        </pic:spPr>
                      </pic:pic>
                    </a:graphicData>
                  </a:graphic>
                </wp:inline>
              </w:drawing>
            </w:r>
          </w:p>
          <w:p w14:paraId="14036938">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式中：L</w:t>
            </w:r>
            <w:r>
              <w:rPr>
                <w:rFonts w:hint="eastAsia" w:ascii="Calibri" w:hAnsi="Calibri" w:eastAsia="宋体" w:cs="Times New Roman"/>
                <w:color w:val="auto"/>
                <w:sz w:val="24"/>
                <w:vertAlign w:val="subscript"/>
              </w:rPr>
              <w:t xml:space="preserve"> p1</w:t>
            </w:r>
            <w:r>
              <w:rPr>
                <w:rFonts w:hint="eastAsia" w:ascii="Calibri" w:hAnsi="Calibri" w:eastAsia="宋体" w:cs="Times New Roman"/>
                <w:color w:val="auto"/>
                <w:sz w:val="24"/>
              </w:rPr>
              <w:t>—室内声源在靠近围护结构处产生的倍频带声压级，dB；</w:t>
            </w:r>
          </w:p>
          <w:p w14:paraId="7F056984">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Lw—声源的倍频带声功率级，dB；</w:t>
            </w:r>
          </w:p>
          <w:p w14:paraId="3226AAA2">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r—声源到靠近围护结构某点处的距离，m；</w:t>
            </w:r>
          </w:p>
          <w:p w14:paraId="49E117F3">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Q —指向性因子；</w:t>
            </w:r>
          </w:p>
          <w:p w14:paraId="7FAD7765">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R —房间常数，</w:t>
            </w:r>
            <w:r>
              <w:rPr>
                <w:rFonts w:ascii="Calibri" w:hAnsi="Calibri" w:eastAsia="宋体" w:cs="Times New Roman"/>
                <w:color w:val="auto"/>
                <w:sz w:val="24"/>
              </w:rPr>
              <w:t>R=S α/(1-α) ，S为房间内表面积，m</w:t>
            </w:r>
            <w:r>
              <w:rPr>
                <w:rFonts w:ascii="Calibri" w:hAnsi="Calibri" w:eastAsia="宋体" w:cs="Times New Roman"/>
                <w:color w:val="auto"/>
                <w:sz w:val="24"/>
                <w:vertAlign w:val="superscript"/>
              </w:rPr>
              <w:t>2</w:t>
            </w:r>
            <w:r>
              <w:rPr>
                <w:rFonts w:ascii="Calibri" w:hAnsi="Calibri" w:eastAsia="宋体" w:cs="Times New Roman"/>
                <w:color w:val="auto"/>
                <w:sz w:val="24"/>
              </w:rPr>
              <w:t xml:space="preserve"> ，α</w:t>
            </w:r>
            <w:r>
              <w:rPr>
                <w:rFonts w:hint="eastAsia" w:ascii="Calibri" w:hAnsi="Calibri" w:eastAsia="宋体" w:cs="Times New Roman"/>
                <w:color w:val="auto"/>
                <w:sz w:val="24"/>
              </w:rPr>
              <w:t>为平均吸声系数。</w:t>
            </w:r>
          </w:p>
          <w:p w14:paraId="54EA52B7">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②计算出所有室内声源在靠近围护结构处产生的 i 倍频带叠加声压级：</w:t>
            </w:r>
          </w:p>
          <w:p w14:paraId="48D62DED">
            <w:pPr>
              <w:keepNext w:val="0"/>
              <w:keepLines w:val="0"/>
              <w:suppressLineNumbers w:val="0"/>
              <w:adjustRightInd w:val="0"/>
              <w:snapToGrid w:val="0"/>
              <w:spacing w:before="0" w:beforeAutospacing="0" w:after="0" w:afterAutospacing="0" w:line="360" w:lineRule="auto"/>
              <w:ind w:left="0" w:right="0" w:firstLine="480" w:firstLineChars="200"/>
              <w:jc w:val="center"/>
              <w:rPr>
                <w:rFonts w:ascii="Calibri" w:hAnsi="Calibri" w:eastAsia="宋体" w:cs="Times New Roman"/>
                <w:color w:val="auto"/>
                <w:sz w:val="24"/>
              </w:rPr>
            </w:pPr>
            <w:r>
              <w:rPr>
                <w:rFonts w:ascii="Calibri" w:hAnsi="Calibri" w:eastAsia="宋体" w:cs="Times New Roman"/>
                <w:color w:val="auto"/>
                <w:sz w:val="24"/>
              </w:rPr>
              <w:drawing>
                <wp:inline distT="0" distB="0" distL="114300" distR="114300">
                  <wp:extent cx="1633855" cy="457200"/>
                  <wp:effectExtent l="0" t="0" r="4445" b="0"/>
                  <wp:docPr id="1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6"/>
                          <pic:cNvPicPr>
                            <a:picLocks noChangeAspect="1"/>
                          </pic:cNvPicPr>
                        </pic:nvPicPr>
                        <pic:blipFill>
                          <a:blip r:embed="rId22"/>
                          <a:stretch>
                            <a:fillRect/>
                          </a:stretch>
                        </pic:blipFill>
                        <pic:spPr>
                          <a:xfrm>
                            <a:off x="0" y="0"/>
                            <a:ext cx="1633855" cy="457200"/>
                          </a:xfrm>
                          <a:prstGeom prst="rect">
                            <a:avLst/>
                          </a:prstGeom>
                          <a:noFill/>
                          <a:ln>
                            <a:noFill/>
                          </a:ln>
                        </pic:spPr>
                      </pic:pic>
                    </a:graphicData>
                  </a:graphic>
                </wp:inline>
              </w:drawing>
            </w:r>
          </w:p>
          <w:p w14:paraId="6BC48134">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式中：L</w:t>
            </w:r>
            <w:r>
              <w:rPr>
                <w:rFonts w:hint="eastAsia" w:ascii="Calibri" w:hAnsi="Calibri" w:eastAsia="宋体" w:cs="Times New Roman"/>
                <w:color w:val="auto"/>
                <w:sz w:val="24"/>
                <w:vertAlign w:val="subscript"/>
              </w:rPr>
              <w:t>p2</w:t>
            </w:r>
            <w:r>
              <w:rPr>
                <w:rFonts w:hint="eastAsia" w:ascii="Calibri" w:hAnsi="Calibri" w:eastAsia="宋体" w:cs="Times New Roman"/>
                <w:color w:val="auto"/>
                <w:sz w:val="24"/>
              </w:rPr>
              <w:t>(T)—靠近围护结构处室内 N 个声源 i 倍频带的叠加声压级，dB；</w:t>
            </w:r>
          </w:p>
          <w:p w14:paraId="314F8A5B">
            <w:pPr>
              <w:keepNext w:val="0"/>
              <w:keepLines w:val="0"/>
              <w:suppressLineNumbers w:val="0"/>
              <w:adjustRightInd w:val="0"/>
              <w:snapToGrid w:val="0"/>
              <w:spacing w:before="0" w:beforeAutospacing="0" w:after="0" w:afterAutospacing="0" w:line="360" w:lineRule="auto"/>
              <w:ind w:left="0" w:right="0" w:firstLine="1200" w:firstLineChars="500"/>
              <w:rPr>
                <w:rFonts w:ascii="Calibri" w:hAnsi="Calibri" w:eastAsia="宋体" w:cs="Times New Roman"/>
                <w:color w:val="auto"/>
                <w:sz w:val="24"/>
              </w:rPr>
            </w:pPr>
            <w:r>
              <w:rPr>
                <w:rFonts w:hint="eastAsia" w:ascii="Calibri" w:hAnsi="Calibri" w:eastAsia="宋体" w:cs="Times New Roman"/>
                <w:color w:val="auto"/>
                <w:sz w:val="24"/>
              </w:rPr>
              <w:t>L</w:t>
            </w:r>
            <w:r>
              <w:rPr>
                <w:rFonts w:hint="eastAsia" w:ascii="Calibri" w:hAnsi="Calibri" w:eastAsia="宋体" w:cs="Times New Roman"/>
                <w:color w:val="auto"/>
                <w:sz w:val="24"/>
                <w:vertAlign w:val="subscript"/>
              </w:rPr>
              <w:t>p1ij</w:t>
            </w:r>
            <w:r>
              <w:rPr>
                <w:rFonts w:hint="eastAsia" w:ascii="Calibri" w:hAnsi="Calibri" w:eastAsia="宋体" w:cs="Times New Roman"/>
                <w:color w:val="auto"/>
                <w:sz w:val="24"/>
              </w:rPr>
              <w:t>—室内 j 声源 i 倍频带的声压级，dB；</w:t>
            </w:r>
          </w:p>
          <w:p w14:paraId="5043B63E">
            <w:pPr>
              <w:keepNext w:val="0"/>
              <w:keepLines w:val="0"/>
              <w:suppressLineNumbers w:val="0"/>
              <w:adjustRightInd w:val="0"/>
              <w:snapToGrid w:val="0"/>
              <w:spacing w:before="0" w:beforeAutospacing="0" w:after="0" w:afterAutospacing="0" w:line="360" w:lineRule="auto"/>
              <w:ind w:left="0" w:right="0" w:firstLine="1200" w:firstLineChars="500"/>
              <w:rPr>
                <w:rFonts w:ascii="Calibri" w:hAnsi="Calibri" w:eastAsia="宋体" w:cs="Times New Roman"/>
                <w:color w:val="auto"/>
                <w:sz w:val="24"/>
              </w:rPr>
            </w:pPr>
            <w:r>
              <w:rPr>
                <w:rFonts w:hint="eastAsia" w:ascii="Calibri" w:hAnsi="Calibri" w:eastAsia="宋体" w:cs="Times New Roman"/>
                <w:color w:val="auto"/>
                <w:sz w:val="24"/>
              </w:rPr>
              <w:t>N —室内声源总数。</w:t>
            </w:r>
          </w:p>
          <w:p w14:paraId="6249BC6D">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③计算出靠近室外围护结构处的声压级:</w:t>
            </w:r>
          </w:p>
          <w:p w14:paraId="53995E5E">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drawing>
                <wp:inline distT="0" distB="0" distL="114300" distR="114300">
                  <wp:extent cx="2038350" cy="333375"/>
                  <wp:effectExtent l="0" t="0" r="0" b="9525"/>
                  <wp:docPr id="1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7"/>
                          <pic:cNvPicPr>
                            <a:picLocks noChangeAspect="1"/>
                          </pic:cNvPicPr>
                        </pic:nvPicPr>
                        <pic:blipFill>
                          <a:blip r:embed="rId23"/>
                          <a:stretch>
                            <a:fillRect/>
                          </a:stretch>
                        </pic:blipFill>
                        <pic:spPr>
                          <a:xfrm>
                            <a:off x="0" y="0"/>
                            <a:ext cx="2038350" cy="333375"/>
                          </a:xfrm>
                          <a:prstGeom prst="rect">
                            <a:avLst/>
                          </a:prstGeom>
                          <a:noFill/>
                          <a:ln>
                            <a:noFill/>
                          </a:ln>
                        </pic:spPr>
                      </pic:pic>
                    </a:graphicData>
                  </a:graphic>
                </wp:inline>
              </w:drawing>
            </w:r>
          </w:p>
          <w:p w14:paraId="0A304040">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式中：Lw —中心位置位于透声面积（S）处的等效声源的倍频带声</w:t>
            </w:r>
          </w:p>
          <w:p w14:paraId="58C72822">
            <w:pPr>
              <w:keepNext w:val="0"/>
              <w:keepLines w:val="0"/>
              <w:suppressLineNumbers w:val="0"/>
              <w:adjustRightInd w:val="0"/>
              <w:snapToGrid w:val="0"/>
              <w:spacing w:before="0" w:beforeAutospacing="0" w:after="0" w:afterAutospacing="0" w:line="360" w:lineRule="auto"/>
              <w:ind w:left="1140" w:leftChars="200" w:right="0" w:hanging="720" w:hangingChars="300"/>
              <w:rPr>
                <w:rFonts w:ascii="Calibri" w:hAnsi="Calibri" w:eastAsia="宋体" w:cs="Times New Roman"/>
                <w:color w:val="auto"/>
                <w:sz w:val="24"/>
              </w:rPr>
            </w:pPr>
            <w:r>
              <w:rPr>
                <w:rFonts w:hint="eastAsia" w:ascii="Calibri" w:hAnsi="Calibri" w:eastAsia="宋体" w:cs="Times New Roman"/>
                <w:color w:val="auto"/>
                <w:sz w:val="24"/>
              </w:rPr>
              <w:t>功率,dB；</w:t>
            </w:r>
          </w:p>
          <w:p w14:paraId="55C984A7">
            <w:pPr>
              <w:keepNext w:val="0"/>
              <w:keepLines w:val="0"/>
              <w:suppressLineNumbers w:val="0"/>
              <w:adjustRightInd w:val="0"/>
              <w:snapToGrid w:val="0"/>
              <w:spacing w:before="0" w:beforeAutospacing="0" w:after="0" w:afterAutospacing="0" w:line="360" w:lineRule="auto"/>
              <w:ind w:left="0" w:right="0" w:firstLine="1200" w:firstLineChars="500"/>
              <w:rPr>
                <w:rFonts w:ascii="Calibri" w:hAnsi="Calibri" w:eastAsia="宋体" w:cs="Times New Roman"/>
                <w:color w:val="auto"/>
                <w:sz w:val="24"/>
              </w:rPr>
            </w:pPr>
            <w:r>
              <w:rPr>
                <w:rFonts w:hint="eastAsia" w:ascii="Calibri" w:hAnsi="Calibri" w:eastAsia="宋体" w:cs="Times New Roman"/>
                <w:color w:val="auto"/>
                <w:sz w:val="24"/>
              </w:rPr>
              <w:t>Lp</w:t>
            </w:r>
            <w:r>
              <w:rPr>
                <w:rFonts w:hint="eastAsia" w:ascii="Calibri" w:hAnsi="Calibri" w:eastAsia="宋体" w:cs="Times New Roman"/>
                <w:color w:val="auto"/>
                <w:sz w:val="24"/>
                <w:vertAlign w:val="subscript"/>
              </w:rPr>
              <w:t>2</w:t>
            </w:r>
            <w:r>
              <w:rPr>
                <w:rFonts w:hint="eastAsia" w:ascii="Calibri" w:hAnsi="Calibri" w:eastAsia="宋体" w:cs="Times New Roman"/>
                <w:color w:val="auto"/>
                <w:sz w:val="24"/>
              </w:rPr>
              <w:t>（T）—靠近围护结构处室外声源的声压级，dB；</w:t>
            </w:r>
          </w:p>
          <w:p w14:paraId="6814D79C">
            <w:pPr>
              <w:keepNext w:val="0"/>
              <w:keepLines w:val="0"/>
              <w:suppressLineNumbers w:val="0"/>
              <w:adjustRightInd w:val="0"/>
              <w:snapToGrid w:val="0"/>
              <w:spacing w:before="0" w:beforeAutospacing="0" w:after="0" w:afterAutospacing="0" w:line="360" w:lineRule="auto"/>
              <w:ind w:left="0" w:right="0" w:firstLine="1200" w:firstLineChars="500"/>
              <w:rPr>
                <w:rFonts w:ascii="Calibri" w:hAnsi="Calibri" w:eastAsia="宋体" w:cs="Times New Roman"/>
                <w:color w:val="auto"/>
                <w:sz w:val="24"/>
              </w:rPr>
            </w:pPr>
            <w:r>
              <w:rPr>
                <w:rFonts w:hint="eastAsia" w:ascii="Calibri" w:hAnsi="Calibri" w:eastAsia="宋体" w:cs="Times New Roman"/>
                <w:color w:val="auto"/>
                <w:sz w:val="24"/>
              </w:rPr>
              <w:t>S—透声面积，m</w:t>
            </w:r>
            <w:r>
              <w:rPr>
                <w:rFonts w:hint="eastAsia" w:ascii="Calibri" w:hAnsi="Calibri" w:eastAsia="宋体" w:cs="Times New Roman"/>
                <w:color w:val="auto"/>
                <w:sz w:val="24"/>
                <w:vertAlign w:val="superscript"/>
              </w:rPr>
              <w:t>2</w:t>
            </w:r>
            <w:r>
              <w:rPr>
                <w:rFonts w:hint="eastAsia" w:ascii="Calibri" w:hAnsi="Calibri" w:eastAsia="宋体" w:cs="Times New Roman"/>
                <w:color w:val="auto"/>
                <w:sz w:val="24"/>
              </w:rPr>
              <w:t>。</w:t>
            </w:r>
          </w:p>
          <w:p w14:paraId="3DCA165F">
            <w:pPr>
              <w:keepNext w:val="0"/>
              <w:keepLines w:val="0"/>
              <w:suppressLineNumbers w:val="0"/>
              <w:adjustRightInd w:val="0"/>
              <w:snapToGrid w:val="0"/>
              <w:spacing w:before="0" w:beforeAutospacing="0" w:after="0" w:afterAutospacing="0" w:line="360" w:lineRule="auto"/>
              <w:ind w:left="0" w:right="0" w:firstLine="482" w:firstLineChars="200"/>
              <w:rPr>
                <w:rFonts w:ascii="Calibri" w:hAnsi="Calibri" w:eastAsia="宋体" w:cs="Times New Roman"/>
                <w:b/>
                <w:bCs/>
                <w:color w:val="auto"/>
                <w:sz w:val="24"/>
              </w:rPr>
            </w:pPr>
            <w:r>
              <w:rPr>
                <w:rFonts w:hint="eastAsia" w:ascii="Calibri" w:hAnsi="Calibri" w:eastAsia="宋体" w:cs="Times New Roman"/>
                <w:b/>
                <w:bCs/>
                <w:color w:val="auto"/>
                <w:sz w:val="24"/>
              </w:rPr>
              <w:t>计算总声压级：</w:t>
            </w:r>
          </w:p>
          <w:p w14:paraId="460DCE94">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计算本项目各室外噪声源和各含噪声源厂房对各预测点噪声贡献值设第 i个室外声源在预测点产生的 A 声级为L</w:t>
            </w:r>
            <w:r>
              <w:rPr>
                <w:rFonts w:hint="eastAsia" w:ascii="Calibri" w:hAnsi="Calibri" w:eastAsia="宋体" w:cs="Times New Roman"/>
                <w:color w:val="auto"/>
                <w:sz w:val="24"/>
                <w:vertAlign w:val="subscript"/>
              </w:rPr>
              <w:t>Ai</w:t>
            </w:r>
            <w:r>
              <w:rPr>
                <w:rFonts w:hint="eastAsia" w:ascii="Calibri" w:hAnsi="Calibri" w:eastAsia="宋体" w:cs="Times New Roman"/>
                <w:color w:val="auto"/>
                <w:sz w:val="24"/>
              </w:rPr>
              <w:t>，在T时间内该声源工作时间为t</w:t>
            </w:r>
            <w:r>
              <w:rPr>
                <w:rFonts w:hint="eastAsia" w:ascii="Calibri" w:hAnsi="Calibri" w:eastAsia="宋体" w:cs="Times New Roman"/>
                <w:color w:val="auto"/>
                <w:sz w:val="24"/>
                <w:vertAlign w:val="subscript"/>
              </w:rPr>
              <w:t>i</w:t>
            </w:r>
            <w:r>
              <w:rPr>
                <w:rFonts w:hint="eastAsia" w:ascii="Calibri" w:hAnsi="Calibri" w:eastAsia="宋体" w:cs="Times New Roman"/>
                <w:color w:val="auto"/>
                <w:sz w:val="24"/>
              </w:rPr>
              <w:t>；第j个等效室外声源在预测点产生的A声级为L</w:t>
            </w:r>
            <w:r>
              <w:rPr>
                <w:rFonts w:hint="eastAsia" w:ascii="Calibri" w:hAnsi="Calibri" w:eastAsia="宋体" w:cs="Times New Roman"/>
                <w:color w:val="auto"/>
                <w:sz w:val="24"/>
                <w:vertAlign w:val="subscript"/>
              </w:rPr>
              <w:t xml:space="preserve">Aj </w:t>
            </w:r>
            <w:r>
              <w:rPr>
                <w:rFonts w:hint="eastAsia" w:ascii="Calibri" w:hAnsi="Calibri" w:eastAsia="宋体" w:cs="Times New Roman"/>
                <w:color w:val="auto"/>
                <w:sz w:val="24"/>
              </w:rPr>
              <w:t>，在T时间内该声源工作时间为t</w:t>
            </w:r>
            <w:r>
              <w:rPr>
                <w:rFonts w:hint="eastAsia" w:ascii="Calibri" w:hAnsi="Calibri" w:eastAsia="宋体" w:cs="Times New Roman"/>
                <w:color w:val="auto"/>
                <w:sz w:val="24"/>
                <w:vertAlign w:val="subscript"/>
              </w:rPr>
              <w:t>j</w:t>
            </w:r>
            <w:r>
              <w:rPr>
                <w:rFonts w:hint="eastAsia" w:ascii="Calibri" w:hAnsi="Calibri" w:eastAsia="宋体" w:cs="Times New Roman"/>
                <w:color w:val="auto"/>
                <w:sz w:val="24"/>
              </w:rPr>
              <w:t>，则联合减量置换项目声源对预测点产生的贡献值(L</w:t>
            </w:r>
            <w:r>
              <w:rPr>
                <w:rFonts w:hint="eastAsia" w:ascii="Calibri" w:hAnsi="Calibri" w:eastAsia="宋体" w:cs="Times New Roman"/>
                <w:color w:val="auto"/>
                <w:sz w:val="24"/>
                <w:vertAlign w:val="subscript"/>
              </w:rPr>
              <w:t xml:space="preserve">eqg </w:t>
            </w:r>
            <w:r>
              <w:rPr>
                <w:rFonts w:hint="eastAsia" w:ascii="Calibri" w:hAnsi="Calibri" w:eastAsia="宋体" w:cs="Times New Roman"/>
                <w:color w:val="auto"/>
                <w:sz w:val="24"/>
              </w:rPr>
              <w:t>)为：</w:t>
            </w:r>
          </w:p>
          <w:p w14:paraId="4379055F">
            <w:pPr>
              <w:keepNext w:val="0"/>
              <w:keepLines w:val="0"/>
              <w:suppressLineNumbers w:val="0"/>
              <w:adjustRightInd w:val="0"/>
              <w:snapToGrid w:val="0"/>
              <w:spacing w:before="0" w:beforeAutospacing="0" w:after="0" w:afterAutospacing="0" w:line="360" w:lineRule="auto"/>
              <w:ind w:left="0" w:right="0" w:firstLine="480" w:firstLineChars="200"/>
              <w:jc w:val="center"/>
              <w:rPr>
                <w:rFonts w:ascii="Calibri" w:hAnsi="Calibri" w:eastAsia="宋体" w:cs="Times New Roman"/>
                <w:color w:val="auto"/>
                <w:sz w:val="24"/>
              </w:rPr>
            </w:pPr>
            <w:r>
              <w:rPr>
                <w:rFonts w:ascii="Calibri" w:hAnsi="Calibri" w:eastAsia="宋体" w:cs="Times New Roman"/>
                <w:color w:val="auto"/>
                <w:sz w:val="24"/>
              </w:rPr>
              <w:drawing>
                <wp:inline distT="0" distB="0" distL="114300" distR="114300">
                  <wp:extent cx="2167255" cy="427990"/>
                  <wp:effectExtent l="0" t="0" r="4445" b="10160"/>
                  <wp:docPr id="1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8"/>
                          <pic:cNvPicPr>
                            <a:picLocks noChangeAspect="1"/>
                          </pic:cNvPicPr>
                        </pic:nvPicPr>
                        <pic:blipFill>
                          <a:blip r:embed="rId24"/>
                          <a:stretch>
                            <a:fillRect/>
                          </a:stretch>
                        </pic:blipFill>
                        <pic:spPr>
                          <a:xfrm>
                            <a:off x="0" y="0"/>
                            <a:ext cx="2167255" cy="427990"/>
                          </a:xfrm>
                          <a:prstGeom prst="rect">
                            <a:avLst/>
                          </a:prstGeom>
                          <a:noFill/>
                          <a:ln>
                            <a:noFill/>
                          </a:ln>
                        </pic:spPr>
                      </pic:pic>
                    </a:graphicData>
                  </a:graphic>
                </wp:inline>
              </w:drawing>
            </w:r>
          </w:p>
          <w:p w14:paraId="04523D3A">
            <w:pPr>
              <w:keepNext w:val="0"/>
              <w:keepLines w:val="0"/>
              <w:suppressLineNumbers w:val="0"/>
              <w:spacing w:before="0" w:beforeAutospacing="0" w:after="0" w:afterAutospacing="0" w:line="360" w:lineRule="auto"/>
              <w:ind w:left="0" w:right="0" w:firstLine="482" w:firstLineChars="200"/>
              <w:rPr>
                <w:rFonts w:ascii="Calibri" w:hAnsi="Calibri" w:eastAsia="宋体" w:cs="Times New Roman"/>
                <w:b/>
                <w:bCs/>
                <w:color w:val="auto"/>
                <w:sz w:val="24"/>
              </w:rPr>
            </w:pPr>
            <w:r>
              <w:rPr>
                <w:rFonts w:hint="eastAsia" w:ascii="Calibri" w:hAnsi="Calibri" w:eastAsia="宋体" w:cs="Times New Roman"/>
                <w:b/>
                <w:bCs/>
                <w:color w:val="auto"/>
                <w:sz w:val="24"/>
              </w:rPr>
              <w:t>2、预测结果</w:t>
            </w:r>
          </w:p>
          <w:p w14:paraId="534FF40A">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根据项目各噪声设备声级及其所处位置，利用工业企业噪声预测模式和方法，对厂界外的声环境进行预测计算，得到各预测点的昼夜噪声级。声波在传播过程中能量衰减的因素颇多。在预测时，为留有较大余地，以噪声对环境最不利的情况为前提，只考虑距离衰减，其他因素的衰减，如空气吸收衰减、地面吸收、温度梯度、雨、雾等均作为预测计算的安全系数而不计。噪声靠空间距离的自然衰减，厂界噪声预测结果见表</w:t>
            </w:r>
            <w:r>
              <w:rPr>
                <w:rFonts w:ascii="Calibri" w:hAnsi="Calibri" w:eastAsia="宋体" w:cs="Times New Roman"/>
                <w:color w:val="auto"/>
                <w:sz w:val="24"/>
              </w:rPr>
              <w:t>4-</w:t>
            </w:r>
            <w:r>
              <w:rPr>
                <w:rFonts w:hint="eastAsia" w:ascii="Calibri" w:hAnsi="Calibri" w:eastAsia="宋体" w:cs="Times New Roman"/>
                <w:color w:val="auto"/>
                <w:sz w:val="24"/>
              </w:rPr>
              <w:t>10</w:t>
            </w:r>
            <w:r>
              <w:rPr>
                <w:rFonts w:ascii="Calibri" w:hAnsi="Calibri" w:eastAsia="宋体" w:cs="Times New Roman"/>
                <w:color w:val="auto"/>
                <w:sz w:val="24"/>
              </w:rPr>
              <w:t>。</w:t>
            </w:r>
          </w:p>
          <w:p w14:paraId="56C6C50D">
            <w:pPr>
              <w:pStyle w:val="6"/>
              <w:keepNext w:val="0"/>
              <w:keepLines w:val="0"/>
              <w:suppressLineNumbers w:val="0"/>
              <w:spacing w:before="0" w:beforeAutospacing="0" w:after="0" w:afterAutospacing="0"/>
              <w:ind w:left="0" w:right="0"/>
              <w:jc w:val="center"/>
              <w:rPr>
                <w:rFonts w:ascii="Times New Roman" w:hAnsi="Times New Roman" w:eastAsia="宋体" w:cs="Times New Roman"/>
                <w:b/>
                <w:bCs/>
                <w:color w:val="auto"/>
                <w:spacing w:val="12"/>
                <w:sz w:val="24"/>
              </w:rPr>
            </w:pPr>
            <w:r>
              <w:rPr>
                <w:rFonts w:ascii="Times New Roman" w:hAnsi="Times New Roman" w:eastAsia="宋体" w:cs="Times New Roman"/>
                <w:b/>
                <w:bCs/>
                <w:color w:val="auto"/>
                <w:spacing w:val="12"/>
                <w:sz w:val="24"/>
              </w:rPr>
              <w:t>4-</w:t>
            </w:r>
            <w:r>
              <w:rPr>
                <w:rFonts w:hint="eastAsia" w:ascii="Times New Roman" w:hAnsi="Times New Roman" w:eastAsia="宋体" w:cs="Times New Roman"/>
                <w:b/>
                <w:bCs/>
                <w:color w:val="auto"/>
                <w:spacing w:val="12"/>
                <w:sz w:val="24"/>
              </w:rPr>
              <w:t>10</w:t>
            </w:r>
            <w:r>
              <w:rPr>
                <w:rFonts w:ascii="Times New Roman" w:hAnsi="Times New Roman" w:eastAsia="宋体" w:cs="Times New Roman"/>
                <w:b/>
                <w:bCs/>
                <w:color w:val="auto"/>
                <w:spacing w:val="12"/>
                <w:sz w:val="24"/>
              </w:rPr>
              <w:t xml:space="preserve"> 项目厂界噪声预测结果一览表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2035"/>
              <w:gridCol w:w="2998"/>
              <w:gridCol w:w="3005"/>
              <w:gridCol w:w="2435"/>
            </w:tblGrid>
            <w:tr w14:paraId="0096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exact"/>
                <w:jc w:val="center"/>
              </w:trPr>
              <w:tc>
                <w:tcPr>
                  <w:tcW w:w="884" w:type="pct"/>
                  <w:noWrap w:val="0"/>
                  <w:vAlign w:val="center"/>
                </w:tcPr>
                <w:p w14:paraId="1135CA8D">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ascii="Calibri" w:hAnsi="Calibri" w:eastAsia="宋体" w:cs="Times New Roman"/>
                      <w:color w:val="auto"/>
                      <w:szCs w:val="21"/>
                    </w:rPr>
                    <w:t>预测方位</w:t>
                  </w:r>
                </w:p>
              </w:tc>
              <w:tc>
                <w:tcPr>
                  <w:tcW w:w="800" w:type="pct"/>
                  <w:noWrap w:val="0"/>
                  <w:vAlign w:val="center"/>
                </w:tcPr>
                <w:p w14:paraId="41F58CBA">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ascii="Calibri" w:hAnsi="Calibri" w:eastAsia="宋体" w:cs="Times New Roman"/>
                      <w:color w:val="auto"/>
                      <w:szCs w:val="21"/>
                    </w:rPr>
                    <w:t>时段</w:t>
                  </w:r>
                </w:p>
              </w:tc>
              <w:tc>
                <w:tcPr>
                  <w:tcW w:w="1177" w:type="pct"/>
                  <w:noWrap w:val="0"/>
                  <w:vAlign w:val="center"/>
                </w:tcPr>
                <w:p w14:paraId="620C39BF">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贡献值</w:t>
                  </w:r>
                  <w:r>
                    <w:rPr>
                      <w:rFonts w:ascii="Calibri" w:hAnsi="Calibri" w:eastAsia="宋体" w:cs="Times New Roman"/>
                      <w:color w:val="auto"/>
                      <w:szCs w:val="21"/>
                    </w:rPr>
                    <w:t>（dB(A)）</w:t>
                  </w:r>
                </w:p>
              </w:tc>
              <w:tc>
                <w:tcPr>
                  <w:tcW w:w="1180" w:type="pct"/>
                  <w:noWrap w:val="0"/>
                  <w:vAlign w:val="center"/>
                </w:tcPr>
                <w:p w14:paraId="1FAA8FBA">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ascii="Calibri" w:hAnsi="Calibri" w:eastAsia="宋体" w:cs="Times New Roman"/>
                      <w:color w:val="auto"/>
                      <w:szCs w:val="21"/>
                    </w:rPr>
                    <w:t>标准限值（dB(A)）</w:t>
                  </w:r>
                </w:p>
              </w:tc>
              <w:tc>
                <w:tcPr>
                  <w:tcW w:w="956" w:type="pct"/>
                  <w:noWrap w:val="0"/>
                  <w:vAlign w:val="center"/>
                </w:tcPr>
                <w:p w14:paraId="5BB74CBE">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ascii="Calibri" w:hAnsi="Calibri" w:eastAsia="宋体" w:cs="Times New Roman"/>
                      <w:color w:val="auto"/>
                      <w:szCs w:val="21"/>
                    </w:rPr>
                    <w:t>达标情况</w:t>
                  </w:r>
                </w:p>
              </w:tc>
            </w:tr>
            <w:tr w14:paraId="5D31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1" w:hRule="exact"/>
                <w:jc w:val="center"/>
              </w:trPr>
              <w:tc>
                <w:tcPr>
                  <w:tcW w:w="884" w:type="pct"/>
                  <w:shd w:val="clear" w:color="auto" w:fill="FFFFFF"/>
                  <w:noWrap w:val="0"/>
                  <w:vAlign w:val="center"/>
                </w:tcPr>
                <w:p w14:paraId="06DFDA5E">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东侧</w:t>
                  </w:r>
                </w:p>
              </w:tc>
              <w:tc>
                <w:tcPr>
                  <w:tcW w:w="800" w:type="pct"/>
                  <w:shd w:val="clear" w:color="auto" w:fill="FFFFFF"/>
                  <w:noWrap w:val="0"/>
                  <w:vAlign w:val="center"/>
                </w:tcPr>
                <w:p w14:paraId="4B07F18D">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昼间</w:t>
                  </w:r>
                </w:p>
              </w:tc>
              <w:tc>
                <w:tcPr>
                  <w:tcW w:w="1177" w:type="pct"/>
                  <w:shd w:val="clear" w:color="auto" w:fill="FFFFFF"/>
                  <w:noWrap w:val="0"/>
                  <w:vAlign w:val="center"/>
                </w:tcPr>
                <w:p w14:paraId="30D7DA13">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34.5</w:t>
                  </w:r>
                </w:p>
              </w:tc>
              <w:tc>
                <w:tcPr>
                  <w:tcW w:w="1180" w:type="pct"/>
                  <w:shd w:val="clear" w:color="auto" w:fill="FFFFFF"/>
                  <w:noWrap w:val="0"/>
                  <w:vAlign w:val="center"/>
                </w:tcPr>
                <w:p w14:paraId="1D2C3CC7">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60</w:t>
                  </w:r>
                </w:p>
              </w:tc>
              <w:tc>
                <w:tcPr>
                  <w:tcW w:w="956" w:type="pct"/>
                  <w:shd w:val="clear" w:color="auto" w:fill="FFFFFF"/>
                  <w:noWrap w:val="0"/>
                  <w:vAlign w:val="center"/>
                </w:tcPr>
                <w:p w14:paraId="4313C72A">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达标</w:t>
                  </w:r>
                </w:p>
              </w:tc>
            </w:tr>
            <w:tr w14:paraId="46B8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1" w:hRule="exact"/>
                <w:jc w:val="center"/>
              </w:trPr>
              <w:tc>
                <w:tcPr>
                  <w:tcW w:w="884" w:type="pct"/>
                  <w:shd w:val="clear" w:color="auto" w:fill="FFFFFF"/>
                  <w:noWrap w:val="0"/>
                  <w:vAlign w:val="center"/>
                </w:tcPr>
                <w:p w14:paraId="44954E68">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南侧</w:t>
                  </w:r>
                </w:p>
              </w:tc>
              <w:tc>
                <w:tcPr>
                  <w:tcW w:w="800" w:type="pct"/>
                  <w:shd w:val="clear" w:color="auto" w:fill="FFFFFF"/>
                  <w:noWrap w:val="0"/>
                  <w:vAlign w:val="center"/>
                </w:tcPr>
                <w:p w14:paraId="69AC015E">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昼间</w:t>
                  </w:r>
                </w:p>
              </w:tc>
              <w:tc>
                <w:tcPr>
                  <w:tcW w:w="1177" w:type="pct"/>
                  <w:shd w:val="clear" w:color="auto" w:fill="FFFFFF"/>
                  <w:noWrap w:val="0"/>
                  <w:vAlign w:val="center"/>
                </w:tcPr>
                <w:p w14:paraId="403DE943">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38.7</w:t>
                  </w:r>
                </w:p>
              </w:tc>
              <w:tc>
                <w:tcPr>
                  <w:tcW w:w="1180" w:type="pct"/>
                  <w:shd w:val="clear" w:color="auto" w:fill="FFFFFF"/>
                  <w:noWrap w:val="0"/>
                  <w:vAlign w:val="center"/>
                </w:tcPr>
                <w:p w14:paraId="16AB6478">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60</w:t>
                  </w:r>
                </w:p>
              </w:tc>
              <w:tc>
                <w:tcPr>
                  <w:tcW w:w="956" w:type="pct"/>
                  <w:shd w:val="clear" w:color="auto" w:fill="FFFFFF"/>
                  <w:noWrap w:val="0"/>
                  <w:vAlign w:val="center"/>
                </w:tcPr>
                <w:p w14:paraId="4211494B">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达标</w:t>
                  </w:r>
                </w:p>
              </w:tc>
            </w:tr>
            <w:tr w14:paraId="7F04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1" w:hRule="exact"/>
                <w:jc w:val="center"/>
              </w:trPr>
              <w:tc>
                <w:tcPr>
                  <w:tcW w:w="884" w:type="pct"/>
                  <w:shd w:val="clear" w:color="auto" w:fill="FFFFFF"/>
                  <w:noWrap w:val="0"/>
                  <w:vAlign w:val="center"/>
                </w:tcPr>
                <w:p w14:paraId="47AB7A77">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西侧</w:t>
                  </w:r>
                </w:p>
              </w:tc>
              <w:tc>
                <w:tcPr>
                  <w:tcW w:w="800" w:type="pct"/>
                  <w:shd w:val="clear" w:color="auto" w:fill="FFFFFF"/>
                  <w:noWrap w:val="0"/>
                  <w:vAlign w:val="center"/>
                </w:tcPr>
                <w:p w14:paraId="00C8568D">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昼间</w:t>
                  </w:r>
                </w:p>
              </w:tc>
              <w:tc>
                <w:tcPr>
                  <w:tcW w:w="1177" w:type="pct"/>
                  <w:shd w:val="clear" w:color="auto" w:fill="FFFFFF"/>
                  <w:noWrap w:val="0"/>
                  <w:vAlign w:val="center"/>
                </w:tcPr>
                <w:p w14:paraId="388EFFF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29.5</w:t>
                  </w:r>
                </w:p>
              </w:tc>
              <w:tc>
                <w:tcPr>
                  <w:tcW w:w="1180" w:type="pct"/>
                  <w:shd w:val="clear" w:color="auto" w:fill="FFFFFF"/>
                  <w:noWrap w:val="0"/>
                  <w:vAlign w:val="center"/>
                </w:tcPr>
                <w:p w14:paraId="46FE9E8E">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60</w:t>
                  </w:r>
                </w:p>
              </w:tc>
              <w:tc>
                <w:tcPr>
                  <w:tcW w:w="956" w:type="pct"/>
                  <w:shd w:val="clear" w:color="auto" w:fill="FFFFFF"/>
                  <w:noWrap w:val="0"/>
                  <w:vAlign w:val="center"/>
                </w:tcPr>
                <w:p w14:paraId="750E64EF">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达标</w:t>
                  </w:r>
                </w:p>
              </w:tc>
            </w:tr>
            <w:tr w14:paraId="1DB0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1" w:hRule="exact"/>
                <w:jc w:val="center"/>
              </w:trPr>
              <w:tc>
                <w:tcPr>
                  <w:tcW w:w="884" w:type="pct"/>
                  <w:shd w:val="clear" w:color="auto" w:fill="FFFFFF"/>
                  <w:noWrap w:val="0"/>
                  <w:vAlign w:val="center"/>
                </w:tcPr>
                <w:p w14:paraId="23B57675">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北侧</w:t>
                  </w:r>
                </w:p>
              </w:tc>
              <w:tc>
                <w:tcPr>
                  <w:tcW w:w="800" w:type="pct"/>
                  <w:shd w:val="clear" w:color="auto" w:fill="FFFFFF"/>
                  <w:noWrap w:val="0"/>
                  <w:vAlign w:val="center"/>
                </w:tcPr>
                <w:p w14:paraId="72D11EE3">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昼间</w:t>
                  </w:r>
                </w:p>
              </w:tc>
              <w:tc>
                <w:tcPr>
                  <w:tcW w:w="1177" w:type="pct"/>
                  <w:shd w:val="clear" w:color="auto" w:fill="FFFFFF"/>
                  <w:noWrap w:val="0"/>
                  <w:vAlign w:val="center"/>
                </w:tcPr>
                <w:p w14:paraId="10D66C7D">
                  <w:pPr>
                    <w:pStyle w:val="111"/>
                    <w:keepNext w:val="0"/>
                    <w:keepLines w:val="0"/>
                    <w:suppressLineNumbers w:val="0"/>
                    <w:spacing w:before="0" w:beforeAutospacing="0" w:after="0" w:afterAutospacing="0"/>
                    <w:ind w:left="0" w:right="0"/>
                    <w:rPr>
                      <w:rFonts w:ascii="Calibri" w:hAnsi="Calibri" w:eastAsia="宋体" w:cs="Times New Roman"/>
                      <w:color w:val="auto"/>
                    </w:rPr>
                  </w:pPr>
                  <w:r>
                    <w:rPr>
                      <w:rFonts w:hint="eastAsia" w:ascii="Calibri" w:hAnsi="Calibri" w:eastAsia="宋体" w:cs="Times New Roman"/>
                      <w:color w:val="auto"/>
                    </w:rPr>
                    <w:t>36.1</w:t>
                  </w:r>
                </w:p>
              </w:tc>
              <w:tc>
                <w:tcPr>
                  <w:tcW w:w="1180" w:type="pct"/>
                  <w:shd w:val="clear" w:color="auto" w:fill="FFFFFF"/>
                  <w:noWrap w:val="0"/>
                  <w:vAlign w:val="center"/>
                </w:tcPr>
                <w:p w14:paraId="602E1EF3">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60</w:t>
                  </w:r>
                </w:p>
              </w:tc>
              <w:tc>
                <w:tcPr>
                  <w:tcW w:w="956" w:type="pct"/>
                  <w:shd w:val="clear" w:color="auto" w:fill="FFFFFF"/>
                  <w:noWrap w:val="0"/>
                  <w:vAlign w:val="center"/>
                </w:tcPr>
                <w:p w14:paraId="2844B34A">
                  <w:pPr>
                    <w:pStyle w:val="111"/>
                    <w:keepNext w:val="0"/>
                    <w:keepLines w:val="0"/>
                    <w:suppressLineNumbers w:val="0"/>
                    <w:spacing w:before="0" w:beforeAutospacing="0" w:after="0" w:afterAutospacing="0"/>
                    <w:ind w:left="0" w:right="0"/>
                    <w:rPr>
                      <w:rFonts w:ascii="Calibri" w:hAnsi="Calibri" w:eastAsia="宋体" w:cs="Times New Roman"/>
                      <w:color w:val="auto"/>
                      <w:szCs w:val="21"/>
                    </w:rPr>
                  </w:pPr>
                  <w:r>
                    <w:rPr>
                      <w:rFonts w:hint="eastAsia" w:ascii="Calibri" w:hAnsi="Calibri" w:eastAsia="宋体" w:cs="Times New Roman"/>
                      <w:color w:val="auto"/>
                      <w:szCs w:val="21"/>
                    </w:rPr>
                    <w:t>达标</w:t>
                  </w:r>
                </w:p>
              </w:tc>
            </w:tr>
          </w:tbl>
          <w:p w14:paraId="3FCD8BC0">
            <w:pPr>
              <w:keepNext w:val="0"/>
              <w:keepLines w:val="0"/>
              <w:suppressLineNumbers w:val="0"/>
              <w:spacing w:before="0" w:beforeAutospacing="0" w:after="0" w:afterAutospacing="0"/>
              <w:ind w:left="0" w:right="0"/>
              <w:rPr>
                <w:rFonts w:ascii="Calibri" w:hAnsi="Calibri" w:eastAsia="宋体" w:cs="Times New Roman"/>
                <w:color w:val="auto"/>
              </w:rPr>
            </w:pPr>
          </w:p>
          <w:p w14:paraId="747EBCEC">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ascii="Calibri" w:hAnsi="Calibri" w:eastAsia="宋体" w:cs="Times New Roman"/>
                <w:color w:val="auto"/>
                <w:sz w:val="24"/>
              </w:rPr>
              <w:t>由以上预测结果可知：项目营运过程中，</w:t>
            </w:r>
            <w:r>
              <w:rPr>
                <w:rFonts w:hint="eastAsia" w:ascii="Calibri" w:hAnsi="Calibri" w:eastAsia="宋体" w:cs="Times New Roman"/>
                <w:color w:val="auto"/>
                <w:sz w:val="24"/>
              </w:rPr>
              <w:t>项目厂界</w:t>
            </w:r>
            <w:r>
              <w:rPr>
                <w:rFonts w:ascii="Calibri" w:hAnsi="Calibri" w:eastAsia="宋体" w:cs="Times New Roman"/>
                <w:color w:val="auto"/>
                <w:sz w:val="24"/>
              </w:rPr>
              <w:t>噪声符合《工业企业厂界环境噪声排放标准》（GB12348-2008）</w:t>
            </w:r>
            <w:r>
              <w:rPr>
                <w:rFonts w:hint="eastAsia" w:ascii="Calibri" w:hAnsi="Calibri" w:eastAsia="宋体" w:cs="Times New Roman"/>
                <w:color w:val="auto"/>
                <w:sz w:val="24"/>
              </w:rPr>
              <w:t>2</w:t>
            </w:r>
            <w:r>
              <w:rPr>
                <w:rFonts w:ascii="Calibri" w:hAnsi="Calibri" w:eastAsia="宋体" w:cs="Times New Roman"/>
                <w:color w:val="auto"/>
                <w:sz w:val="24"/>
              </w:rPr>
              <w:t>类标准限值</w:t>
            </w:r>
            <w:r>
              <w:rPr>
                <w:rFonts w:hint="eastAsia" w:ascii="Calibri" w:hAnsi="Calibri" w:eastAsia="宋体" w:cs="Times New Roman"/>
                <w:color w:val="auto"/>
                <w:sz w:val="24"/>
              </w:rPr>
              <w:t>，项目周边无声环境保护目标，对环境影响不大。</w:t>
            </w:r>
          </w:p>
          <w:p w14:paraId="30EDFF88">
            <w:pPr>
              <w:pStyle w:val="44"/>
              <w:keepNext w:val="0"/>
              <w:keepLines w:val="0"/>
              <w:suppressLineNumbers w:val="0"/>
              <w:spacing w:before="0" w:beforeAutospacing="0" w:after="0" w:afterAutospacing="0" w:line="360" w:lineRule="auto"/>
              <w:ind w:left="0" w:right="0" w:firstLine="482"/>
              <w:rPr>
                <w:rFonts w:hint="eastAsia" w:ascii="Times New Roman" w:hAnsi="Times New Roman" w:eastAsia="宋体" w:cs="Times New Roman"/>
                <w:b/>
                <w:bCs/>
                <w:color w:val="auto"/>
              </w:rPr>
            </w:pPr>
            <w:r>
              <w:rPr>
                <w:rFonts w:hint="eastAsia" w:ascii="Calibri" w:hAnsi="Calibri" w:eastAsia="宋体" w:cs="Times New Roman"/>
                <w:b/>
                <w:bCs/>
                <w:color w:val="auto"/>
              </w:rPr>
              <w:t>3、噪声防治对策</w:t>
            </w:r>
            <w:r>
              <w:rPr>
                <w:rFonts w:hint="eastAsia" w:ascii="Times New Roman" w:hAnsi="Times New Roman" w:eastAsia="宋体" w:cs="Times New Roman"/>
                <w:b/>
                <w:bCs/>
                <w:color w:val="auto"/>
              </w:rPr>
              <w:t>措施</w:t>
            </w:r>
          </w:p>
          <w:p w14:paraId="1A79401B">
            <w:pPr>
              <w:pStyle w:val="44"/>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rPr>
            </w:pPr>
            <w:r>
              <w:rPr>
                <w:rFonts w:hint="eastAsia" w:ascii="Times New Roman" w:hAnsi="Times New Roman" w:eastAsia="宋体" w:cs="Times New Roman"/>
                <w:color w:val="auto"/>
              </w:rPr>
              <w:t>为进一步降低噪声对敏感点的影响，可具体采取以下措施：</w:t>
            </w:r>
          </w:p>
          <w:p w14:paraId="33E9F3BC">
            <w:pPr>
              <w:pStyle w:val="44"/>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rPr>
            </w:pPr>
            <w:r>
              <w:rPr>
                <w:rFonts w:hint="eastAsia" w:ascii="Times New Roman" w:hAnsi="Times New Roman" w:eastAsia="宋体" w:cs="Times New Roman"/>
                <w:color w:val="auto"/>
              </w:rPr>
              <w:t>①设备之间应保持相应的间距，避免噪声叠加影响；</w:t>
            </w:r>
          </w:p>
          <w:p w14:paraId="5BFD9673">
            <w:pPr>
              <w:pStyle w:val="44"/>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rPr>
            </w:pPr>
            <w:r>
              <w:rPr>
                <w:rFonts w:hint="eastAsia" w:ascii="Times New Roman" w:hAnsi="Times New Roman" w:eastAsia="宋体" w:cs="Times New Roman"/>
                <w:color w:val="auto"/>
              </w:rPr>
              <w:t>②加强设备的维护，确保设备处于良好的运转状态，杜绝因设备不正常运转产生的高噪声现象。</w:t>
            </w:r>
          </w:p>
          <w:p w14:paraId="5B9C14C5">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Times New Roman" w:hAnsi="Times New Roman" w:eastAsia="宋体" w:cs="Times New Roman"/>
                <w:color w:val="auto"/>
              </w:rPr>
              <w:t>③合理布置设备位置，噪声源大的设备要安装减震措施，且远离敏感点。</w:t>
            </w:r>
          </w:p>
        </w:tc>
      </w:tr>
    </w:tbl>
    <w:p w14:paraId="524F1E15">
      <w:pPr>
        <w:pStyle w:val="41"/>
        <w:rPr>
          <w:rFonts w:hint="eastAsia"/>
          <w:color w:val="auto"/>
        </w:rPr>
        <w:sectPr>
          <w:pgSz w:w="16838" w:h="11905" w:orient="landscape"/>
          <w:pgMar w:top="1417" w:right="1417" w:bottom="1417" w:left="1417" w:header="851" w:footer="1077" w:gutter="0"/>
          <w:cols w:space="720" w:num="1"/>
          <w:docGrid w:linePitch="312" w:charSpace="0"/>
        </w:sectPr>
      </w:pPr>
    </w:p>
    <w:tbl>
      <w:tblPr>
        <w:tblStyle w:val="26"/>
        <w:tblW w:w="92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939"/>
      </w:tblGrid>
      <w:tr w14:paraId="142A4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5" w:hRule="atLeast"/>
          <w:jc w:val="center"/>
        </w:trPr>
        <w:tc>
          <w:tcPr>
            <w:tcW w:w="296" w:type="dxa"/>
            <w:noWrap w:val="0"/>
            <w:tcMar>
              <w:left w:w="28" w:type="dxa"/>
              <w:right w:w="28" w:type="dxa"/>
            </w:tcMar>
            <w:vAlign w:val="center"/>
          </w:tcPr>
          <w:p w14:paraId="4FD3C3B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运营</w:t>
            </w:r>
          </w:p>
          <w:p w14:paraId="7A591F5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期环</w:t>
            </w:r>
          </w:p>
          <w:p w14:paraId="49DF790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境影</w:t>
            </w:r>
          </w:p>
          <w:p w14:paraId="2810FB5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响和</w:t>
            </w:r>
          </w:p>
          <w:p w14:paraId="3322D33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rPr>
            </w:pPr>
            <w:r>
              <w:rPr>
                <w:rFonts w:hint="eastAsia" w:ascii="宋体" w:hAnsi="宋体" w:eastAsia="宋体" w:cs="宋体"/>
                <w:bCs/>
                <w:color w:val="auto"/>
                <w:sz w:val="24"/>
              </w:rPr>
              <w:t>保护</w:t>
            </w:r>
          </w:p>
          <w:p w14:paraId="1940CB20">
            <w:pPr>
              <w:keepNext w:val="0"/>
              <w:keepLines w:val="0"/>
              <w:suppressLineNumbers w:val="0"/>
              <w:adjustRightInd w:val="0"/>
              <w:snapToGrid w:val="0"/>
              <w:spacing w:before="0" w:beforeAutospacing="0" w:after="0" w:afterAutospacing="0" w:line="360" w:lineRule="auto"/>
              <w:ind w:left="0" w:right="0"/>
              <w:jc w:val="center"/>
              <w:rPr>
                <w:rFonts w:ascii="宋体" w:hAnsi="宋体" w:eastAsia="宋体" w:cs="宋体"/>
                <w:bCs/>
                <w:color w:val="auto"/>
                <w:sz w:val="24"/>
              </w:rPr>
            </w:pPr>
            <w:r>
              <w:rPr>
                <w:rFonts w:hint="eastAsia" w:ascii="宋体" w:hAnsi="宋体" w:eastAsia="宋体" w:cs="宋体"/>
                <w:bCs/>
                <w:color w:val="auto"/>
                <w:sz w:val="24"/>
              </w:rPr>
              <w:t>措施</w:t>
            </w:r>
          </w:p>
        </w:tc>
        <w:tc>
          <w:tcPr>
            <w:tcW w:w="8939" w:type="dxa"/>
            <w:noWrap w:val="0"/>
            <w:vAlign w:val="center"/>
          </w:tcPr>
          <w:p w14:paraId="3AF1E267">
            <w:pPr>
              <w:keepNext w:val="0"/>
              <w:keepLines w:val="0"/>
              <w:suppressLineNumbers w:val="0"/>
              <w:tabs>
                <w:tab w:val="left" w:pos="624"/>
              </w:tabs>
              <w:adjustRightInd w:val="0"/>
              <w:snapToGrid w:val="0"/>
              <w:spacing w:before="120" w:beforeLines="50" w:beforeAutospacing="0" w:after="0" w:afterAutospacing="0" w:line="360" w:lineRule="auto"/>
              <w:ind w:left="0" w:right="0"/>
              <w:rPr>
                <w:rFonts w:ascii="Times New Roman" w:hAnsi="Times New Roman" w:eastAsia="宋体" w:cs="Times New Roman"/>
                <w:b/>
                <w:bCs/>
                <w:color w:val="auto"/>
                <w:sz w:val="24"/>
              </w:rPr>
            </w:pPr>
            <w:r>
              <w:rPr>
                <w:rFonts w:ascii="Times New Roman" w:hAnsi="Times New Roman" w:eastAsia="宋体" w:cs="Times New Roman"/>
                <w:b/>
                <w:bCs/>
                <w:color w:val="auto"/>
                <w:sz w:val="24"/>
              </w:rPr>
              <w:t>四、固体废物源分析</w:t>
            </w:r>
          </w:p>
          <w:p w14:paraId="4D3B41E9">
            <w:pPr>
              <w:keepNext w:val="0"/>
              <w:keepLines w:val="0"/>
              <w:suppressLineNumbers w:val="0"/>
              <w:tabs>
                <w:tab w:val="left" w:pos="624"/>
              </w:tabs>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1、一般固体废物</w:t>
            </w:r>
          </w:p>
          <w:p w14:paraId="6C6D7FC9">
            <w:pPr>
              <w:pStyle w:val="44"/>
              <w:keepNext w:val="0"/>
              <w:keepLines w:val="0"/>
              <w:suppressLineNumbers w:val="0"/>
              <w:spacing w:before="0" w:beforeAutospacing="0" w:after="0" w:afterAutospacing="0" w:line="360" w:lineRule="auto"/>
              <w:ind w:left="0" w:right="0" w:firstLine="480"/>
              <w:rPr>
                <w:rFonts w:ascii="Calibri" w:hAnsi="Calibri" w:eastAsia="宋体" w:cs="宋体"/>
                <w:color w:val="auto"/>
                <w:lang w:bidi="ar"/>
              </w:rPr>
            </w:pPr>
            <w:r>
              <w:rPr>
                <w:rFonts w:hint="eastAsia" w:ascii="Times New Roman" w:hAnsi="Times New Roman" w:eastAsia="宋体" w:cs="Times New Roman"/>
                <w:color w:val="auto"/>
              </w:rPr>
              <w:t>①木块、玻璃等非金属固废</w:t>
            </w:r>
          </w:p>
          <w:p w14:paraId="47826A20">
            <w:pPr>
              <w:pStyle w:val="44"/>
              <w:keepNext w:val="0"/>
              <w:keepLines w:val="0"/>
              <w:suppressLineNumbers w:val="0"/>
              <w:spacing w:before="0" w:beforeAutospacing="0" w:after="0" w:afterAutospacing="0" w:line="360" w:lineRule="auto"/>
              <w:ind w:left="0" w:right="0" w:firstLine="480"/>
              <w:rPr>
                <w:rFonts w:ascii="Calibri" w:hAnsi="Calibri" w:eastAsia="宋体" w:cs="宋体"/>
                <w:color w:val="auto"/>
                <w:lang w:bidi="ar"/>
              </w:rPr>
            </w:pPr>
            <w:r>
              <w:rPr>
                <w:rFonts w:hint="eastAsia" w:ascii="Calibri" w:hAnsi="Calibri" w:eastAsia="宋体" w:cs="宋体"/>
                <w:color w:val="auto"/>
                <w:lang w:bidi="ar"/>
              </w:rPr>
              <w:t>项目手工分拣过程产生少量</w:t>
            </w:r>
            <w:r>
              <w:rPr>
                <w:rFonts w:hint="eastAsia" w:ascii="Times New Roman" w:hAnsi="Times New Roman" w:eastAsia="宋体" w:cs="Times New Roman"/>
                <w:color w:val="auto"/>
              </w:rPr>
              <w:t>木块、玻璃等非金属固废</w:t>
            </w:r>
            <w:r>
              <w:rPr>
                <w:rFonts w:hint="eastAsia" w:ascii="Calibri" w:hAnsi="Calibri" w:eastAsia="宋体" w:cs="宋体"/>
                <w:color w:val="auto"/>
                <w:lang w:bidi="ar"/>
              </w:rPr>
              <w:t>，其产生量约为原料的</w:t>
            </w:r>
            <w:r>
              <w:rPr>
                <w:rFonts w:ascii="Times New Roman" w:hAnsi="Times New Roman" w:eastAsia="宋体" w:cs="Times New Roman"/>
                <w:color w:val="auto"/>
                <w:lang w:bidi="ar"/>
              </w:rPr>
              <w:t>3.3%</w:t>
            </w:r>
            <w:r>
              <w:rPr>
                <w:rFonts w:hint="eastAsia" w:ascii="Calibri" w:hAnsi="Calibri" w:eastAsia="宋体" w:cs="宋体"/>
                <w:color w:val="auto"/>
                <w:lang w:bidi="ar"/>
              </w:rPr>
              <w:t>，项目原料为3万吨</w:t>
            </w:r>
            <w:r>
              <w:rPr>
                <w:rFonts w:hint="eastAsia" w:ascii="Calibri" w:hAnsi="Calibri" w:eastAsia="宋体" w:cs="Times New Roman"/>
                <w:color w:val="auto"/>
              </w:rPr>
              <w:t>，则产生的</w:t>
            </w:r>
            <w:r>
              <w:rPr>
                <w:rFonts w:hint="eastAsia" w:ascii="Times New Roman" w:hAnsi="Times New Roman" w:eastAsia="宋体" w:cs="Times New Roman"/>
                <w:color w:val="auto"/>
              </w:rPr>
              <w:t>木块、玻璃等非金属固废</w:t>
            </w:r>
            <w:r>
              <w:rPr>
                <w:rFonts w:hint="eastAsia" w:ascii="Calibri" w:hAnsi="Calibri" w:eastAsia="宋体" w:cs="宋体"/>
                <w:color w:val="auto"/>
                <w:lang w:bidi="ar"/>
              </w:rPr>
              <w:t>约为1000t，收集后木块可外售生物质颗粒厂作为原料，玻璃由环卫部门统一清运处理。</w:t>
            </w:r>
          </w:p>
          <w:p w14:paraId="399657C3">
            <w:pPr>
              <w:pStyle w:val="44"/>
              <w:keepNext w:val="0"/>
              <w:keepLines w:val="0"/>
              <w:suppressLineNumbers w:val="0"/>
              <w:spacing w:before="0" w:beforeAutospacing="0" w:after="0" w:afterAutospacing="0" w:line="360" w:lineRule="auto"/>
              <w:ind w:left="0" w:right="0" w:firstLine="480"/>
              <w:rPr>
                <w:rFonts w:ascii="Times New Roman" w:hAnsi="Times New Roman" w:eastAsia="宋体" w:cs="Times New Roman"/>
                <w:color w:val="auto"/>
              </w:rPr>
            </w:pPr>
            <w:r>
              <w:rPr>
                <w:rFonts w:ascii="Times New Roman" w:hAnsi="Times New Roman" w:eastAsia="宋体" w:cs="Times New Roman"/>
                <w:color w:val="auto"/>
              </w:rPr>
              <w:t>②</w:t>
            </w:r>
            <w:r>
              <w:rPr>
                <w:rFonts w:hint="eastAsia" w:ascii="Times New Roman" w:hAnsi="Times New Roman" w:eastAsia="宋体" w:cs="Times New Roman"/>
                <w:color w:val="auto"/>
              </w:rPr>
              <w:t>废弃包装物</w:t>
            </w:r>
          </w:p>
          <w:p w14:paraId="7FC5AC23">
            <w:pPr>
              <w:pStyle w:val="60"/>
              <w:keepNext w:val="0"/>
              <w:keepLines w:val="0"/>
              <w:suppressLineNumbers w:val="0"/>
              <w:spacing w:before="0" w:beforeLines="0" w:beforeAutospacing="0" w:after="0" w:afterLines="0" w:afterAutospacing="0" w:line="360" w:lineRule="auto"/>
              <w:ind w:left="0" w:right="0" w:firstLine="480" w:firstLineChars="20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snapToGrid w:val="0"/>
                <w:color w:val="auto"/>
                <w:sz w:val="24"/>
                <w:szCs w:val="24"/>
              </w:rPr>
              <w:t>项目废包装材料主要为尼龙吨袋、编织袋，不属于危险废物，产生量约1t/a，</w:t>
            </w:r>
            <w:r>
              <w:rPr>
                <w:rFonts w:hint="eastAsia" w:eastAsia="宋体" w:cs="Times New Roman"/>
                <w:snapToGrid w:val="0"/>
                <w:color w:val="auto"/>
                <w:sz w:val="24"/>
                <w:szCs w:val="24"/>
              </w:rPr>
              <w:t>统一收集暂存一般固废暂存间后，</w:t>
            </w:r>
            <w:r>
              <w:rPr>
                <w:rFonts w:hint="eastAsia" w:ascii="Times New Roman" w:hAnsi="Times New Roman" w:eastAsia="宋体" w:cs="Times New Roman"/>
                <w:snapToGrid w:val="0"/>
                <w:color w:val="auto"/>
                <w:sz w:val="24"/>
                <w:szCs w:val="24"/>
              </w:rPr>
              <w:t>外售资源回收单位。</w:t>
            </w:r>
          </w:p>
          <w:p w14:paraId="7852FACC">
            <w:pPr>
              <w:pStyle w:val="60"/>
              <w:keepNext w:val="0"/>
              <w:keepLines w:val="0"/>
              <w:suppressLineNumbers w:val="0"/>
              <w:spacing w:before="0" w:beforeLines="0" w:beforeAutospacing="0" w:after="0" w:afterLines="0" w:afterAutospacing="0" w:line="360" w:lineRule="auto"/>
              <w:ind w:left="0" w:right="0"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w:t>
            </w:r>
            <w:r>
              <w:rPr>
                <w:rFonts w:ascii="Times New Roman" w:hAnsi="Times New Roman" w:eastAsia="宋体" w:cs="Times New Roman"/>
                <w:b/>
                <w:bCs/>
                <w:color w:val="auto"/>
                <w:sz w:val="24"/>
                <w:szCs w:val="24"/>
              </w:rPr>
              <w:t>生活垃圾</w:t>
            </w:r>
          </w:p>
          <w:p w14:paraId="357D6089">
            <w:pPr>
              <w:pStyle w:val="60"/>
              <w:keepNext w:val="0"/>
              <w:keepLines w:val="0"/>
              <w:suppressLineNumbers w:val="0"/>
              <w:spacing w:before="0" w:beforeLines="0" w:beforeAutospacing="0" w:after="0" w:afterLines="0" w:afterAutospacing="0" w:line="360" w:lineRule="auto"/>
              <w:ind w:left="0" w:right="0" w:firstLine="48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w:t>
            </w:r>
            <w:r>
              <w:rPr>
                <w:rFonts w:ascii="Times New Roman" w:hAnsi="Times New Roman" w:eastAsia="宋体" w:cs="Times New Roman"/>
                <w:color w:val="auto"/>
                <w:sz w:val="24"/>
                <w:szCs w:val="24"/>
              </w:rPr>
              <w:t>员工为</w:t>
            </w:r>
            <w:r>
              <w:rPr>
                <w:rFonts w:hint="eastAsia" w:ascii="Times New Roman" w:hAnsi="Times New Roman" w:eastAsia="宋体" w:cs="Times New Roman"/>
                <w:color w:val="auto"/>
                <w:sz w:val="24"/>
                <w:szCs w:val="24"/>
              </w:rPr>
              <w:t>10</w:t>
            </w:r>
            <w:r>
              <w:rPr>
                <w:rFonts w:ascii="Times New Roman" w:hAnsi="Times New Roman" w:eastAsia="宋体" w:cs="Times New Roman"/>
                <w:color w:val="auto"/>
                <w:sz w:val="24"/>
                <w:szCs w:val="24"/>
              </w:rPr>
              <w:t>人，均</w:t>
            </w:r>
            <w:r>
              <w:rPr>
                <w:rFonts w:hint="eastAsia" w:ascii="Times New Roman" w:hAnsi="Times New Roman" w:eastAsia="宋体" w:cs="Times New Roman"/>
                <w:color w:val="auto"/>
                <w:sz w:val="24"/>
                <w:szCs w:val="24"/>
              </w:rPr>
              <w:t>不</w:t>
            </w:r>
            <w:r>
              <w:rPr>
                <w:rFonts w:ascii="Times New Roman" w:hAnsi="Times New Roman" w:eastAsia="宋体" w:cs="Times New Roman"/>
                <w:color w:val="auto"/>
                <w:sz w:val="24"/>
                <w:szCs w:val="24"/>
              </w:rPr>
              <w:t>在厂内居住，生活垃圾量取</w:t>
            </w:r>
            <w:r>
              <w:rPr>
                <w:rFonts w:hint="eastAsia" w:ascii="Times New Roman" w:hAnsi="Times New Roman" w:eastAsia="宋体" w:cs="Times New Roman"/>
                <w:color w:val="auto"/>
                <w:sz w:val="24"/>
                <w:szCs w:val="24"/>
              </w:rPr>
              <w:t>0.5</w:t>
            </w:r>
            <w:r>
              <w:rPr>
                <w:rFonts w:ascii="Times New Roman" w:hAnsi="Times New Roman" w:eastAsia="宋体" w:cs="Times New Roman"/>
                <w:color w:val="auto"/>
                <w:sz w:val="24"/>
                <w:szCs w:val="24"/>
              </w:rPr>
              <w:t>kg/人·天，生活垃圾产生量约</w:t>
            </w:r>
            <w:r>
              <w:rPr>
                <w:rFonts w:hint="eastAsia" w:ascii="Times New Roman" w:hAnsi="Times New Roman" w:eastAsia="宋体" w:cs="Times New Roman"/>
                <w:color w:val="auto"/>
                <w:sz w:val="24"/>
                <w:szCs w:val="24"/>
              </w:rPr>
              <w:t>5kg/d、1.5</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rPr>
              <w:t>统一收集后</w:t>
            </w:r>
            <w:r>
              <w:rPr>
                <w:rFonts w:ascii="Times New Roman" w:hAnsi="Times New Roman" w:eastAsia="宋体" w:cs="Times New Roman"/>
                <w:color w:val="auto"/>
                <w:sz w:val="24"/>
                <w:szCs w:val="24"/>
              </w:rPr>
              <w:t>由环卫部门清运</w:t>
            </w:r>
            <w:r>
              <w:rPr>
                <w:rFonts w:hint="eastAsia" w:ascii="Times New Roman" w:hAnsi="Times New Roman" w:eastAsia="宋体" w:cs="Times New Roman"/>
                <w:color w:val="auto"/>
                <w:sz w:val="24"/>
                <w:szCs w:val="24"/>
              </w:rPr>
              <w:t>处理</w:t>
            </w:r>
            <w:r>
              <w:rPr>
                <w:rFonts w:ascii="Times New Roman" w:hAnsi="Times New Roman" w:eastAsia="宋体" w:cs="Times New Roman"/>
                <w:color w:val="auto"/>
                <w:sz w:val="24"/>
                <w:szCs w:val="24"/>
              </w:rPr>
              <w:t>。</w:t>
            </w:r>
          </w:p>
          <w:p w14:paraId="2694D770">
            <w:pPr>
              <w:keepNext w:val="0"/>
              <w:keepLines w:val="0"/>
              <w:suppressLineNumbers w:val="0"/>
              <w:tabs>
                <w:tab w:val="left" w:pos="624"/>
              </w:tabs>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3、危险废物</w:t>
            </w:r>
          </w:p>
          <w:p w14:paraId="6BDEAC58">
            <w:pPr>
              <w:pStyle w:val="97"/>
              <w:keepNext w:val="0"/>
              <w:keepLines w:val="0"/>
              <w:widowControl/>
              <w:suppressLineNumbers w:val="0"/>
              <w:spacing w:before="0" w:beforeAutospacing="0" w:after="0" w:afterAutospacing="0" w:line="360" w:lineRule="auto"/>
              <w:ind w:left="0" w:right="0" w:firstLine="480"/>
              <w:rPr>
                <w:rFonts w:ascii="Times New Roman" w:hAnsi="Times New Roman" w:eastAsia="宋体" w:cs="Times New Roman"/>
                <w:color w:val="auto"/>
              </w:rPr>
            </w:pPr>
            <w:r>
              <w:rPr>
                <w:rFonts w:hint="eastAsia" w:ascii="Times New Roman" w:hAnsi="Times New Roman" w:eastAsia="宋体" w:cs="Times New Roman"/>
                <w:color w:val="auto"/>
              </w:rPr>
              <w:t>①废机油</w:t>
            </w:r>
          </w:p>
          <w:p w14:paraId="21B3FE4C">
            <w:pPr>
              <w:pStyle w:val="97"/>
              <w:keepNext w:val="0"/>
              <w:keepLines w:val="0"/>
              <w:widowControl/>
              <w:suppressLineNumbers w:val="0"/>
              <w:spacing w:before="0" w:beforeAutospacing="0" w:after="0" w:afterAutospacing="0" w:line="360" w:lineRule="auto"/>
              <w:ind w:left="0" w:right="0" w:firstLine="480"/>
              <w:rPr>
                <w:rFonts w:ascii="Times New Roman" w:hAnsi="Times New Roman" w:eastAsia="宋体" w:cs="Times New Roman"/>
                <w:color w:val="auto"/>
              </w:rPr>
            </w:pPr>
            <w:r>
              <w:rPr>
                <w:rFonts w:hint="eastAsia" w:ascii="Times New Roman" w:hAnsi="Times New Roman" w:eastAsia="宋体" w:cs="Times New Roman"/>
                <w:color w:val="auto"/>
              </w:rPr>
              <w:t>项目机械大件维修期间产生废机油产生量约为0.1t/a，根据《国家危险废物名录》（2025年版），废机油属于危险废物中的“HW08 900-214-08 ”。废机油放置在密闭塑料容器中，暂存于危废贮存点，定期交由有资质的单位处置。</w:t>
            </w:r>
          </w:p>
          <w:p w14:paraId="7B819088">
            <w:pPr>
              <w:pStyle w:val="97"/>
              <w:keepNext w:val="0"/>
              <w:keepLines w:val="0"/>
              <w:widowControl/>
              <w:suppressLineNumbers w:val="0"/>
              <w:spacing w:before="0" w:beforeAutospacing="0" w:after="0" w:afterAutospacing="0" w:line="360" w:lineRule="auto"/>
              <w:ind w:left="0" w:right="0" w:firstLine="480"/>
              <w:rPr>
                <w:rFonts w:ascii="Times New Roman" w:hAnsi="Times New Roman" w:eastAsia="宋体" w:cs="Times New Roman"/>
                <w:color w:val="auto"/>
              </w:rPr>
            </w:pPr>
            <w:bookmarkStart w:id="26" w:name="OLE_LINK71"/>
            <w:r>
              <w:rPr>
                <w:rFonts w:hint="eastAsia" w:ascii="Times New Roman" w:hAnsi="Times New Roman" w:eastAsia="宋体" w:cs="Times New Roman"/>
                <w:color w:val="auto"/>
              </w:rPr>
              <w:t>②</w:t>
            </w:r>
            <w:bookmarkEnd w:id="26"/>
            <w:r>
              <w:rPr>
                <w:rFonts w:hint="eastAsia" w:ascii="Times New Roman" w:hAnsi="Times New Roman" w:eastAsia="宋体" w:cs="Times New Roman"/>
                <w:color w:val="auto"/>
              </w:rPr>
              <w:t>废弃的含油抹布、劳保用品</w:t>
            </w:r>
          </w:p>
          <w:p w14:paraId="0E815719">
            <w:pPr>
              <w:pStyle w:val="97"/>
              <w:keepNext w:val="0"/>
              <w:keepLines w:val="0"/>
              <w:widowControl/>
              <w:suppressLineNumbers w:val="0"/>
              <w:spacing w:before="0" w:beforeAutospacing="0" w:after="0" w:afterAutospacing="0" w:line="360" w:lineRule="auto"/>
              <w:ind w:left="0" w:right="0" w:firstLine="480"/>
              <w:rPr>
                <w:rFonts w:ascii="Times New Roman" w:hAnsi="Times New Roman" w:eastAsia="宋体" w:cs="Times New Roman"/>
                <w:color w:val="auto"/>
              </w:rPr>
            </w:pPr>
            <w:r>
              <w:rPr>
                <w:rFonts w:hint="eastAsia" w:ascii="Times New Roman" w:hAnsi="Times New Roman" w:eastAsia="宋体" w:cs="Times New Roman"/>
                <w:color w:val="auto"/>
              </w:rPr>
              <w:t>项目机械设备小件维修用抹布或棉纱、佩戴手套进行擦洗和维修，故产生少量含油抹布、棉纱及手套等劳保用品约0.01t/a，危险类别及代码为“HW49 900-041-49”，</w:t>
            </w:r>
            <w:bookmarkStart w:id="27" w:name="OLE_LINK70"/>
            <w:r>
              <w:rPr>
                <w:rFonts w:hint="eastAsia" w:ascii="Times New Roman" w:hAnsi="Times New Roman" w:eastAsia="宋体" w:cs="Times New Roman"/>
                <w:color w:val="auto"/>
              </w:rPr>
              <w:t>放置在密闭塑料容器中，统一收集至危废贮存点，定期交由有资质单位处置。</w:t>
            </w:r>
            <w:bookmarkEnd w:id="27"/>
          </w:p>
          <w:p w14:paraId="113DA5BF">
            <w:pPr>
              <w:pStyle w:val="97"/>
              <w:keepNext w:val="0"/>
              <w:keepLines w:val="0"/>
              <w:widowControl/>
              <w:suppressLineNumbers w:val="0"/>
              <w:spacing w:before="0" w:beforeAutospacing="0" w:after="0" w:afterAutospacing="0" w:line="360" w:lineRule="auto"/>
              <w:ind w:left="0" w:right="0" w:firstLine="480"/>
              <w:rPr>
                <w:rFonts w:ascii="Times New Roman" w:hAnsi="Times New Roman" w:eastAsia="宋体" w:cs="Times New Roman"/>
                <w:color w:val="auto"/>
              </w:rPr>
            </w:pPr>
            <w:r>
              <w:rPr>
                <w:rFonts w:ascii="Times New Roman" w:hAnsi="Times New Roman" w:eastAsia="宋体" w:cs="Times New Roman"/>
                <w:color w:val="auto"/>
              </w:rPr>
              <w:t>③</w:t>
            </w:r>
            <w:r>
              <w:rPr>
                <w:rFonts w:hint="eastAsia" w:ascii="Times New Roman" w:hAnsi="Times New Roman" w:eastAsia="宋体" w:cs="Times New Roman"/>
                <w:color w:val="auto"/>
              </w:rPr>
              <w:t>废机油桶</w:t>
            </w:r>
          </w:p>
          <w:p w14:paraId="4E8A779B">
            <w:pPr>
              <w:pStyle w:val="97"/>
              <w:keepNext w:val="0"/>
              <w:keepLines w:val="0"/>
              <w:widowControl/>
              <w:suppressLineNumbers w:val="0"/>
              <w:spacing w:before="0" w:beforeAutospacing="0" w:after="0" w:afterAutospacing="0" w:line="360" w:lineRule="auto"/>
              <w:ind w:left="0" w:right="0" w:firstLine="480"/>
              <w:rPr>
                <w:rFonts w:ascii="Times New Roman" w:hAnsi="Times New Roman" w:eastAsia="宋体" w:cs="Times New Roman"/>
                <w:color w:val="auto"/>
              </w:rPr>
            </w:pPr>
            <w:r>
              <w:rPr>
                <w:rFonts w:hint="eastAsia" w:ascii="Times New Roman" w:hAnsi="Times New Roman" w:eastAsia="宋体" w:cs="Times New Roman"/>
                <w:color w:val="auto"/>
              </w:rPr>
              <w:t>项目废油桶产生量约为0.1t/a，属于危险废物，危险废物类别为“HW08 900-249-08”，放置在密闭塑料容器中，统一收集至危废贮存点，定期交由有资质单位处置。</w:t>
            </w:r>
          </w:p>
          <w:p w14:paraId="195E3896">
            <w:pPr>
              <w:keepNext w:val="0"/>
              <w:keepLines w:val="0"/>
              <w:suppressLineNumbers w:val="0"/>
              <w:spacing w:before="0" w:beforeAutospacing="0" w:after="0" w:afterAutospacing="0"/>
              <w:ind w:left="0" w:right="0" w:firstLine="482"/>
              <w:jc w:val="center"/>
              <w:textAlignment w:val="baseline"/>
              <w:rPr>
                <w:rFonts w:ascii="Calibri" w:hAnsi="Calibri" w:eastAsia="宋体" w:cs="Times New Roman"/>
                <w:b/>
                <w:color w:val="auto"/>
                <w:sz w:val="24"/>
              </w:rPr>
            </w:pPr>
            <w:r>
              <w:rPr>
                <w:rFonts w:ascii="Calibri" w:hAnsi="Calibri" w:eastAsia="宋体" w:cs="Times New Roman"/>
                <w:b/>
                <w:color w:val="auto"/>
                <w:sz w:val="24"/>
              </w:rPr>
              <w:t>表</w:t>
            </w:r>
            <w:r>
              <w:rPr>
                <w:rFonts w:hint="eastAsia" w:ascii="Calibri" w:hAnsi="Calibri" w:eastAsia="宋体" w:cs="Times New Roman"/>
                <w:b/>
                <w:color w:val="auto"/>
                <w:sz w:val="24"/>
              </w:rPr>
              <w:t>4-11</w:t>
            </w:r>
            <w:r>
              <w:rPr>
                <w:rFonts w:ascii="Calibri" w:hAnsi="Calibri" w:eastAsia="宋体" w:cs="Times New Roman"/>
                <w:b/>
                <w:color w:val="auto"/>
                <w:sz w:val="24"/>
              </w:rPr>
              <w:t xml:space="preserve">  项目危险废物基本情况汇总表</w:t>
            </w:r>
          </w:p>
          <w:tbl>
            <w:tblPr>
              <w:tblStyle w:val="26"/>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78"/>
              <w:gridCol w:w="1266"/>
              <w:gridCol w:w="584"/>
              <w:gridCol w:w="1023"/>
              <w:gridCol w:w="663"/>
              <w:gridCol w:w="912"/>
              <w:gridCol w:w="438"/>
              <w:gridCol w:w="453"/>
              <w:gridCol w:w="476"/>
              <w:gridCol w:w="518"/>
              <w:gridCol w:w="513"/>
              <w:gridCol w:w="513"/>
              <w:gridCol w:w="971"/>
            </w:tblGrid>
            <w:tr w14:paraId="36E11E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34" w:hRule="atLeast"/>
                <w:jc w:val="center"/>
              </w:trPr>
              <w:tc>
                <w:tcPr>
                  <w:tcW w:w="217" w:type="pct"/>
                  <w:noWrap w:val="0"/>
                  <w:tcMar>
                    <w:top w:w="0" w:type="dxa"/>
                    <w:left w:w="0" w:type="dxa"/>
                    <w:bottom w:w="0" w:type="dxa"/>
                    <w:right w:w="0" w:type="dxa"/>
                  </w:tcMar>
                  <w:vAlign w:val="center"/>
                </w:tcPr>
                <w:p w14:paraId="44C65C59">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序号</w:t>
                  </w:r>
                </w:p>
              </w:tc>
              <w:tc>
                <w:tcPr>
                  <w:tcW w:w="726" w:type="pct"/>
                  <w:noWrap w:val="0"/>
                  <w:tcMar>
                    <w:top w:w="0" w:type="dxa"/>
                    <w:left w:w="0" w:type="dxa"/>
                    <w:bottom w:w="0" w:type="dxa"/>
                    <w:right w:w="0" w:type="dxa"/>
                  </w:tcMar>
                  <w:vAlign w:val="center"/>
                </w:tcPr>
                <w:p w14:paraId="611974C6">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危险废物名称</w:t>
                  </w:r>
                </w:p>
              </w:tc>
              <w:tc>
                <w:tcPr>
                  <w:tcW w:w="335" w:type="pct"/>
                  <w:noWrap w:val="0"/>
                  <w:tcMar>
                    <w:top w:w="0" w:type="dxa"/>
                    <w:left w:w="0" w:type="dxa"/>
                    <w:bottom w:w="0" w:type="dxa"/>
                    <w:right w:w="0" w:type="dxa"/>
                  </w:tcMar>
                  <w:vAlign w:val="center"/>
                </w:tcPr>
                <w:p w14:paraId="4D58B396">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危险废物类别</w:t>
                  </w:r>
                </w:p>
              </w:tc>
              <w:tc>
                <w:tcPr>
                  <w:tcW w:w="587" w:type="pct"/>
                  <w:noWrap w:val="0"/>
                  <w:tcMar>
                    <w:top w:w="0" w:type="dxa"/>
                    <w:left w:w="0" w:type="dxa"/>
                    <w:bottom w:w="0" w:type="dxa"/>
                    <w:right w:w="0" w:type="dxa"/>
                  </w:tcMar>
                  <w:vAlign w:val="center"/>
                </w:tcPr>
                <w:p w14:paraId="3004539E">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危险废物</w:t>
                  </w:r>
                </w:p>
                <w:p w14:paraId="731CEA7E">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代码</w:t>
                  </w:r>
                </w:p>
              </w:tc>
              <w:tc>
                <w:tcPr>
                  <w:tcW w:w="380" w:type="pct"/>
                  <w:noWrap w:val="0"/>
                  <w:tcMar>
                    <w:top w:w="0" w:type="dxa"/>
                    <w:left w:w="0" w:type="dxa"/>
                    <w:bottom w:w="0" w:type="dxa"/>
                    <w:right w:w="0" w:type="dxa"/>
                  </w:tcMar>
                  <w:vAlign w:val="center"/>
                </w:tcPr>
                <w:p w14:paraId="2C61205C">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产生量（</w:t>
                  </w:r>
                  <w:r>
                    <w:rPr>
                      <w:rFonts w:ascii="Calibri" w:hAnsi="Calibri" w:eastAsia="宋体" w:cs="Times New Roman"/>
                      <w:color w:val="auto"/>
                      <w:kern w:val="0"/>
                      <w:szCs w:val="21"/>
                    </w:rPr>
                    <w:t>t/</w:t>
                  </w:r>
                  <w:r>
                    <w:rPr>
                      <w:rFonts w:ascii="Calibri" w:hAnsi="宋体" w:eastAsia="宋体" w:cs="Times New Roman"/>
                      <w:color w:val="auto"/>
                      <w:kern w:val="0"/>
                      <w:szCs w:val="21"/>
                    </w:rPr>
                    <w:t>年）</w:t>
                  </w:r>
                </w:p>
              </w:tc>
              <w:tc>
                <w:tcPr>
                  <w:tcW w:w="523" w:type="pct"/>
                  <w:noWrap w:val="0"/>
                  <w:tcMar>
                    <w:top w:w="0" w:type="dxa"/>
                    <w:left w:w="0" w:type="dxa"/>
                    <w:bottom w:w="0" w:type="dxa"/>
                    <w:right w:w="0" w:type="dxa"/>
                  </w:tcMar>
                  <w:vAlign w:val="center"/>
                </w:tcPr>
                <w:p w14:paraId="54FB0652">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产生工序及装置</w:t>
                  </w:r>
                </w:p>
              </w:tc>
              <w:tc>
                <w:tcPr>
                  <w:tcW w:w="251" w:type="pct"/>
                  <w:noWrap w:val="0"/>
                  <w:tcMar>
                    <w:top w:w="0" w:type="dxa"/>
                    <w:left w:w="0" w:type="dxa"/>
                    <w:bottom w:w="0" w:type="dxa"/>
                    <w:right w:w="0" w:type="dxa"/>
                  </w:tcMar>
                  <w:vAlign w:val="center"/>
                </w:tcPr>
                <w:p w14:paraId="0C86E5C9">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形态</w:t>
                  </w:r>
                </w:p>
              </w:tc>
              <w:tc>
                <w:tcPr>
                  <w:tcW w:w="260" w:type="pct"/>
                  <w:noWrap w:val="0"/>
                  <w:tcMar>
                    <w:top w:w="0" w:type="dxa"/>
                    <w:left w:w="0" w:type="dxa"/>
                    <w:bottom w:w="0" w:type="dxa"/>
                    <w:right w:w="0" w:type="dxa"/>
                  </w:tcMar>
                  <w:vAlign w:val="center"/>
                </w:tcPr>
                <w:p w14:paraId="20BDC901">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主要成分</w:t>
                  </w:r>
                </w:p>
              </w:tc>
              <w:tc>
                <w:tcPr>
                  <w:tcW w:w="273" w:type="pct"/>
                  <w:noWrap w:val="0"/>
                  <w:tcMar>
                    <w:top w:w="0" w:type="dxa"/>
                    <w:left w:w="0" w:type="dxa"/>
                    <w:bottom w:w="0" w:type="dxa"/>
                    <w:right w:w="0" w:type="dxa"/>
                  </w:tcMar>
                  <w:vAlign w:val="center"/>
                </w:tcPr>
                <w:p w14:paraId="0DE417AE">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有害成分</w:t>
                  </w:r>
                </w:p>
              </w:tc>
              <w:tc>
                <w:tcPr>
                  <w:tcW w:w="297" w:type="pct"/>
                  <w:noWrap w:val="0"/>
                  <w:tcMar>
                    <w:top w:w="0" w:type="dxa"/>
                    <w:left w:w="0" w:type="dxa"/>
                    <w:bottom w:w="0" w:type="dxa"/>
                    <w:right w:w="0" w:type="dxa"/>
                  </w:tcMar>
                  <w:vAlign w:val="center"/>
                </w:tcPr>
                <w:p w14:paraId="411C10E0">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产废周期</w:t>
                  </w:r>
                </w:p>
              </w:tc>
              <w:tc>
                <w:tcPr>
                  <w:tcW w:w="294" w:type="pct"/>
                  <w:noWrap w:val="0"/>
                  <w:tcMar>
                    <w:top w:w="0" w:type="dxa"/>
                    <w:left w:w="0" w:type="dxa"/>
                    <w:bottom w:w="0" w:type="dxa"/>
                    <w:right w:w="0" w:type="dxa"/>
                  </w:tcMar>
                  <w:vAlign w:val="center"/>
                </w:tcPr>
                <w:p w14:paraId="193F45BD">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u w:val="single"/>
                    </w:rPr>
                  </w:pPr>
                  <w:r>
                    <w:rPr>
                      <w:rFonts w:hint="eastAsia" w:ascii="Calibri" w:hAnsi="宋体" w:eastAsia="宋体" w:cs="Times New Roman"/>
                      <w:color w:val="auto"/>
                      <w:kern w:val="0"/>
                      <w:szCs w:val="21"/>
                    </w:rPr>
                    <w:t>存放时间</w:t>
                  </w:r>
                </w:p>
              </w:tc>
              <w:tc>
                <w:tcPr>
                  <w:tcW w:w="294" w:type="pct"/>
                  <w:noWrap w:val="0"/>
                  <w:tcMar>
                    <w:top w:w="0" w:type="dxa"/>
                    <w:left w:w="0" w:type="dxa"/>
                    <w:bottom w:w="0" w:type="dxa"/>
                    <w:right w:w="0" w:type="dxa"/>
                  </w:tcMar>
                  <w:vAlign w:val="center"/>
                </w:tcPr>
                <w:p w14:paraId="4067EE24">
                  <w:pPr>
                    <w:keepNext w:val="0"/>
                    <w:keepLines w:val="0"/>
                    <w:suppressLineNumbers w:val="0"/>
                    <w:topLinePunct/>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危险</w:t>
                  </w:r>
                </w:p>
                <w:p w14:paraId="731B4C97">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特性</w:t>
                  </w:r>
                </w:p>
              </w:tc>
              <w:tc>
                <w:tcPr>
                  <w:tcW w:w="557" w:type="pct"/>
                  <w:noWrap w:val="0"/>
                  <w:tcMar>
                    <w:top w:w="0" w:type="dxa"/>
                    <w:left w:w="0" w:type="dxa"/>
                    <w:bottom w:w="0" w:type="dxa"/>
                    <w:right w:w="0" w:type="dxa"/>
                  </w:tcMar>
                  <w:vAlign w:val="center"/>
                </w:tcPr>
                <w:p w14:paraId="410C1443">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污染防</w:t>
                  </w:r>
                </w:p>
                <w:p w14:paraId="26B5223D">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宋体" w:eastAsia="宋体" w:cs="Times New Roman"/>
                      <w:color w:val="auto"/>
                      <w:kern w:val="0"/>
                      <w:szCs w:val="21"/>
                    </w:rPr>
                    <w:t>治措施</w:t>
                  </w:r>
                </w:p>
              </w:tc>
            </w:tr>
            <w:tr w14:paraId="65AA41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7" w:type="pct"/>
                  <w:noWrap w:val="0"/>
                  <w:tcMar>
                    <w:top w:w="0" w:type="dxa"/>
                    <w:left w:w="0" w:type="dxa"/>
                    <w:bottom w:w="0" w:type="dxa"/>
                    <w:right w:w="0" w:type="dxa"/>
                  </w:tcMar>
                  <w:vAlign w:val="center"/>
                </w:tcPr>
                <w:p w14:paraId="1DD70203">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1</w:t>
                  </w:r>
                </w:p>
              </w:tc>
              <w:tc>
                <w:tcPr>
                  <w:tcW w:w="726" w:type="pct"/>
                  <w:noWrap w:val="0"/>
                  <w:tcMar>
                    <w:top w:w="0" w:type="dxa"/>
                    <w:left w:w="0" w:type="dxa"/>
                    <w:bottom w:w="0" w:type="dxa"/>
                    <w:right w:w="0" w:type="dxa"/>
                  </w:tcMar>
                  <w:vAlign w:val="center"/>
                </w:tcPr>
                <w:p w14:paraId="620AFF95">
                  <w:pPr>
                    <w:keepNext w:val="0"/>
                    <w:keepLines w:val="0"/>
                    <w:suppressLineNumbers w:val="0"/>
                    <w:topLinePunct/>
                    <w:spacing w:before="0" w:beforeAutospacing="0" w:after="0" w:afterAutospacing="0"/>
                    <w:ind w:left="0" w:right="0"/>
                    <w:jc w:val="center"/>
                    <w:rPr>
                      <w:rFonts w:hint="eastAsia" w:ascii="Calibri" w:hAnsi="宋体" w:eastAsia="宋体" w:cs="Times New Roman"/>
                      <w:color w:val="auto"/>
                      <w:kern w:val="0"/>
                      <w:szCs w:val="21"/>
                    </w:rPr>
                  </w:pPr>
                  <w:r>
                    <w:rPr>
                      <w:rFonts w:hint="eastAsia" w:ascii="Calibri" w:hAnsi="宋体" w:eastAsia="宋体" w:cs="Times New Roman"/>
                      <w:color w:val="auto"/>
                      <w:kern w:val="0"/>
                      <w:szCs w:val="21"/>
                    </w:rPr>
                    <w:t>废机油</w:t>
                  </w:r>
                </w:p>
              </w:tc>
              <w:tc>
                <w:tcPr>
                  <w:tcW w:w="335" w:type="pct"/>
                  <w:noWrap w:val="0"/>
                  <w:tcMar>
                    <w:top w:w="0" w:type="dxa"/>
                    <w:left w:w="0" w:type="dxa"/>
                    <w:bottom w:w="0" w:type="dxa"/>
                    <w:right w:w="0" w:type="dxa"/>
                  </w:tcMar>
                  <w:vAlign w:val="center"/>
                </w:tcPr>
                <w:p w14:paraId="53170350">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HW08</w:t>
                  </w:r>
                </w:p>
              </w:tc>
              <w:tc>
                <w:tcPr>
                  <w:tcW w:w="587" w:type="pct"/>
                  <w:noWrap w:val="0"/>
                  <w:tcMar>
                    <w:top w:w="0" w:type="dxa"/>
                    <w:left w:w="0" w:type="dxa"/>
                    <w:bottom w:w="0" w:type="dxa"/>
                    <w:right w:w="0" w:type="dxa"/>
                  </w:tcMar>
                  <w:vAlign w:val="center"/>
                </w:tcPr>
                <w:p w14:paraId="754E3EEB">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Cs/>
                      <w:color w:val="auto"/>
                      <w:szCs w:val="21"/>
                    </w:rPr>
                  </w:pPr>
                  <w:r>
                    <w:rPr>
                      <w:rFonts w:hint="eastAsia" w:ascii="Calibri" w:hAnsi="Calibri" w:eastAsia="宋体" w:cs="Times New Roman"/>
                      <w:bCs/>
                      <w:color w:val="auto"/>
                      <w:szCs w:val="21"/>
                    </w:rPr>
                    <w:t>900-214-08</w:t>
                  </w:r>
                </w:p>
              </w:tc>
              <w:tc>
                <w:tcPr>
                  <w:tcW w:w="380" w:type="pct"/>
                  <w:noWrap w:val="0"/>
                  <w:tcMar>
                    <w:top w:w="0" w:type="dxa"/>
                    <w:left w:w="0" w:type="dxa"/>
                    <w:bottom w:w="0" w:type="dxa"/>
                    <w:right w:w="0" w:type="dxa"/>
                  </w:tcMar>
                  <w:vAlign w:val="center"/>
                </w:tcPr>
                <w:p w14:paraId="19A281B1">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0.1</w:t>
                  </w:r>
                </w:p>
              </w:tc>
              <w:tc>
                <w:tcPr>
                  <w:tcW w:w="523" w:type="pct"/>
                  <w:vMerge w:val="restart"/>
                  <w:noWrap w:val="0"/>
                  <w:tcMar>
                    <w:top w:w="0" w:type="dxa"/>
                    <w:left w:w="0" w:type="dxa"/>
                    <w:bottom w:w="0" w:type="dxa"/>
                    <w:right w:w="0" w:type="dxa"/>
                  </w:tcMar>
                  <w:vAlign w:val="center"/>
                </w:tcPr>
                <w:p w14:paraId="59F20357">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r>
                    <w:rPr>
                      <w:rFonts w:hint="eastAsia" w:ascii="Calibri" w:hAnsi="宋体" w:eastAsia="宋体" w:cs="Times New Roman"/>
                      <w:color w:val="auto"/>
                      <w:kern w:val="0"/>
                      <w:szCs w:val="21"/>
                    </w:rPr>
                    <w:t>发酵车间</w:t>
                  </w:r>
                </w:p>
              </w:tc>
              <w:tc>
                <w:tcPr>
                  <w:tcW w:w="251" w:type="pct"/>
                  <w:noWrap w:val="0"/>
                  <w:tcMar>
                    <w:top w:w="0" w:type="dxa"/>
                    <w:left w:w="0" w:type="dxa"/>
                    <w:bottom w:w="0" w:type="dxa"/>
                    <w:right w:w="0" w:type="dxa"/>
                  </w:tcMar>
                  <w:vAlign w:val="center"/>
                </w:tcPr>
                <w:p w14:paraId="426036C7">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r>
                    <w:rPr>
                      <w:rFonts w:hint="eastAsia" w:ascii="Calibri" w:hAnsi="宋体" w:eastAsia="宋体" w:cs="Times New Roman"/>
                      <w:color w:val="auto"/>
                      <w:kern w:val="0"/>
                      <w:szCs w:val="21"/>
                    </w:rPr>
                    <w:t>液态</w:t>
                  </w:r>
                </w:p>
              </w:tc>
              <w:tc>
                <w:tcPr>
                  <w:tcW w:w="260" w:type="pct"/>
                  <w:noWrap w:val="0"/>
                  <w:tcMar>
                    <w:top w:w="0" w:type="dxa"/>
                    <w:left w:w="0" w:type="dxa"/>
                    <w:bottom w:w="0" w:type="dxa"/>
                    <w:right w:w="0" w:type="dxa"/>
                  </w:tcMar>
                  <w:vAlign w:val="center"/>
                </w:tcPr>
                <w:p w14:paraId="007267D1">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r>
                    <w:rPr>
                      <w:rFonts w:hint="eastAsia" w:ascii="Calibri" w:hAnsi="宋体" w:eastAsia="宋体" w:cs="Times New Roman"/>
                      <w:color w:val="auto"/>
                      <w:kern w:val="0"/>
                      <w:szCs w:val="21"/>
                    </w:rPr>
                    <w:t>机油</w:t>
                  </w:r>
                </w:p>
              </w:tc>
              <w:tc>
                <w:tcPr>
                  <w:tcW w:w="273" w:type="pct"/>
                  <w:vMerge w:val="restart"/>
                  <w:noWrap w:val="0"/>
                  <w:tcMar>
                    <w:top w:w="0" w:type="dxa"/>
                    <w:left w:w="0" w:type="dxa"/>
                    <w:bottom w:w="0" w:type="dxa"/>
                    <w:right w:w="0" w:type="dxa"/>
                  </w:tcMar>
                  <w:vAlign w:val="center"/>
                </w:tcPr>
                <w:p w14:paraId="4DC3F81F">
                  <w:pPr>
                    <w:keepNext w:val="0"/>
                    <w:keepLines w:val="0"/>
                    <w:suppressLineNumbers w:val="0"/>
                    <w:adjustRightInd w:val="0"/>
                    <w:snapToGrid w:val="0"/>
                    <w:spacing w:before="0" w:beforeAutospacing="0" w:after="0" w:afterAutospacing="0"/>
                    <w:ind w:left="0" w:right="0"/>
                    <w:jc w:val="center"/>
                    <w:rPr>
                      <w:rFonts w:hint="eastAsia" w:ascii="Calibri" w:hAnsi="宋体" w:eastAsia="宋体" w:cs="Times New Roman"/>
                      <w:color w:val="auto"/>
                      <w:szCs w:val="21"/>
                    </w:rPr>
                  </w:pPr>
                  <w:r>
                    <w:rPr>
                      <w:rFonts w:ascii="Calibri" w:hAnsi="宋体" w:eastAsia="宋体" w:cs="Times New Roman"/>
                      <w:color w:val="auto"/>
                      <w:szCs w:val="21"/>
                    </w:rPr>
                    <w:t>烷烃、多环芳烃等</w:t>
                  </w:r>
                </w:p>
              </w:tc>
              <w:tc>
                <w:tcPr>
                  <w:tcW w:w="297" w:type="pct"/>
                  <w:noWrap w:val="0"/>
                  <w:tcMar>
                    <w:top w:w="0" w:type="dxa"/>
                    <w:left w:w="0" w:type="dxa"/>
                    <w:bottom w:w="0" w:type="dxa"/>
                    <w:right w:w="0" w:type="dxa"/>
                  </w:tcMar>
                  <w:vAlign w:val="center"/>
                </w:tcPr>
                <w:p w14:paraId="6DCA0FC8">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半年</w:t>
                  </w:r>
                </w:p>
              </w:tc>
              <w:tc>
                <w:tcPr>
                  <w:tcW w:w="294" w:type="pct"/>
                  <w:noWrap w:val="0"/>
                  <w:tcMar>
                    <w:top w:w="0" w:type="dxa"/>
                    <w:left w:w="0" w:type="dxa"/>
                    <w:bottom w:w="0" w:type="dxa"/>
                    <w:right w:w="0" w:type="dxa"/>
                  </w:tcMar>
                  <w:vAlign w:val="center"/>
                </w:tcPr>
                <w:p w14:paraId="7F15DC97">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30天</w:t>
                  </w:r>
                </w:p>
              </w:tc>
              <w:tc>
                <w:tcPr>
                  <w:tcW w:w="294" w:type="pct"/>
                  <w:noWrap w:val="0"/>
                  <w:tcMar>
                    <w:top w:w="0" w:type="dxa"/>
                    <w:left w:w="0" w:type="dxa"/>
                    <w:bottom w:w="0" w:type="dxa"/>
                    <w:right w:w="0" w:type="dxa"/>
                  </w:tcMar>
                  <w:vAlign w:val="center"/>
                </w:tcPr>
                <w:p w14:paraId="664F741F">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T</w:t>
                  </w:r>
                  <w:r>
                    <w:rPr>
                      <w:rFonts w:hint="eastAsia" w:ascii="Calibri" w:hAnsi="Calibri" w:eastAsia="宋体" w:cs="Times New Roman"/>
                      <w:color w:val="auto"/>
                      <w:szCs w:val="21"/>
                    </w:rPr>
                    <w:t>/In</w:t>
                  </w:r>
                </w:p>
              </w:tc>
              <w:tc>
                <w:tcPr>
                  <w:tcW w:w="557" w:type="pct"/>
                  <w:vMerge w:val="restart"/>
                  <w:noWrap w:val="0"/>
                  <w:vAlign w:val="center"/>
                </w:tcPr>
                <w:p w14:paraId="04EDFC43">
                  <w:pPr>
                    <w:keepNext w:val="0"/>
                    <w:keepLines w:val="0"/>
                    <w:widowControl/>
                    <w:suppressLineNumbers w:val="0"/>
                    <w:spacing w:before="0" w:beforeAutospacing="0" w:after="0" w:afterAutospacing="0"/>
                    <w:ind w:left="0" w:right="0"/>
                    <w:jc w:val="center"/>
                    <w:rPr>
                      <w:rFonts w:hint="eastAsia" w:ascii="Calibri" w:hAnsi="宋体" w:eastAsia="宋体" w:cs="Times New Roman"/>
                      <w:color w:val="auto"/>
                      <w:szCs w:val="21"/>
                    </w:rPr>
                  </w:pPr>
                  <w:r>
                    <w:rPr>
                      <w:rFonts w:hint="eastAsia" w:ascii="Calibri" w:hAnsi="宋体" w:eastAsia="宋体" w:cs="Times New Roman"/>
                      <w:color w:val="auto"/>
                      <w:szCs w:val="21"/>
                    </w:rPr>
                    <w:t>由有资质的单位进行处理</w:t>
                  </w:r>
                </w:p>
              </w:tc>
            </w:tr>
            <w:tr w14:paraId="0601B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7" w:type="pct"/>
                  <w:noWrap w:val="0"/>
                  <w:tcMar>
                    <w:top w:w="0" w:type="dxa"/>
                    <w:left w:w="0" w:type="dxa"/>
                    <w:bottom w:w="0" w:type="dxa"/>
                    <w:right w:w="0" w:type="dxa"/>
                  </w:tcMar>
                  <w:vAlign w:val="center"/>
                </w:tcPr>
                <w:p w14:paraId="43FABEE9">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2</w:t>
                  </w:r>
                </w:p>
              </w:tc>
              <w:tc>
                <w:tcPr>
                  <w:tcW w:w="726" w:type="pct"/>
                  <w:noWrap w:val="0"/>
                  <w:tcMar>
                    <w:top w:w="0" w:type="dxa"/>
                    <w:left w:w="0" w:type="dxa"/>
                    <w:bottom w:w="0" w:type="dxa"/>
                    <w:right w:w="0" w:type="dxa"/>
                  </w:tcMar>
                  <w:vAlign w:val="center"/>
                </w:tcPr>
                <w:p w14:paraId="118EFF1D">
                  <w:pPr>
                    <w:keepNext w:val="0"/>
                    <w:keepLines w:val="0"/>
                    <w:suppressLineNumbers w:val="0"/>
                    <w:topLinePunct/>
                    <w:spacing w:before="0" w:beforeAutospacing="0" w:after="0" w:afterAutospacing="0"/>
                    <w:ind w:left="0" w:right="0"/>
                    <w:jc w:val="center"/>
                    <w:rPr>
                      <w:rFonts w:hint="eastAsia" w:ascii="Calibri" w:hAnsi="宋体" w:eastAsia="宋体" w:cs="Times New Roman"/>
                      <w:color w:val="auto"/>
                      <w:kern w:val="0"/>
                      <w:szCs w:val="21"/>
                    </w:rPr>
                  </w:pPr>
                  <w:r>
                    <w:rPr>
                      <w:rFonts w:hint="eastAsia" w:ascii="Calibri" w:hAnsi="宋体" w:eastAsia="宋体" w:cs="Times New Roman"/>
                      <w:color w:val="auto"/>
                      <w:kern w:val="0"/>
                      <w:szCs w:val="21"/>
                    </w:rPr>
                    <w:t>废弃的含油抹布、劳保用品</w:t>
                  </w:r>
                </w:p>
              </w:tc>
              <w:tc>
                <w:tcPr>
                  <w:tcW w:w="335" w:type="pct"/>
                  <w:noWrap w:val="0"/>
                  <w:tcMar>
                    <w:top w:w="0" w:type="dxa"/>
                    <w:left w:w="0" w:type="dxa"/>
                    <w:bottom w:w="0" w:type="dxa"/>
                    <w:right w:w="0" w:type="dxa"/>
                  </w:tcMar>
                  <w:vAlign w:val="center"/>
                </w:tcPr>
                <w:p w14:paraId="03E3757A">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HW49</w:t>
                  </w:r>
                </w:p>
              </w:tc>
              <w:tc>
                <w:tcPr>
                  <w:tcW w:w="587" w:type="pct"/>
                  <w:noWrap w:val="0"/>
                  <w:tcMar>
                    <w:top w:w="0" w:type="dxa"/>
                    <w:left w:w="0" w:type="dxa"/>
                    <w:bottom w:w="0" w:type="dxa"/>
                    <w:right w:w="0" w:type="dxa"/>
                  </w:tcMar>
                  <w:vAlign w:val="center"/>
                </w:tcPr>
                <w:p w14:paraId="7AD5573D">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Cs/>
                      <w:color w:val="auto"/>
                      <w:szCs w:val="21"/>
                    </w:rPr>
                  </w:pPr>
                  <w:r>
                    <w:rPr>
                      <w:rFonts w:ascii="Calibri" w:hAnsi="Calibri" w:eastAsia="宋体" w:cs="Times New Roman"/>
                      <w:color w:val="auto"/>
                      <w:szCs w:val="21"/>
                    </w:rPr>
                    <w:t>900-041-49</w:t>
                  </w:r>
                </w:p>
              </w:tc>
              <w:tc>
                <w:tcPr>
                  <w:tcW w:w="380" w:type="pct"/>
                  <w:noWrap w:val="0"/>
                  <w:tcMar>
                    <w:top w:w="0" w:type="dxa"/>
                    <w:left w:w="0" w:type="dxa"/>
                    <w:bottom w:w="0" w:type="dxa"/>
                    <w:right w:w="0" w:type="dxa"/>
                  </w:tcMar>
                  <w:vAlign w:val="center"/>
                </w:tcPr>
                <w:p w14:paraId="60DDEE5C">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0.</w:t>
                  </w:r>
                  <w:r>
                    <w:rPr>
                      <w:rFonts w:hint="eastAsia" w:ascii="Calibri" w:hAnsi="Calibri" w:eastAsia="宋体" w:cs="Times New Roman"/>
                      <w:color w:val="auto"/>
                      <w:kern w:val="0"/>
                      <w:szCs w:val="21"/>
                    </w:rPr>
                    <w:t>0</w:t>
                  </w:r>
                  <w:r>
                    <w:rPr>
                      <w:rFonts w:ascii="Calibri" w:hAnsi="Calibri" w:eastAsia="宋体" w:cs="Times New Roman"/>
                      <w:color w:val="auto"/>
                      <w:kern w:val="0"/>
                      <w:szCs w:val="21"/>
                    </w:rPr>
                    <w:t>1</w:t>
                  </w:r>
                </w:p>
              </w:tc>
              <w:tc>
                <w:tcPr>
                  <w:tcW w:w="523" w:type="pct"/>
                  <w:vMerge w:val="continue"/>
                  <w:noWrap w:val="0"/>
                  <w:tcMar>
                    <w:top w:w="0" w:type="dxa"/>
                    <w:left w:w="0" w:type="dxa"/>
                    <w:bottom w:w="0" w:type="dxa"/>
                    <w:right w:w="0" w:type="dxa"/>
                  </w:tcMar>
                  <w:vAlign w:val="center"/>
                </w:tcPr>
                <w:p w14:paraId="1D5C031E">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p>
              </w:tc>
              <w:tc>
                <w:tcPr>
                  <w:tcW w:w="251" w:type="pct"/>
                  <w:noWrap w:val="0"/>
                  <w:tcMar>
                    <w:top w:w="0" w:type="dxa"/>
                    <w:left w:w="0" w:type="dxa"/>
                    <w:bottom w:w="0" w:type="dxa"/>
                    <w:right w:w="0" w:type="dxa"/>
                  </w:tcMar>
                  <w:vAlign w:val="center"/>
                </w:tcPr>
                <w:p w14:paraId="096EA89D">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r>
                    <w:rPr>
                      <w:rFonts w:ascii="Calibri" w:hAnsi="宋体" w:eastAsia="宋体" w:cs="Times New Roman"/>
                      <w:color w:val="auto"/>
                      <w:kern w:val="0"/>
                      <w:szCs w:val="21"/>
                    </w:rPr>
                    <w:t>固态</w:t>
                  </w:r>
                </w:p>
              </w:tc>
              <w:tc>
                <w:tcPr>
                  <w:tcW w:w="260" w:type="pct"/>
                  <w:noWrap w:val="0"/>
                  <w:tcMar>
                    <w:top w:w="0" w:type="dxa"/>
                    <w:left w:w="0" w:type="dxa"/>
                    <w:bottom w:w="0" w:type="dxa"/>
                    <w:right w:w="0" w:type="dxa"/>
                  </w:tcMar>
                  <w:vAlign w:val="center"/>
                </w:tcPr>
                <w:p w14:paraId="61F82F02">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r>
                    <w:rPr>
                      <w:rFonts w:ascii="Calibri" w:hAnsi="宋体" w:eastAsia="宋体" w:cs="Times New Roman"/>
                      <w:color w:val="auto"/>
                      <w:kern w:val="0"/>
                      <w:szCs w:val="21"/>
                    </w:rPr>
                    <w:t>沾染机油</w:t>
                  </w:r>
                </w:p>
              </w:tc>
              <w:tc>
                <w:tcPr>
                  <w:tcW w:w="273" w:type="pct"/>
                  <w:vMerge w:val="continue"/>
                  <w:noWrap w:val="0"/>
                  <w:tcMar>
                    <w:top w:w="0" w:type="dxa"/>
                    <w:left w:w="0" w:type="dxa"/>
                    <w:bottom w:w="0" w:type="dxa"/>
                    <w:right w:w="0" w:type="dxa"/>
                  </w:tcMar>
                  <w:vAlign w:val="center"/>
                </w:tcPr>
                <w:p w14:paraId="005E8303">
                  <w:pPr>
                    <w:keepNext w:val="0"/>
                    <w:keepLines w:val="0"/>
                    <w:suppressLineNumbers w:val="0"/>
                    <w:adjustRightInd w:val="0"/>
                    <w:snapToGrid w:val="0"/>
                    <w:spacing w:before="0" w:beforeAutospacing="0" w:after="0" w:afterAutospacing="0"/>
                    <w:ind w:left="0" w:right="0"/>
                    <w:jc w:val="center"/>
                    <w:rPr>
                      <w:rFonts w:hint="eastAsia" w:ascii="Calibri" w:hAnsi="宋体" w:eastAsia="宋体" w:cs="Times New Roman"/>
                      <w:color w:val="auto"/>
                      <w:szCs w:val="21"/>
                    </w:rPr>
                  </w:pPr>
                </w:p>
              </w:tc>
              <w:tc>
                <w:tcPr>
                  <w:tcW w:w="297" w:type="pct"/>
                  <w:noWrap w:val="0"/>
                  <w:tcMar>
                    <w:top w:w="0" w:type="dxa"/>
                    <w:left w:w="0" w:type="dxa"/>
                    <w:bottom w:w="0" w:type="dxa"/>
                    <w:right w:w="0" w:type="dxa"/>
                  </w:tcMar>
                  <w:vAlign w:val="center"/>
                </w:tcPr>
                <w:p w14:paraId="0F08C095">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半年</w:t>
                  </w:r>
                </w:p>
              </w:tc>
              <w:tc>
                <w:tcPr>
                  <w:tcW w:w="294" w:type="pct"/>
                  <w:noWrap w:val="0"/>
                  <w:tcMar>
                    <w:top w:w="0" w:type="dxa"/>
                    <w:left w:w="0" w:type="dxa"/>
                    <w:bottom w:w="0" w:type="dxa"/>
                    <w:right w:w="0" w:type="dxa"/>
                  </w:tcMar>
                  <w:vAlign w:val="center"/>
                </w:tcPr>
                <w:p w14:paraId="67E58964">
                  <w:pPr>
                    <w:keepNext w:val="0"/>
                    <w:keepLines w:val="0"/>
                    <w:suppressLineNumbers w:val="0"/>
                    <w:topLinePunct/>
                    <w:adjustRightInd w:val="0"/>
                    <w:snapToGrid w:val="0"/>
                    <w:spacing w:before="0" w:beforeAutospacing="0" w:after="0" w:afterAutospacing="0"/>
                    <w:ind w:left="0" w:right="0"/>
                    <w:jc w:val="center"/>
                    <w:rPr>
                      <w:rFonts w:hint="eastAsia" w:ascii="Calibri" w:hAnsi="Calibri" w:eastAsia="宋体" w:cs="Times New Roman"/>
                      <w:color w:val="auto"/>
                      <w:kern w:val="0"/>
                      <w:szCs w:val="21"/>
                    </w:rPr>
                  </w:pPr>
                  <w:r>
                    <w:rPr>
                      <w:rFonts w:hint="eastAsia" w:ascii="Calibri" w:hAnsi="Calibri" w:eastAsia="宋体" w:cs="Times New Roman"/>
                      <w:color w:val="auto"/>
                      <w:kern w:val="0"/>
                      <w:szCs w:val="21"/>
                    </w:rPr>
                    <w:t>30天</w:t>
                  </w:r>
                </w:p>
              </w:tc>
              <w:tc>
                <w:tcPr>
                  <w:tcW w:w="294" w:type="pct"/>
                  <w:noWrap w:val="0"/>
                  <w:tcMar>
                    <w:top w:w="0" w:type="dxa"/>
                    <w:left w:w="0" w:type="dxa"/>
                    <w:bottom w:w="0" w:type="dxa"/>
                    <w:right w:w="0" w:type="dxa"/>
                  </w:tcMar>
                  <w:vAlign w:val="center"/>
                </w:tcPr>
                <w:p w14:paraId="16E928FD">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T</w:t>
                  </w:r>
                </w:p>
              </w:tc>
              <w:tc>
                <w:tcPr>
                  <w:tcW w:w="557" w:type="pct"/>
                  <w:vMerge w:val="continue"/>
                  <w:noWrap w:val="0"/>
                  <w:vAlign w:val="center"/>
                </w:tcPr>
                <w:p w14:paraId="044AE72E">
                  <w:pPr>
                    <w:keepNext w:val="0"/>
                    <w:keepLines w:val="0"/>
                    <w:widowControl/>
                    <w:suppressLineNumbers w:val="0"/>
                    <w:spacing w:before="0" w:beforeAutospacing="0" w:after="0" w:afterAutospacing="0"/>
                    <w:ind w:left="0" w:right="0"/>
                    <w:jc w:val="center"/>
                    <w:rPr>
                      <w:rFonts w:hint="eastAsia" w:ascii="Calibri" w:hAnsi="宋体" w:eastAsia="宋体" w:cs="Times New Roman"/>
                      <w:color w:val="auto"/>
                      <w:szCs w:val="21"/>
                    </w:rPr>
                  </w:pPr>
                </w:p>
              </w:tc>
            </w:tr>
            <w:tr w14:paraId="2D1D6C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7" w:type="pct"/>
                  <w:noWrap w:val="0"/>
                  <w:tcMar>
                    <w:top w:w="0" w:type="dxa"/>
                    <w:left w:w="0" w:type="dxa"/>
                    <w:bottom w:w="0" w:type="dxa"/>
                    <w:right w:w="0" w:type="dxa"/>
                  </w:tcMar>
                  <w:vAlign w:val="center"/>
                </w:tcPr>
                <w:p w14:paraId="60B19E23">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3</w:t>
                  </w:r>
                </w:p>
              </w:tc>
              <w:tc>
                <w:tcPr>
                  <w:tcW w:w="726" w:type="pct"/>
                  <w:noWrap w:val="0"/>
                  <w:tcMar>
                    <w:top w:w="0" w:type="dxa"/>
                    <w:left w:w="0" w:type="dxa"/>
                    <w:bottom w:w="0" w:type="dxa"/>
                    <w:right w:w="0" w:type="dxa"/>
                  </w:tcMar>
                  <w:vAlign w:val="center"/>
                </w:tcPr>
                <w:p w14:paraId="6301E35C">
                  <w:pPr>
                    <w:keepNext w:val="0"/>
                    <w:keepLines w:val="0"/>
                    <w:suppressLineNumbers w:val="0"/>
                    <w:topLinePunct/>
                    <w:spacing w:before="0" w:beforeAutospacing="0" w:after="0" w:afterAutospacing="0"/>
                    <w:ind w:left="0" w:right="0"/>
                    <w:jc w:val="center"/>
                    <w:rPr>
                      <w:rFonts w:hint="eastAsia" w:ascii="Calibri" w:hAnsi="宋体" w:eastAsia="宋体" w:cs="Times New Roman"/>
                      <w:color w:val="auto"/>
                      <w:kern w:val="0"/>
                      <w:szCs w:val="21"/>
                    </w:rPr>
                  </w:pPr>
                  <w:r>
                    <w:rPr>
                      <w:rFonts w:hint="eastAsia" w:ascii="Calibri" w:hAnsi="宋体" w:eastAsia="宋体" w:cs="Times New Roman"/>
                      <w:color w:val="auto"/>
                      <w:kern w:val="0"/>
                      <w:szCs w:val="21"/>
                    </w:rPr>
                    <w:t>废机油桶</w:t>
                  </w:r>
                </w:p>
              </w:tc>
              <w:tc>
                <w:tcPr>
                  <w:tcW w:w="335" w:type="pct"/>
                  <w:noWrap w:val="0"/>
                  <w:tcMar>
                    <w:top w:w="0" w:type="dxa"/>
                    <w:left w:w="0" w:type="dxa"/>
                    <w:bottom w:w="0" w:type="dxa"/>
                    <w:right w:w="0" w:type="dxa"/>
                  </w:tcMar>
                  <w:vAlign w:val="center"/>
                </w:tcPr>
                <w:p w14:paraId="7563BEA5">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HW08</w:t>
                  </w:r>
                </w:p>
              </w:tc>
              <w:tc>
                <w:tcPr>
                  <w:tcW w:w="587" w:type="pct"/>
                  <w:noWrap w:val="0"/>
                  <w:tcMar>
                    <w:top w:w="0" w:type="dxa"/>
                    <w:left w:w="0" w:type="dxa"/>
                    <w:bottom w:w="0" w:type="dxa"/>
                    <w:right w:w="0" w:type="dxa"/>
                  </w:tcMar>
                  <w:vAlign w:val="center"/>
                </w:tcPr>
                <w:p w14:paraId="2063C314">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bCs/>
                      <w:color w:val="auto"/>
                      <w:szCs w:val="21"/>
                    </w:rPr>
                  </w:pPr>
                  <w:r>
                    <w:rPr>
                      <w:rFonts w:hint="eastAsia" w:ascii="Calibri" w:hAnsi="Calibri" w:eastAsia="宋体" w:cs="Times New Roman"/>
                      <w:bCs/>
                      <w:color w:val="auto"/>
                      <w:szCs w:val="21"/>
                    </w:rPr>
                    <w:t>900-249-08</w:t>
                  </w:r>
                </w:p>
              </w:tc>
              <w:tc>
                <w:tcPr>
                  <w:tcW w:w="380" w:type="pct"/>
                  <w:noWrap w:val="0"/>
                  <w:tcMar>
                    <w:top w:w="0" w:type="dxa"/>
                    <w:left w:w="0" w:type="dxa"/>
                    <w:bottom w:w="0" w:type="dxa"/>
                    <w:right w:w="0" w:type="dxa"/>
                  </w:tcMar>
                  <w:vAlign w:val="center"/>
                </w:tcPr>
                <w:p w14:paraId="30434FEA">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0.1</w:t>
                  </w:r>
                </w:p>
              </w:tc>
              <w:tc>
                <w:tcPr>
                  <w:tcW w:w="523" w:type="pct"/>
                  <w:vMerge w:val="continue"/>
                  <w:noWrap w:val="0"/>
                  <w:tcMar>
                    <w:top w:w="0" w:type="dxa"/>
                    <w:left w:w="0" w:type="dxa"/>
                    <w:bottom w:w="0" w:type="dxa"/>
                    <w:right w:w="0" w:type="dxa"/>
                  </w:tcMar>
                  <w:vAlign w:val="center"/>
                </w:tcPr>
                <w:p w14:paraId="7DD25060">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p>
              </w:tc>
              <w:tc>
                <w:tcPr>
                  <w:tcW w:w="251" w:type="pct"/>
                  <w:noWrap w:val="0"/>
                  <w:tcMar>
                    <w:top w:w="0" w:type="dxa"/>
                    <w:left w:w="0" w:type="dxa"/>
                    <w:bottom w:w="0" w:type="dxa"/>
                    <w:right w:w="0" w:type="dxa"/>
                  </w:tcMar>
                  <w:vAlign w:val="center"/>
                </w:tcPr>
                <w:p w14:paraId="1CE42642">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r>
                    <w:rPr>
                      <w:rFonts w:ascii="Calibri" w:hAnsi="宋体" w:eastAsia="宋体" w:cs="Times New Roman"/>
                      <w:color w:val="auto"/>
                      <w:kern w:val="0"/>
                      <w:szCs w:val="21"/>
                    </w:rPr>
                    <w:t>固态</w:t>
                  </w:r>
                </w:p>
              </w:tc>
              <w:tc>
                <w:tcPr>
                  <w:tcW w:w="260" w:type="pct"/>
                  <w:noWrap w:val="0"/>
                  <w:tcMar>
                    <w:top w:w="0" w:type="dxa"/>
                    <w:left w:w="0" w:type="dxa"/>
                    <w:bottom w:w="0" w:type="dxa"/>
                    <w:right w:w="0" w:type="dxa"/>
                  </w:tcMar>
                  <w:vAlign w:val="center"/>
                </w:tcPr>
                <w:p w14:paraId="2D8A3534">
                  <w:pPr>
                    <w:keepNext w:val="0"/>
                    <w:keepLines w:val="0"/>
                    <w:suppressLineNumbers w:val="0"/>
                    <w:topLinePunct/>
                    <w:adjustRightInd w:val="0"/>
                    <w:snapToGrid w:val="0"/>
                    <w:spacing w:before="0" w:beforeAutospacing="0" w:after="0" w:afterAutospacing="0"/>
                    <w:ind w:left="0" w:right="0"/>
                    <w:jc w:val="center"/>
                    <w:rPr>
                      <w:rFonts w:hint="eastAsia" w:ascii="Calibri" w:hAnsi="宋体" w:eastAsia="宋体" w:cs="Times New Roman"/>
                      <w:color w:val="auto"/>
                      <w:kern w:val="0"/>
                      <w:szCs w:val="21"/>
                    </w:rPr>
                  </w:pPr>
                  <w:r>
                    <w:rPr>
                      <w:rFonts w:ascii="Calibri" w:hAnsi="宋体" w:eastAsia="宋体" w:cs="Times New Roman"/>
                      <w:color w:val="auto"/>
                      <w:kern w:val="0"/>
                      <w:szCs w:val="21"/>
                    </w:rPr>
                    <w:t>沾染机油</w:t>
                  </w:r>
                </w:p>
              </w:tc>
              <w:tc>
                <w:tcPr>
                  <w:tcW w:w="273" w:type="pct"/>
                  <w:vMerge w:val="continue"/>
                  <w:noWrap w:val="0"/>
                  <w:tcMar>
                    <w:top w:w="0" w:type="dxa"/>
                    <w:left w:w="0" w:type="dxa"/>
                    <w:bottom w:w="0" w:type="dxa"/>
                    <w:right w:w="0" w:type="dxa"/>
                  </w:tcMar>
                  <w:vAlign w:val="center"/>
                </w:tcPr>
                <w:p w14:paraId="77014F97">
                  <w:pPr>
                    <w:keepNext w:val="0"/>
                    <w:keepLines w:val="0"/>
                    <w:suppressLineNumbers w:val="0"/>
                    <w:adjustRightInd w:val="0"/>
                    <w:snapToGrid w:val="0"/>
                    <w:spacing w:before="0" w:beforeAutospacing="0" w:after="0" w:afterAutospacing="0"/>
                    <w:ind w:left="0" w:right="0"/>
                    <w:jc w:val="center"/>
                    <w:rPr>
                      <w:rFonts w:hint="eastAsia" w:ascii="Calibri" w:hAnsi="宋体" w:eastAsia="宋体" w:cs="Times New Roman"/>
                      <w:color w:val="auto"/>
                      <w:szCs w:val="21"/>
                    </w:rPr>
                  </w:pPr>
                </w:p>
              </w:tc>
              <w:tc>
                <w:tcPr>
                  <w:tcW w:w="297" w:type="pct"/>
                  <w:noWrap w:val="0"/>
                  <w:tcMar>
                    <w:top w:w="0" w:type="dxa"/>
                    <w:left w:w="0" w:type="dxa"/>
                    <w:bottom w:w="0" w:type="dxa"/>
                    <w:right w:w="0" w:type="dxa"/>
                  </w:tcMar>
                  <w:vAlign w:val="center"/>
                </w:tcPr>
                <w:p w14:paraId="27BDB1F6">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w:t>
                  </w:r>
                </w:p>
              </w:tc>
              <w:tc>
                <w:tcPr>
                  <w:tcW w:w="294" w:type="pct"/>
                  <w:noWrap w:val="0"/>
                  <w:tcMar>
                    <w:top w:w="0" w:type="dxa"/>
                    <w:left w:w="0" w:type="dxa"/>
                    <w:bottom w:w="0" w:type="dxa"/>
                    <w:right w:w="0" w:type="dxa"/>
                  </w:tcMar>
                  <w:vAlign w:val="center"/>
                </w:tcPr>
                <w:p w14:paraId="1BA53FD8">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30天</w:t>
                  </w:r>
                </w:p>
              </w:tc>
              <w:tc>
                <w:tcPr>
                  <w:tcW w:w="294" w:type="pct"/>
                  <w:noWrap w:val="0"/>
                  <w:tcMar>
                    <w:top w:w="0" w:type="dxa"/>
                    <w:left w:w="0" w:type="dxa"/>
                    <w:bottom w:w="0" w:type="dxa"/>
                    <w:right w:w="0" w:type="dxa"/>
                  </w:tcMar>
                  <w:vAlign w:val="center"/>
                </w:tcPr>
                <w:p w14:paraId="7E984CBE">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T</w:t>
                  </w:r>
                </w:p>
                <w:p w14:paraId="37EFBA4E">
                  <w:pPr>
                    <w:keepNext w:val="0"/>
                    <w:keepLines w:val="0"/>
                    <w:suppressLineNumbers w:val="0"/>
                    <w:topLinePunct/>
                    <w:adjustRightInd w:val="0"/>
                    <w:snapToGrid w:val="0"/>
                    <w:spacing w:before="0" w:beforeAutospacing="0" w:after="0" w:afterAutospacing="0"/>
                    <w:ind w:left="0" w:right="0"/>
                    <w:jc w:val="center"/>
                    <w:rPr>
                      <w:rFonts w:ascii="Calibri" w:hAnsi="Calibri" w:eastAsia="宋体" w:cs="Times New Roman"/>
                      <w:color w:val="auto"/>
                      <w:szCs w:val="21"/>
                    </w:rPr>
                  </w:pPr>
                </w:p>
              </w:tc>
              <w:tc>
                <w:tcPr>
                  <w:tcW w:w="557" w:type="pct"/>
                  <w:vMerge w:val="continue"/>
                  <w:noWrap w:val="0"/>
                  <w:vAlign w:val="center"/>
                </w:tcPr>
                <w:p w14:paraId="0796EC89">
                  <w:pPr>
                    <w:keepNext w:val="0"/>
                    <w:keepLines w:val="0"/>
                    <w:widowControl/>
                    <w:suppressLineNumbers w:val="0"/>
                    <w:spacing w:before="0" w:beforeAutospacing="0" w:after="0" w:afterAutospacing="0"/>
                    <w:ind w:left="0" w:right="0"/>
                    <w:jc w:val="center"/>
                    <w:rPr>
                      <w:rFonts w:ascii="Calibri" w:hAnsi="Calibri" w:eastAsia="宋体" w:cs="Times New Roman"/>
                      <w:bCs/>
                      <w:color w:val="auto"/>
                      <w:szCs w:val="21"/>
                    </w:rPr>
                  </w:pPr>
                </w:p>
              </w:tc>
            </w:tr>
          </w:tbl>
          <w:p w14:paraId="517C6D6F">
            <w:pPr>
              <w:keepNext w:val="0"/>
              <w:keepLines w:val="0"/>
              <w:suppressLineNumbers w:val="0"/>
              <w:adjustRightInd w:val="0"/>
              <w:snapToGrid w:val="0"/>
              <w:spacing w:before="120" w:beforeLines="50" w:beforeAutospacing="0" w:after="0" w:afterAutospacing="0" w:line="360" w:lineRule="auto"/>
              <w:ind w:left="0" w:right="0" w:firstLine="482" w:firstLineChars="200"/>
              <w:rPr>
                <w:rFonts w:ascii="Calibri" w:hAnsi="Calibri" w:eastAsia="宋体" w:cs="Times New Roman"/>
                <w:b/>
                <w:bCs/>
                <w:snapToGrid w:val="0"/>
                <w:color w:val="auto"/>
                <w:kern w:val="0"/>
                <w:sz w:val="24"/>
              </w:rPr>
            </w:pPr>
            <w:r>
              <w:rPr>
                <w:rFonts w:hint="eastAsia" w:ascii="Calibri" w:hAnsi="Calibri" w:eastAsia="宋体" w:cs="Times New Roman"/>
                <w:b/>
                <w:bCs/>
                <w:snapToGrid w:val="0"/>
                <w:color w:val="auto"/>
                <w:kern w:val="0"/>
                <w:sz w:val="24"/>
              </w:rPr>
              <w:t>4、环境管理要求</w:t>
            </w:r>
          </w:p>
          <w:p w14:paraId="3CDFEC2A">
            <w:pPr>
              <w:keepNext w:val="0"/>
              <w:keepLines w:val="0"/>
              <w:suppressLineNumbers w:val="0"/>
              <w:adjustRightInd w:val="0"/>
              <w:snapToGrid w:val="0"/>
              <w:spacing w:before="0" w:beforeAutospacing="0" w:after="0" w:afterAutospacing="0" w:line="360" w:lineRule="auto"/>
              <w:ind w:left="0" w:right="0" w:firstLine="480" w:firstLineChars="200"/>
              <w:rPr>
                <w:rFonts w:ascii="Calibri" w:hAnsi="Calibri" w:eastAsia="宋体" w:cs="Times New Roman"/>
                <w:snapToGrid w:val="0"/>
                <w:color w:val="auto"/>
                <w:kern w:val="0"/>
                <w:sz w:val="24"/>
              </w:rPr>
            </w:pPr>
            <w:r>
              <w:rPr>
                <w:rFonts w:hint="eastAsia" w:ascii="Calibri" w:hAnsi="Calibri" w:eastAsia="宋体" w:cs="Times New Roman"/>
                <w:snapToGrid w:val="0"/>
                <w:color w:val="auto"/>
                <w:kern w:val="0"/>
                <w:sz w:val="24"/>
              </w:rPr>
              <w:t>（1）一般工业固体废物</w:t>
            </w:r>
          </w:p>
          <w:p w14:paraId="1C2D952F">
            <w:pPr>
              <w:keepNext w:val="0"/>
              <w:keepLines w:val="0"/>
              <w:suppressLineNumbers w:val="0"/>
              <w:adjustRightInd w:val="0"/>
              <w:spacing w:before="0" w:beforeAutospacing="0" w:after="0" w:afterAutospacing="0" w:line="360" w:lineRule="auto"/>
              <w:ind w:left="0" w:right="0" w:firstLine="470" w:firstLineChars="196"/>
              <w:jc w:val="left"/>
              <w:rPr>
                <w:rFonts w:ascii="Calibri" w:hAnsi="Calibri" w:eastAsia="宋体" w:cs="Times New Roman"/>
                <w:color w:val="auto"/>
                <w:sz w:val="24"/>
              </w:rPr>
            </w:pPr>
            <w:r>
              <w:rPr>
                <w:rFonts w:hint="eastAsia" w:ascii="Calibri" w:hAnsi="Calibri" w:eastAsia="宋体" w:cs="Times New Roman"/>
                <w:color w:val="auto"/>
                <w:sz w:val="24"/>
              </w:rPr>
              <w:t>项目在厂区北面设置一般固废暂存间，其占地面积为20m</w:t>
            </w:r>
            <w:r>
              <w:rPr>
                <w:rFonts w:hint="eastAsia" w:ascii="Calibri" w:hAnsi="Calibri" w:eastAsia="宋体" w:cs="Times New Roman"/>
                <w:color w:val="auto"/>
                <w:sz w:val="24"/>
                <w:vertAlign w:val="superscript"/>
              </w:rPr>
              <w:t>2</w:t>
            </w:r>
            <w:r>
              <w:rPr>
                <w:rFonts w:hint="eastAsia" w:ascii="Calibri" w:hAnsi="Calibri" w:eastAsia="宋体" w:cs="Times New Roman"/>
                <w:color w:val="auto"/>
                <w:sz w:val="24"/>
              </w:rPr>
              <w:t>，用于放置木块、玻璃、废弃包装物等非金属固废。根据《排污许可证申请与核发技术规范 工业固体废物（试行）》（HJ 1200-2021）第5.3.2条，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设置清晰、完整的一般工业固体废物标志牌等。排污单位生产运营期间一般工业固体废物自行贮存/利用/处置设施的环境管理和相关设施运行维护要求还应符合 GB 15562.2、GB 18599等相关标准规范要求，对周围环境无明显影响。</w:t>
            </w:r>
          </w:p>
          <w:p w14:paraId="18CDB99E">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（2）危险废物</w:t>
            </w:r>
          </w:p>
          <w:p w14:paraId="6126E65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Calibri" w:hAnsi="Calibri" w:eastAsia="宋体" w:cs="Times New Roman"/>
                <w:color w:val="auto"/>
                <w:sz w:val="24"/>
              </w:rPr>
            </w:pPr>
            <w:r>
              <w:rPr>
                <w:rFonts w:hint="eastAsia" w:ascii="Calibri" w:hAnsi="Calibri" w:eastAsia="宋体" w:cs="Times New Roman"/>
                <w:color w:val="auto"/>
                <w:sz w:val="24"/>
              </w:rPr>
              <w:t>根据</w:t>
            </w:r>
            <w:r>
              <w:rPr>
                <w:rFonts w:ascii="Calibri" w:hAnsi="Calibri" w:eastAsia="宋体" w:cs="Times New Roman"/>
                <w:color w:val="auto"/>
                <w:sz w:val="24"/>
              </w:rPr>
              <w:t>《危险废物贮存污染控制标准》（GB18597-2023）</w:t>
            </w:r>
            <w:r>
              <w:rPr>
                <w:rFonts w:hint="eastAsia" w:ascii="Calibri" w:hAnsi="Calibri" w:eastAsia="宋体" w:cs="Times New Roman"/>
                <w:color w:val="auto"/>
                <w:sz w:val="24"/>
              </w:rPr>
              <w:t>，危险废物需临时置于特定设施或者场所中。本项目在厂区南面设置一个危废贮存点（占地面积5m</w:t>
            </w:r>
            <w:r>
              <w:rPr>
                <w:rFonts w:hint="eastAsia" w:ascii="Calibri" w:hAnsi="Calibri" w:eastAsia="宋体" w:cs="Times New Roman"/>
                <w:color w:val="auto"/>
                <w:sz w:val="24"/>
                <w:vertAlign w:val="superscript"/>
              </w:rPr>
              <w:t>3</w:t>
            </w:r>
            <w:r>
              <w:rPr>
                <w:rFonts w:hint="eastAsia" w:ascii="Calibri" w:hAnsi="Calibri" w:eastAsia="宋体" w:cs="Times New Roman"/>
                <w:color w:val="auto"/>
                <w:sz w:val="24"/>
              </w:rPr>
              <w:t>），危废贮存点设置若干个密闭塑料桶，分别用于存放废机油、含油抹布和废油桶等。项目废机油、含油抹布等每半年产生一次，产生周期较长，产生后分别储存于密闭塑料桶中，且每30天委托有资质的单位进行处置，综合考虑，本项目严格按照</w:t>
            </w:r>
            <w:r>
              <w:rPr>
                <w:rFonts w:ascii="Calibri" w:hAnsi="Calibri" w:eastAsia="宋体" w:cs="Times New Roman"/>
                <w:color w:val="auto"/>
                <w:sz w:val="24"/>
              </w:rPr>
              <w:t>《危险废物贮存污染控制标准》（GB18597-2023）</w:t>
            </w:r>
            <w:r>
              <w:rPr>
                <w:rFonts w:hint="eastAsia" w:ascii="Calibri" w:hAnsi="Calibri" w:eastAsia="宋体" w:cs="Times New Roman"/>
                <w:color w:val="auto"/>
                <w:sz w:val="24"/>
              </w:rPr>
              <w:t>进行管理的情况下，其危废暂存对周边环境影响不大。</w:t>
            </w:r>
          </w:p>
          <w:p w14:paraId="7A02D2D3">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为了使各种危险废物</w:t>
            </w:r>
            <w:r>
              <w:rPr>
                <w:rFonts w:hint="eastAsia" w:ascii="Calibri" w:hAnsi="Calibri" w:eastAsia="宋体" w:cs="Times New Roman"/>
                <w:color w:val="auto"/>
                <w:sz w:val="24"/>
              </w:rPr>
              <w:t>能更好地</w:t>
            </w:r>
            <w:r>
              <w:rPr>
                <w:rFonts w:ascii="Calibri" w:hAnsi="Calibri" w:eastAsia="宋体" w:cs="Times New Roman"/>
                <w:color w:val="auto"/>
                <w:sz w:val="24"/>
              </w:rPr>
              <w:t>达到合法合理处置的目的，本评价拟</w:t>
            </w:r>
            <w:r>
              <w:rPr>
                <w:rFonts w:hint="eastAsia" w:ascii="Calibri" w:hAnsi="Calibri" w:eastAsia="宋体" w:cs="Times New Roman"/>
                <w:color w:val="auto"/>
                <w:sz w:val="24"/>
              </w:rPr>
              <w:t>根据</w:t>
            </w:r>
            <w:r>
              <w:rPr>
                <w:rFonts w:ascii="Calibri" w:hAnsi="Calibri" w:eastAsia="宋体" w:cs="Times New Roman"/>
                <w:color w:val="auto"/>
                <w:sz w:val="24"/>
              </w:rPr>
              <w:t>《危险废物贮存污染控制标准》</w:t>
            </w:r>
            <w:r>
              <w:rPr>
                <w:rFonts w:hint="eastAsia" w:ascii="Calibri" w:hAnsi="Calibri" w:eastAsia="宋体" w:cs="Times New Roman"/>
                <w:color w:val="auto"/>
                <w:sz w:val="24"/>
              </w:rPr>
              <w:t>（GB18597-2023）第8.3条要求，</w:t>
            </w:r>
            <w:r>
              <w:rPr>
                <w:rFonts w:ascii="Calibri" w:hAnsi="Calibri" w:eastAsia="宋体" w:cs="Times New Roman"/>
                <w:color w:val="auto"/>
                <w:sz w:val="24"/>
              </w:rPr>
              <w:t>提出相应的治理措施，以进一步规范项目</w:t>
            </w:r>
            <w:r>
              <w:rPr>
                <w:rFonts w:hint="eastAsia" w:ascii="Calibri" w:hAnsi="Calibri" w:eastAsia="宋体" w:cs="Times New Roman"/>
                <w:color w:val="auto"/>
                <w:sz w:val="24"/>
              </w:rPr>
              <w:t>：1） 贮存点应具有固定的区域边界，并应采取与其他区域进行隔离的措施；2）贮存点应采取防风、防雨、防晒和防止危险废物流失、扬散等措施；3）贮存点贮存的危险废物应置于容器或包装物中，不应直接散堆；4）贮存点应根据危险废物的形态、物理化学性质、包装形式等，采取防渗、防漏等污染防治措施或采用具有相应功能的装置；5）贮存点应及时清运贮存的危险废物，实时贮存量不应超过3吨。在危废运输过程中，要严格按照危险废物运输的管理规定进行危险废物的运输，减少运输过程中的二次污染和可能造成的环境风险，运输车辆需有特殊标志。</w:t>
            </w:r>
          </w:p>
          <w:p w14:paraId="4BE5191C">
            <w:pPr>
              <w:keepNext w:val="0"/>
              <w:keepLines w:val="0"/>
              <w:suppressLineNumbers w:val="0"/>
              <w:adjustRightInd w:val="0"/>
              <w:snapToGrid w:val="0"/>
              <w:spacing w:before="0" w:beforeAutospacing="0" w:after="0" w:afterAutospacing="0" w:line="360" w:lineRule="auto"/>
              <w:ind w:left="0" w:right="0" w:firstLine="454"/>
              <w:rPr>
                <w:rFonts w:ascii="Calibri" w:hAnsi="Calibri" w:eastAsia="宋体" w:cs="Times New Roman"/>
                <w:color w:val="auto"/>
                <w:sz w:val="24"/>
              </w:rPr>
            </w:pPr>
            <w:r>
              <w:rPr>
                <w:rFonts w:ascii="Calibri" w:hAnsi="Calibri" w:eastAsia="宋体" w:cs="Times New Roman"/>
                <w:color w:val="auto"/>
                <w:sz w:val="24"/>
              </w:rPr>
              <w:t>综上，在采取上述措施后，本项目产生的</w:t>
            </w:r>
            <w:r>
              <w:rPr>
                <w:rFonts w:hint="eastAsia" w:ascii="Calibri" w:hAnsi="Calibri" w:eastAsia="宋体" w:cs="Times New Roman"/>
                <w:color w:val="auto"/>
                <w:sz w:val="24"/>
              </w:rPr>
              <w:t>危废</w:t>
            </w:r>
            <w:r>
              <w:rPr>
                <w:rFonts w:ascii="Calibri" w:hAnsi="Calibri" w:eastAsia="宋体" w:cs="Times New Roman"/>
                <w:color w:val="auto"/>
                <w:sz w:val="24"/>
              </w:rPr>
              <w:t>能得到妥善处置，同时建议建设单位在项目建成投运后，完善固废台账，明确本项目固废的去向，防止因随意丢弃造成的固废污染，本项目产生的固体废物不会对周围环境产生明显影响</w:t>
            </w:r>
            <w:r>
              <w:rPr>
                <w:rFonts w:hint="eastAsia" w:ascii="Calibri" w:hAnsi="Calibri" w:eastAsia="宋体" w:cs="Times New Roman"/>
                <w:color w:val="auto"/>
                <w:sz w:val="24"/>
              </w:rPr>
              <w:t>。</w:t>
            </w:r>
          </w:p>
          <w:p w14:paraId="086DB3E3">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（3）生活垃圾</w:t>
            </w:r>
          </w:p>
          <w:p w14:paraId="2D1B5811">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员工产生的生活垃圾集中收集后，由环卫部门统一收集后清运处理，不外排，对环境影响较小，不会产生二次污染。</w:t>
            </w:r>
          </w:p>
          <w:p w14:paraId="1D067E7F">
            <w:pPr>
              <w:keepNext w:val="0"/>
              <w:keepLines w:val="0"/>
              <w:suppressLineNumbers w:val="0"/>
              <w:tabs>
                <w:tab w:val="left" w:pos="720"/>
              </w:tabs>
              <w:spacing w:before="120" w:beforeLines="50" w:beforeAutospacing="0" w:after="0" w:afterAutospacing="0" w:line="360" w:lineRule="auto"/>
              <w:ind w:left="0" w:right="0"/>
              <w:rPr>
                <w:rFonts w:ascii="Times New Roman" w:hAnsi="Times New Roman" w:eastAsia="宋体" w:cs="Times New Roman"/>
                <w:b/>
                <w:bCs/>
                <w:color w:val="auto"/>
                <w:sz w:val="24"/>
              </w:rPr>
            </w:pPr>
            <w:r>
              <w:rPr>
                <w:rFonts w:ascii="Times New Roman" w:hAnsi="Times New Roman" w:eastAsia="宋体" w:cs="Times New Roman"/>
                <w:b/>
                <w:color w:val="auto"/>
                <w:sz w:val="24"/>
              </w:rPr>
              <w:t>五、</w:t>
            </w:r>
            <w:r>
              <w:rPr>
                <w:rFonts w:ascii="Times New Roman" w:hAnsi="Times New Roman" w:eastAsia="宋体" w:cs="Times New Roman"/>
                <w:b/>
                <w:bCs/>
                <w:color w:val="auto"/>
                <w:sz w:val="24"/>
              </w:rPr>
              <w:t>地下水</w:t>
            </w:r>
            <w:r>
              <w:rPr>
                <w:rFonts w:hint="eastAsia" w:ascii="Times New Roman" w:hAnsi="Times New Roman" w:eastAsia="宋体" w:cs="Times New Roman"/>
                <w:b/>
                <w:bCs/>
                <w:color w:val="auto"/>
                <w:sz w:val="24"/>
              </w:rPr>
              <w:t>、土壤</w:t>
            </w:r>
            <w:r>
              <w:rPr>
                <w:rFonts w:ascii="Times New Roman" w:hAnsi="Times New Roman" w:eastAsia="宋体" w:cs="Times New Roman"/>
                <w:b/>
                <w:bCs/>
                <w:color w:val="auto"/>
                <w:sz w:val="24"/>
              </w:rPr>
              <w:t>环境影响分析</w:t>
            </w:r>
          </w:p>
          <w:p w14:paraId="2D5796B8">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w:t>
            </w:r>
            <w:r>
              <w:rPr>
                <w:rFonts w:hint="eastAsia" w:ascii="Times New Roman" w:hAnsi="Times New Roman" w:eastAsia="宋体" w:cs="Times New Roman"/>
                <w:color w:val="auto"/>
                <w:sz w:val="24"/>
              </w:rPr>
              <w:t>原料、产品均为无毒无害产品，因此厂区内</w:t>
            </w:r>
            <w:r>
              <w:rPr>
                <w:rFonts w:ascii="Times New Roman" w:hAnsi="Times New Roman" w:eastAsia="宋体" w:cs="Times New Roman"/>
                <w:color w:val="auto"/>
                <w:sz w:val="24"/>
              </w:rPr>
              <w:t>将防渗区域划分为简单防渗区、重点防渗区。其中</w:t>
            </w:r>
            <w:r>
              <w:rPr>
                <w:rFonts w:hint="eastAsia" w:ascii="Times New Roman" w:hAnsi="Times New Roman" w:eastAsia="宋体" w:cs="Times New Roman"/>
                <w:color w:val="auto"/>
                <w:sz w:val="24"/>
              </w:rPr>
              <w:t>生活办公区、厂区地面</w:t>
            </w:r>
            <w:r>
              <w:rPr>
                <w:rFonts w:ascii="Times New Roman" w:hAnsi="Times New Roman" w:eastAsia="宋体" w:cs="Times New Roman"/>
                <w:color w:val="auto"/>
                <w:sz w:val="24"/>
              </w:rPr>
              <w:t>做简单防渗，采用水泥硬化；</w:t>
            </w:r>
            <w:r>
              <w:rPr>
                <w:rFonts w:hint="eastAsia" w:ascii="Times New Roman" w:hAnsi="Times New Roman" w:eastAsia="宋体" w:cs="Times New Roman"/>
                <w:color w:val="auto"/>
                <w:sz w:val="24"/>
              </w:rPr>
              <w:t>原料库、产品堆场、发酵间地面采用一般防渗，</w:t>
            </w:r>
            <w:r>
              <w:rPr>
                <w:rFonts w:ascii="Times New Roman" w:hAnsi="Times New Roman" w:eastAsia="宋体" w:cs="Times New Roman"/>
                <w:color w:val="auto"/>
                <w:sz w:val="24"/>
              </w:rPr>
              <w:t>防渗性能等效黏土防渗层Mb≥</w:t>
            </w:r>
            <w:r>
              <w:rPr>
                <w:rFonts w:hint="eastAsia" w:ascii="Times New Roman" w:hAnsi="Times New Roman" w:eastAsia="宋体" w:cs="Times New Roman"/>
                <w:color w:val="auto"/>
                <w:sz w:val="24"/>
              </w:rPr>
              <w:t>1.5</w:t>
            </w:r>
            <w:r>
              <w:rPr>
                <w:rFonts w:ascii="Times New Roman" w:hAnsi="Times New Roman" w:eastAsia="宋体" w:cs="Times New Roman"/>
                <w:color w:val="auto"/>
                <w:sz w:val="24"/>
              </w:rPr>
              <w:t>m，K≤1×10</w:t>
            </w:r>
            <w:r>
              <w:rPr>
                <w:rFonts w:ascii="Times New Roman" w:hAnsi="Times New Roman" w:eastAsia="宋体" w:cs="Times New Roman"/>
                <w:color w:val="auto"/>
                <w:sz w:val="24"/>
                <w:vertAlign w:val="superscript"/>
              </w:rPr>
              <w:t>-7</w:t>
            </w:r>
            <w:r>
              <w:rPr>
                <w:rFonts w:ascii="Times New Roman" w:hAnsi="Times New Roman" w:eastAsia="宋体" w:cs="Times New Roman"/>
                <w:color w:val="auto"/>
                <w:sz w:val="24"/>
              </w:rPr>
              <w:t>cm/s</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危废贮存点做重点防渗，参照《危险废物贮存污染控制标准》(GB18597-2023)设计，采用防渗水泥硬化，内表面涂覆防渗涂料，防渗性能等效黏土防渗层Mb≥6.0m，K≤1×10</w:t>
            </w:r>
            <w:r>
              <w:rPr>
                <w:rFonts w:ascii="Times New Roman" w:hAnsi="Times New Roman" w:eastAsia="宋体" w:cs="Times New Roman"/>
                <w:color w:val="auto"/>
                <w:sz w:val="24"/>
                <w:vertAlign w:val="superscript"/>
              </w:rPr>
              <w:t>-7</w:t>
            </w:r>
            <w:r>
              <w:rPr>
                <w:rFonts w:ascii="Times New Roman" w:hAnsi="Times New Roman" w:eastAsia="宋体" w:cs="Times New Roman"/>
                <w:color w:val="auto"/>
                <w:sz w:val="24"/>
              </w:rPr>
              <w:t>cm/s。项目加强管理，对地下水和土壤环境影响不大。</w:t>
            </w:r>
          </w:p>
          <w:p w14:paraId="3A028864">
            <w:pPr>
              <w:keepNext w:val="0"/>
              <w:keepLines w:val="0"/>
              <w:suppressLineNumbers w:val="0"/>
              <w:spacing w:before="0" w:beforeAutospacing="0" w:after="0" w:afterAutospacing="0" w:line="360" w:lineRule="auto"/>
              <w:ind w:left="0" w:right="0"/>
              <w:rPr>
                <w:rFonts w:ascii="Calibri" w:hAnsi="Calibri" w:eastAsia="宋体" w:cs="Times New Roman"/>
                <w:b/>
                <w:bCs/>
                <w:color w:val="auto"/>
                <w:sz w:val="24"/>
              </w:rPr>
            </w:pPr>
            <w:r>
              <w:rPr>
                <w:rFonts w:hint="eastAsia" w:ascii="Times New Roman" w:hAnsi="Times New Roman" w:eastAsia="宋体" w:cs="Times New Roman"/>
                <w:b/>
                <w:color w:val="auto"/>
                <w:sz w:val="24"/>
              </w:rPr>
              <w:t>六</w:t>
            </w:r>
            <w:r>
              <w:rPr>
                <w:rFonts w:ascii="Times New Roman" w:hAnsi="Times New Roman" w:eastAsia="宋体" w:cs="Times New Roman"/>
                <w:b/>
                <w:color w:val="auto"/>
                <w:sz w:val="24"/>
              </w:rPr>
              <w:t>、</w:t>
            </w:r>
            <w:r>
              <w:rPr>
                <w:rFonts w:ascii="Calibri" w:hAnsi="Calibri" w:eastAsia="宋体" w:cs="Times New Roman"/>
                <w:b/>
                <w:bCs/>
                <w:color w:val="auto"/>
                <w:sz w:val="24"/>
              </w:rPr>
              <w:t>环境风险分析</w:t>
            </w:r>
          </w:p>
          <w:p w14:paraId="03A89FF4">
            <w:pPr>
              <w:pStyle w:val="6"/>
              <w:keepNext w:val="0"/>
              <w:keepLines w:val="0"/>
              <w:suppressLineNumbers w:val="0"/>
              <w:adjustRightInd w:val="0"/>
              <w:snapToGrid w:val="0"/>
              <w:spacing w:before="0" w:beforeAutospacing="0" w:after="0" w:afterAutospacing="0" w:line="360" w:lineRule="auto"/>
              <w:ind w:left="0" w:right="0" w:firstLine="482"/>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1、危险物质识别</w:t>
            </w:r>
          </w:p>
          <w:p w14:paraId="7C47F6D4">
            <w:pPr>
              <w:pStyle w:val="6"/>
              <w:keepNext w:val="0"/>
              <w:keepLines w:val="0"/>
              <w:suppressLineNumbers w:val="0"/>
              <w:adjustRightInd w:val="0"/>
              <w:snapToGrid w:val="0"/>
              <w:spacing w:before="0" w:beforeAutospacing="0" w:after="0" w:afterAutospacing="0" w:line="360" w:lineRule="auto"/>
              <w:ind w:left="0" w:right="0" w:firstLine="480"/>
              <w:rPr>
                <w:rFonts w:ascii="Times New Roman" w:hAnsi="Times New Roman" w:eastAsia="宋体" w:cs="Times New Roman"/>
                <w:color w:val="auto"/>
                <w:sz w:val="24"/>
              </w:rPr>
            </w:pPr>
            <w:r>
              <w:rPr>
                <w:rFonts w:hint="eastAsia" w:ascii="Times New Roman" w:hAnsi="Times New Roman" w:eastAsia="宋体" w:cs="Times New Roman"/>
                <w:color w:val="auto"/>
                <w:sz w:val="24"/>
              </w:rPr>
              <w:t>项目原辅料主要为粮油企业外购废弃物（主要是废弃豆粕、生活垃圾等），成品主要是废塑料、废金属碎屑、发酵后得到的生物肥料。根据《建设项目环境风险评价技术导则》（HJ169-2018）中附录 B ，不属于（HJ169-2018）中的风险物质。</w:t>
            </w:r>
          </w:p>
          <w:p w14:paraId="2B037D68">
            <w:pPr>
              <w:pStyle w:val="6"/>
              <w:keepNext w:val="0"/>
              <w:keepLines w:val="0"/>
              <w:suppressLineNumbers w:val="0"/>
              <w:adjustRightInd w:val="0"/>
              <w:snapToGrid w:val="0"/>
              <w:spacing w:before="0" w:beforeAutospacing="0" w:after="0" w:afterAutospacing="0" w:line="360" w:lineRule="auto"/>
              <w:ind w:left="0" w:right="0" w:firstLine="480"/>
              <w:rPr>
                <w:rFonts w:ascii="Times New Roman" w:hAnsi="Times New Roman" w:eastAsia="宋体" w:cs="Times New Roman"/>
                <w:color w:val="auto"/>
                <w:sz w:val="24"/>
              </w:rPr>
            </w:pPr>
            <w:r>
              <w:rPr>
                <w:rFonts w:hint="eastAsia" w:ascii="Times New Roman" w:hAnsi="Times New Roman" w:eastAsia="宋体" w:cs="Times New Roman"/>
                <w:color w:val="auto"/>
                <w:sz w:val="24"/>
              </w:rPr>
              <w:t>项目涉及的废机油属于矿物油类，产生量约0.1t/a。根据《建设项目环境风险评价技术导则》（HJ169-2018）中附录 B ，属于风险物质。其理化性质如下表所示：</w:t>
            </w:r>
          </w:p>
          <w:p w14:paraId="6F707150">
            <w:pPr>
              <w:keepNext/>
              <w:keepLines w:val="0"/>
              <w:suppressLineNumbers w:val="0"/>
              <w:spacing w:before="0" w:beforeAutospacing="0" w:after="0" w:afterAutospacing="0" w:line="400" w:lineRule="exact"/>
              <w:ind w:left="0" w:right="0"/>
              <w:jc w:val="center"/>
              <w:rPr>
                <w:rFonts w:ascii="Calibri" w:hAnsi="Calibri" w:eastAsia="宋体" w:cs="Times New Roman"/>
                <w:b/>
                <w:bCs/>
                <w:color w:val="auto"/>
                <w:sz w:val="24"/>
              </w:rPr>
            </w:pPr>
            <w:r>
              <w:rPr>
                <w:rFonts w:ascii="Calibri" w:hAnsi="Calibri" w:eastAsia="宋体" w:cs="Times New Roman"/>
                <w:b/>
                <w:bCs/>
                <w:color w:val="auto"/>
                <w:sz w:val="24"/>
              </w:rPr>
              <w:t>表4-</w:t>
            </w:r>
            <w:r>
              <w:rPr>
                <w:rFonts w:hint="eastAsia" w:ascii="Calibri" w:hAnsi="Calibri" w:eastAsia="宋体" w:cs="Times New Roman"/>
                <w:b/>
                <w:bCs/>
                <w:color w:val="auto"/>
                <w:sz w:val="24"/>
              </w:rPr>
              <w:t>12</w:t>
            </w:r>
            <w:r>
              <w:rPr>
                <w:rFonts w:ascii="Calibri" w:hAnsi="Calibri" w:eastAsia="宋体" w:cs="Times New Roman"/>
                <w:b/>
                <w:bCs/>
                <w:color w:val="auto"/>
                <w:sz w:val="24"/>
              </w:rPr>
              <w:t>润滑油（机油）的理化性质及危险特性表</w:t>
            </w:r>
          </w:p>
          <w:tbl>
            <w:tblPr>
              <w:tblStyle w:val="2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28"/>
              <w:gridCol w:w="670"/>
              <w:gridCol w:w="711"/>
              <w:gridCol w:w="1327"/>
              <w:gridCol w:w="1257"/>
              <w:gridCol w:w="956"/>
              <w:gridCol w:w="296"/>
              <w:gridCol w:w="520"/>
              <w:gridCol w:w="622"/>
              <w:gridCol w:w="478"/>
              <w:gridCol w:w="1353"/>
            </w:tblGrid>
            <w:tr w14:paraId="0F748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noWrap w:val="0"/>
                  <w:tcMar>
                    <w:top w:w="0" w:type="dxa"/>
                    <w:left w:w="0" w:type="dxa"/>
                    <w:bottom w:w="0" w:type="dxa"/>
                    <w:right w:w="0" w:type="dxa"/>
                  </w:tcMar>
                  <w:vAlign w:val="center"/>
                </w:tcPr>
                <w:p w14:paraId="111B74A2">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标识</w:t>
                  </w:r>
                </w:p>
              </w:tc>
              <w:tc>
                <w:tcPr>
                  <w:tcW w:w="412" w:type="pct"/>
                  <w:noWrap w:val="0"/>
                  <w:tcMar>
                    <w:top w:w="0" w:type="dxa"/>
                    <w:left w:w="0" w:type="dxa"/>
                    <w:bottom w:w="0" w:type="dxa"/>
                    <w:right w:w="0" w:type="dxa"/>
                  </w:tcMar>
                  <w:vAlign w:val="center"/>
                </w:tcPr>
                <w:p w14:paraId="0B9C0B7F">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中文名</w:t>
                  </w:r>
                </w:p>
              </w:tc>
              <w:tc>
                <w:tcPr>
                  <w:tcW w:w="435" w:type="pct"/>
                  <w:noWrap w:val="0"/>
                  <w:tcMar>
                    <w:top w:w="0" w:type="dxa"/>
                    <w:left w:w="0" w:type="dxa"/>
                    <w:bottom w:w="0" w:type="dxa"/>
                    <w:right w:w="0" w:type="dxa"/>
                  </w:tcMar>
                  <w:vAlign w:val="center"/>
                </w:tcPr>
                <w:p w14:paraId="3D255474">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润滑油</w:t>
                  </w:r>
                </w:p>
              </w:tc>
              <w:tc>
                <w:tcPr>
                  <w:tcW w:w="789" w:type="pct"/>
                  <w:noWrap w:val="0"/>
                  <w:tcMar>
                    <w:top w:w="0" w:type="dxa"/>
                    <w:left w:w="0" w:type="dxa"/>
                    <w:bottom w:w="0" w:type="dxa"/>
                    <w:right w:w="0" w:type="dxa"/>
                  </w:tcMar>
                  <w:vAlign w:val="center"/>
                </w:tcPr>
                <w:p w14:paraId="7DB116D7">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英文名</w:t>
                  </w:r>
                </w:p>
              </w:tc>
              <w:tc>
                <w:tcPr>
                  <w:tcW w:w="1523" w:type="pct"/>
                  <w:gridSpan w:val="3"/>
                  <w:noWrap w:val="0"/>
                  <w:tcMar>
                    <w:top w:w="0" w:type="dxa"/>
                    <w:left w:w="0" w:type="dxa"/>
                    <w:bottom w:w="0" w:type="dxa"/>
                    <w:right w:w="0" w:type="dxa"/>
                  </w:tcMar>
                  <w:vAlign w:val="center"/>
                </w:tcPr>
                <w:p w14:paraId="45732862">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Lubricating oil</w:t>
                  </w:r>
                  <w:r>
                    <w:rPr>
                      <w:rFonts w:hint="eastAsia" w:ascii="Times New Roman" w:eastAsia="宋体" w:cs="Times New Roman"/>
                      <w:color w:val="auto"/>
                      <w:szCs w:val="21"/>
                    </w:rPr>
                    <w:t>;</w:t>
                  </w:r>
                  <w:r>
                    <w:rPr>
                      <w:rFonts w:ascii="Times New Roman" w:eastAsia="宋体" w:cs="Times New Roman"/>
                      <w:color w:val="auto"/>
                      <w:szCs w:val="21"/>
                    </w:rPr>
                    <w:t>Lube oil</w:t>
                  </w:r>
                </w:p>
              </w:tc>
              <w:tc>
                <w:tcPr>
                  <w:tcW w:w="1013" w:type="pct"/>
                  <w:gridSpan w:val="3"/>
                  <w:noWrap w:val="0"/>
                  <w:tcMar>
                    <w:top w:w="0" w:type="dxa"/>
                    <w:left w:w="0" w:type="dxa"/>
                    <w:bottom w:w="0" w:type="dxa"/>
                    <w:right w:w="0" w:type="dxa"/>
                  </w:tcMar>
                  <w:vAlign w:val="center"/>
                </w:tcPr>
                <w:p w14:paraId="2E31834F">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危险货物编号</w:t>
                  </w:r>
                </w:p>
              </w:tc>
              <w:tc>
                <w:tcPr>
                  <w:tcW w:w="494" w:type="pct"/>
                  <w:noWrap w:val="0"/>
                  <w:tcMar>
                    <w:top w:w="0" w:type="dxa"/>
                    <w:left w:w="0" w:type="dxa"/>
                    <w:bottom w:w="0" w:type="dxa"/>
                    <w:right w:w="0" w:type="dxa"/>
                  </w:tcMar>
                  <w:vAlign w:val="center"/>
                </w:tcPr>
                <w:p w14:paraId="006FB096">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w:t>
                  </w:r>
                </w:p>
              </w:tc>
            </w:tr>
            <w:tr w14:paraId="18D677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restart"/>
                  <w:noWrap w:val="0"/>
                  <w:tcMar>
                    <w:top w:w="0" w:type="dxa"/>
                    <w:left w:w="0" w:type="dxa"/>
                    <w:bottom w:w="0" w:type="dxa"/>
                    <w:right w:w="0" w:type="dxa"/>
                  </w:tcMar>
                  <w:vAlign w:val="center"/>
                </w:tcPr>
                <w:p w14:paraId="103B7136">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理化性质</w:t>
                  </w:r>
                </w:p>
              </w:tc>
              <w:tc>
                <w:tcPr>
                  <w:tcW w:w="412" w:type="pct"/>
                  <w:noWrap w:val="0"/>
                  <w:tcMar>
                    <w:top w:w="0" w:type="dxa"/>
                    <w:left w:w="0" w:type="dxa"/>
                    <w:bottom w:w="0" w:type="dxa"/>
                    <w:right w:w="0" w:type="dxa"/>
                  </w:tcMar>
                  <w:vAlign w:val="center"/>
                </w:tcPr>
                <w:p w14:paraId="0AF115E7">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分子式</w:t>
                  </w:r>
                </w:p>
              </w:tc>
              <w:tc>
                <w:tcPr>
                  <w:tcW w:w="435" w:type="pct"/>
                  <w:noWrap w:val="0"/>
                  <w:tcMar>
                    <w:top w:w="0" w:type="dxa"/>
                    <w:left w:w="0" w:type="dxa"/>
                    <w:bottom w:w="0" w:type="dxa"/>
                    <w:right w:w="0" w:type="dxa"/>
                  </w:tcMar>
                  <w:vAlign w:val="center"/>
                </w:tcPr>
                <w:p w14:paraId="3581F3F5">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w:t>
                  </w:r>
                </w:p>
              </w:tc>
              <w:tc>
                <w:tcPr>
                  <w:tcW w:w="789" w:type="pct"/>
                  <w:noWrap w:val="0"/>
                  <w:tcMar>
                    <w:top w:w="0" w:type="dxa"/>
                    <w:left w:w="0" w:type="dxa"/>
                    <w:bottom w:w="0" w:type="dxa"/>
                    <w:right w:w="0" w:type="dxa"/>
                  </w:tcMar>
                  <w:vAlign w:val="center"/>
                </w:tcPr>
                <w:p w14:paraId="47D466A0">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分子量</w:t>
                  </w:r>
                </w:p>
              </w:tc>
              <w:tc>
                <w:tcPr>
                  <w:tcW w:w="749" w:type="pct"/>
                  <w:noWrap w:val="0"/>
                  <w:tcMar>
                    <w:top w:w="0" w:type="dxa"/>
                    <w:left w:w="0" w:type="dxa"/>
                    <w:bottom w:w="0" w:type="dxa"/>
                    <w:right w:w="0" w:type="dxa"/>
                  </w:tcMar>
                  <w:vAlign w:val="center"/>
                </w:tcPr>
                <w:p w14:paraId="58640AE9">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230~500</w:t>
                  </w:r>
                </w:p>
              </w:tc>
              <w:tc>
                <w:tcPr>
                  <w:tcW w:w="773" w:type="pct"/>
                  <w:gridSpan w:val="2"/>
                  <w:noWrap w:val="0"/>
                  <w:tcMar>
                    <w:top w:w="0" w:type="dxa"/>
                    <w:left w:w="0" w:type="dxa"/>
                    <w:bottom w:w="0" w:type="dxa"/>
                    <w:right w:w="0" w:type="dxa"/>
                  </w:tcMar>
                  <w:vAlign w:val="center"/>
                </w:tcPr>
                <w:p w14:paraId="65269533">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UN编号</w:t>
                  </w:r>
                </w:p>
              </w:tc>
              <w:tc>
                <w:tcPr>
                  <w:tcW w:w="326" w:type="pct"/>
                  <w:noWrap w:val="0"/>
                  <w:tcMar>
                    <w:top w:w="0" w:type="dxa"/>
                    <w:left w:w="0" w:type="dxa"/>
                    <w:bottom w:w="0" w:type="dxa"/>
                    <w:right w:w="0" w:type="dxa"/>
                  </w:tcMar>
                  <w:vAlign w:val="center"/>
                </w:tcPr>
                <w:p w14:paraId="5D86169E">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w:t>
                  </w:r>
                </w:p>
              </w:tc>
              <w:tc>
                <w:tcPr>
                  <w:tcW w:w="687" w:type="pct"/>
                  <w:gridSpan w:val="2"/>
                  <w:noWrap w:val="0"/>
                  <w:tcMar>
                    <w:top w:w="0" w:type="dxa"/>
                    <w:left w:w="0" w:type="dxa"/>
                    <w:bottom w:w="0" w:type="dxa"/>
                    <w:right w:w="0" w:type="dxa"/>
                  </w:tcMar>
                  <w:vAlign w:val="center"/>
                </w:tcPr>
                <w:p w14:paraId="0C251FD0">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CAS编号</w:t>
                  </w:r>
                </w:p>
              </w:tc>
              <w:tc>
                <w:tcPr>
                  <w:tcW w:w="494" w:type="pct"/>
                  <w:noWrap w:val="0"/>
                  <w:tcMar>
                    <w:top w:w="0" w:type="dxa"/>
                    <w:left w:w="0" w:type="dxa"/>
                    <w:bottom w:w="0" w:type="dxa"/>
                    <w:right w:w="0" w:type="dxa"/>
                  </w:tcMar>
                  <w:vAlign w:val="center"/>
                </w:tcPr>
                <w:p w14:paraId="3B3D5084">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w:t>
                  </w:r>
                </w:p>
              </w:tc>
            </w:tr>
            <w:tr w14:paraId="1FEF2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4FBD64E2">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412" w:type="pct"/>
                  <w:noWrap w:val="0"/>
                  <w:tcMar>
                    <w:top w:w="0" w:type="dxa"/>
                    <w:left w:w="0" w:type="dxa"/>
                    <w:bottom w:w="0" w:type="dxa"/>
                    <w:right w:w="0" w:type="dxa"/>
                  </w:tcMar>
                  <w:vAlign w:val="center"/>
                </w:tcPr>
                <w:p w14:paraId="4555C17C">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性状</w:t>
                  </w:r>
                </w:p>
              </w:tc>
              <w:tc>
                <w:tcPr>
                  <w:tcW w:w="4255" w:type="pct"/>
                  <w:gridSpan w:val="9"/>
                  <w:noWrap w:val="0"/>
                  <w:tcMar>
                    <w:top w:w="0" w:type="dxa"/>
                    <w:left w:w="0" w:type="dxa"/>
                    <w:bottom w:w="0" w:type="dxa"/>
                    <w:right w:w="0" w:type="dxa"/>
                  </w:tcMar>
                  <w:vAlign w:val="center"/>
                </w:tcPr>
                <w:p w14:paraId="56E2EAB5">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油状液体，淡黄色至褐色，无气味或略带</w:t>
                  </w:r>
                  <w:r>
                    <w:rPr>
                      <w:rFonts w:hint="eastAsia" w:ascii="Times New Roman" w:eastAsia="宋体" w:cs="Times New Roman"/>
                      <w:color w:val="auto"/>
                      <w:szCs w:val="21"/>
                    </w:rPr>
                    <w:t>气味</w:t>
                  </w:r>
                  <w:r>
                    <w:rPr>
                      <w:rFonts w:ascii="Times New Roman" w:eastAsia="宋体" w:cs="Times New Roman"/>
                      <w:color w:val="auto"/>
                      <w:szCs w:val="21"/>
                    </w:rPr>
                    <w:t>。</w:t>
                  </w:r>
                </w:p>
              </w:tc>
            </w:tr>
            <w:tr w14:paraId="36E837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38980F02">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848" w:type="pct"/>
                  <w:gridSpan w:val="2"/>
                  <w:noWrap w:val="0"/>
                  <w:tcMar>
                    <w:top w:w="0" w:type="dxa"/>
                    <w:left w:w="0" w:type="dxa"/>
                    <w:bottom w:w="0" w:type="dxa"/>
                    <w:right w:w="0" w:type="dxa"/>
                  </w:tcMar>
                  <w:vAlign w:val="center"/>
                </w:tcPr>
                <w:p w14:paraId="79FD339D">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溶解性</w:t>
                  </w:r>
                </w:p>
              </w:tc>
              <w:tc>
                <w:tcPr>
                  <w:tcW w:w="1538" w:type="pct"/>
                  <w:gridSpan w:val="2"/>
                  <w:noWrap w:val="0"/>
                  <w:tcMar>
                    <w:top w:w="0" w:type="dxa"/>
                    <w:left w:w="0" w:type="dxa"/>
                    <w:bottom w:w="0" w:type="dxa"/>
                    <w:right w:w="0" w:type="dxa"/>
                  </w:tcMar>
                  <w:vAlign w:val="center"/>
                </w:tcPr>
                <w:p w14:paraId="48A830B4">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不溶于水</w:t>
                  </w:r>
                </w:p>
              </w:tc>
              <w:tc>
                <w:tcPr>
                  <w:tcW w:w="1787" w:type="pct"/>
                  <w:gridSpan w:val="5"/>
                  <w:noWrap w:val="0"/>
                  <w:tcMar>
                    <w:top w:w="0" w:type="dxa"/>
                    <w:left w:w="0" w:type="dxa"/>
                    <w:bottom w:w="0" w:type="dxa"/>
                    <w:right w:w="0" w:type="dxa"/>
                  </w:tcMar>
                  <w:vAlign w:val="center"/>
                </w:tcPr>
                <w:p w14:paraId="511B0AA7">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相对密度（水=1）</w:t>
                  </w:r>
                </w:p>
              </w:tc>
              <w:tc>
                <w:tcPr>
                  <w:tcW w:w="494" w:type="pct"/>
                  <w:noWrap w:val="0"/>
                  <w:tcMar>
                    <w:top w:w="0" w:type="dxa"/>
                    <w:left w:w="0" w:type="dxa"/>
                    <w:bottom w:w="0" w:type="dxa"/>
                    <w:right w:w="0" w:type="dxa"/>
                  </w:tcMar>
                  <w:vAlign w:val="center"/>
                </w:tcPr>
                <w:p w14:paraId="65D28E28">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hint="eastAsia" w:ascii="Times New Roman" w:eastAsia="宋体" w:cs="Times New Roman"/>
                      <w:color w:val="auto"/>
                      <w:szCs w:val="21"/>
                    </w:rPr>
                    <w:t>0.91×1</w:t>
                  </w:r>
                  <w:r>
                    <w:rPr>
                      <w:rFonts w:ascii="Times New Roman" w:hAnsi="Times New Roman" w:eastAsia="宋体" w:cs="Times New Roman"/>
                      <w:color w:val="auto"/>
                      <w:szCs w:val="21"/>
                    </w:rPr>
                    <w:t>0³kg/m³</w:t>
                  </w:r>
                </w:p>
              </w:tc>
            </w:tr>
            <w:tr w14:paraId="5A4445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restart"/>
                  <w:noWrap w:val="0"/>
                  <w:tcMar>
                    <w:top w:w="0" w:type="dxa"/>
                    <w:left w:w="0" w:type="dxa"/>
                    <w:bottom w:w="0" w:type="dxa"/>
                    <w:right w:w="0" w:type="dxa"/>
                  </w:tcMar>
                  <w:vAlign w:val="center"/>
                </w:tcPr>
                <w:p w14:paraId="7A726DD6">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燃烧爆炸危险性</w:t>
                  </w:r>
                </w:p>
              </w:tc>
              <w:tc>
                <w:tcPr>
                  <w:tcW w:w="848" w:type="pct"/>
                  <w:gridSpan w:val="2"/>
                  <w:noWrap w:val="0"/>
                  <w:tcMar>
                    <w:top w:w="0" w:type="dxa"/>
                    <w:left w:w="0" w:type="dxa"/>
                    <w:bottom w:w="0" w:type="dxa"/>
                    <w:right w:w="0" w:type="dxa"/>
                  </w:tcMar>
                  <w:vAlign w:val="center"/>
                </w:tcPr>
                <w:p w14:paraId="43D07D31">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燃烧性</w:t>
                  </w:r>
                </w:p>
              </w:tc>
              <w:tc>
                <w:tcPr>
                  <w:tcW w:w="1538" w:type="pct"/>
                  <w:gridSpan w:val="2"/>
                  <w:noWrap w:val="0"/>
                  <w:tcMar>
                    <w:top w:w="0" w:type="dxa"/>
                    <w:left w:w="0" w:type="dxa"/>
                    <w:bottom w:w="0" w:type="dxa"/>
                    <w:right w:w="0" w:type="dxa"/>
                  </w:tcMar>
                  <w:vAlign w:val="center"/>
                </w:tcPr>
                <w:p w14:paraId="1C1385D9">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可燃</w:t>
                  </w:r>
                </w:p>
              </w:tc>
              <w:tc>
                <w:tcPr>
                  <w:tcW w:w="1485" w:type="pct"/>
                  <w:gridSpan w:val="4"/>
                  <w:noWrap w:val="0"/>
                  <w:tcMar>
                    <w:top w:w="0" w:type="dxa"/>
                    <w:left w:w="0" w:type="dxa"/>
                    <w:bottom w:w="0" w:type="dxa"/>
                    <w:right w:w="0" w:type="dxa"/>
                  </w:tcMar>
                  <w:vAlign w:val="center"/>
                </w:tcPr>
                <w:p w14:paraId="0B164BF5">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闪点（</w:t>
                  </w:r>
                  <w:r>
                    <w:rPr>
                      <w:rFonts w:hint="eastAsia" w:hAnsi="宋体" w:eastAsia="宋体" w:cs="宋体"/>
                      <w:color w:val="auto"/>
                      <w:szCs w:val="21"/>
                    </w:rPr>
                    <w:t>℃</w:t>
                  </w:r>
                  <w:r>
                    <w:rPr>
                      <w:rFonts w:ascii="Times New Roman" w:eastAsia="宋体" w:cs="Times New Roman"/>
                      <w:color w:val="auto"/>
                      <w:szCs w:val="21"/>
                    </w:rPr>
                    <w:t>）</w:t>
                  </w:r>
                </w:p>
              </w:tc>
              <w:tc>
                <w:tcPr>
                  <w:tcW w:w="796" w:type="pct"/>
                  <w:gridSpan w:val="2"/>
                  <w:noWrap w:val="0"/>
                  <w:tcMar>
                    <w:top w:w="0" w:type="dxa"/>
                    <w:left w:w="0" w:type="dxa"/>
                    <w:bottom w:w="0" w:type="dxa"/>
                    <w:right w:w="0" w:type="dxa"/>
                  </w:tcMar>
                  <w:vAlign w:val="center"/>
                </w:tcPr>
                <w:p w14:paraId="6204C2A5">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76</w:t>
                  </w:r>
                </w:p>
              </w:tc>
            </w:tr>
            <w:tr w14:paraId="7B17C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5DAB836F">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848" w:type="pct"/>
                  <w:gridSpan w:val="2"/>
                  <w:noWrap w:val="0"/>
                  <w:tcMar>
                    <w:top w:w="0" w:type="dxa"/>
                    <w:left w:w="0" w:type="dxa"/>
                    <w:bottom w:w="0" w:type="dxa"/>
                    <w:right w:w="0" w:type="dxa"/>
                  </w:tcMar>
                  <w:vAlign w:val="center"/>
                </w:tcPr>
                <w:p w14:paraId="60960348">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爆炸极限（%）</w:t>
                  </w:r>
                </w:p>
              </w:tc>
              <w:tc>
                <w:tcPr>
                  <w:tcW w:w="1538" w:type="pct"/>
                  <w:gridSpan w:val="2"/>
                  <w:noWrap w:val="0"/>
                  <w:tcMar>
                    <w:top w:w="0" w:type="dxa"/>
                    <w:left w:w="0" w:type="dxa"/>
                    <w:bottom w:w="0" w:type="dxa"/>
                    <w:right w:w="0" w:type="dxa"/>
                  </w:tcMar>
                  <w:vAlign w:val="center"/>
                </w:tcPr>
                <w:p w14:paraId="6671491F">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无资料</w:t>
                  </w:r>
                </w:p>
              </w:tc>
              <w:tc>
                <w:tcPr>
                  <w:tcW w:w="1485" w:type="pct"/>
                  <w:gridSpan w:val="4"/>
                  <w:noWrap w:val="0"/>
                  <w:tcMar>
                    <w:top w:w="0" w:type="dxa"/>
                    <w:left w:w="0" w:type="dxa"/>
                    <w:bottom w:w="0" w:type="dxa"/>
                    <w:right w:w="0" w:type="dxa"/>
                  </w:tcMar>
                  <w:vAlign w:val="center"/>
                </w:tcPr>
                <w:p w14:paraId="319A1D0E">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最小点火能（MJ）</w:t>
                  </w:r>
                </w:p>
              </w:tc>
              <w:tc>
                <w:tcPr>
                  <w:tcW w:w="796" w:type="pct"/>
                  <w:gridSpan w:val="2"/>
                  <w:noWrap w:val="0"/>
                  <w:tcMar>
                    <w:top w:w="0" w:type="dxa"/>
                    <w:left w:w="0" w:type="dxa"/>
                    <w:bottom w:w="0" w:type="dxa"/>
                    <w:right w:w="0" w:type="dxa"/>
                  </w:tcMar>
                  <w:vAlign w:val="center"/>
                </w:tcPr>
                <w:p w14:paraId="25B44560">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r>
            <w:tr w14:paraId="04432E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35325E6C">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848" w:type="pct"/>
                  <w:gridSpan w:val="2"/>
                  <w:noWrap w:val="0"/>
                  <w:tcMar>
                    <w:top w:w="0" w:type="dxa"/>
                    <w:left w:w="0" w:type="dxa"/>
                    <w:bottom w:w="0" w:type="dxa"/>
                    <w:right w:w="0" w:type="dxa"/>
                  </w:tcMar>
                  <w:vAlign w:val="center"/>
                </w:tcPr>
                <w:p w14:paraId="40D5D78B">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引燃温度（</w:t>
                  </w:r>
                  <w:r>
                    <w:rPr>
                      <w:rFonts w:hint="eastAsia" w:hAnsi="宋体" w:eastAsia="宋体" w:cs="宋体"/>
                      <w:color w:val="auto"/>
                      <w:szCs w:val="21"/>
                    </w:rPr>
                    <w:t>℃</w:t>
                  </w:r>
                  <w:r>
                    <w:rPr>
                      <w:rFonts w:ascii="Times New Roman" w:eastAsia="宋体" w:cs="Times New Roman"/>
                      <w:color w:val="auto"/>
                      <w:szCs w:val="21"/>
                    </w:rPr>
                    <w:t>）</w:t>
                  </w:r>
                </w:p>
              </w:tc>
              <w:tc>
                <w:tcPr>
                  <w:tcW w:w="1538" w:type="pct"/>
                  <w:gridSpan w:val="2"/>
                  <w:noWrap w:val="0"/>
                  <w:tcMar>
                    <w:top w:w="0" w:type="dxa"/>
                    <w:left w:w="0" w:type="dxa"/>
                    <w:bottom w:w="0" w:type="dxa"/>
                    <w:right w:w="0" w:type="dxa"/>
                  </w:tcMar>
                  <w:vAlign w:val="center"/>
                </w:tcPr>
                <w:p w14:paraId="0F5E963D">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248</w:t>
                  </w:r>
                </w:p>
              </w:tc>
              <w:tc>
                <w:tcPr>
                  <w:tcW w:w="1485" w:type="pct"/>
                  <w:gridSpan w:val="4"/>
                  <w:noWrap w:val="0"/>
                  <w:tcMar>
                    <w:top w:w="0" w:type="dxa"/>
                    <w:left w:w="0" w:type="dxa"/>
                    <w:bottom w:w="0" w:type="dxa"/>
                    <w:right w:w="0" w:type="dxa"/>
                  </w:tcMar>
                  <w:vAlign w:val="center"/>
                </w:tcPr>
                <w:p w14:paraId="36C02007">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最大爆炸压力（MPa）</w:t>
                  </w:r>
                </w:p>
              </w:tc>
              <w:tc>
                <w:tcPr>
                  <w:tcW w:w="796" w:type="pct"/>
                  <w:gridSpan w:val="2"/>
                  <w:noWrap w:val="0"/>
                  <w:tcMar>
                    <w:top w:w="0" w:type="dxa"/>
                    <w:left w:w="0" w:type="dxa"/>
                    <w:bottom w:w="0" w:type="dxa"/>
                    <w:right w:w="0" w:type="dxa"/>
                  </w:tcMar>
                  <w:vAlign w:val="center"/>
                </w:tcPr>
                <w:p w14:paraId="13A72F67">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r>
            <w:tr w14:paraId="6A9615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29E3277B">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848" w:type="pct"/>
                  <w:gridSpan w:val="2"/>
                  <w:noWrap w:val="0"/>
                  <w:tcMar>
                    <w:top w:w="0" w:type="dxa"/>
                    <w:left w:w="0" w:type="dxa"/>
                    <w:bottom w:w="0" w:type="dxa"/>
                    <w:right w:w="0" w:type="dxa"/>
                  </w:tcMar>
                  <w:vAlign w:val="center"/>
                </w:tcPr>
                <w:p w14:paraId="328F0635">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危险特性</w:t>
                  </w:r>
                </w:p>
              </w:tc>
              <w:tc>
                <w:tcPr>
                  <w:tcW w:w="3820" w:type="pct"/>
                  <w:gridSpan w:val="8"/>
                  <w:noWrap w:val="0"/>
                  <w:tcMar>
                    <w:top w:w="0" w:type="dxa"/>
                    <w:left w:w="0" w:type="dxa"/>
                    <w:bottom w:w="0" w:type="dxa"/>
                    <w:right w:w="0" w:type="dxa"/>
                  </w:tcMar>
                  <w:vAlign w:val="center"/>
                </w:tcPr>
                <w:p w14:paraId="0AEA81F6">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遇明火、高热可燃。</w:t>
                  </w:r>
                </w:p>
              </w:tc>
            </w:tr>
            <w:tr w14:paraId="608B98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1F62A416">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848" w:type="pct"/>
                  <w:gridSpan w:val="2"/>
                  <w:noWrap w:val="0"/>
                  <w:tcMar>
                    <w:top w:w="0" w:type="dxa"/>
                    <w:left w:w="0" w:type="dxa"/>
                    <w:bottom w:w="0" w:type="dxa"/>
                    <w:right w:w="0" w:type="dxa"/>
                  </w:tcMar>
                  <w:vAlign w:val="center"/>
                </w:tcPr>
                <w:p w14:paraId="74538667">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灭火方法</w:t>
                  </w:r>
                </w:p>
              </w:tc>
              <w:tc>
                <w:tcPr>
                  <w:tcW w:w="3820" w:type="pct"/>
                  <w:gridSpan w:val="8"/>
                  <w:noWrap w:val="0"/>
                  <w:tcMar>
                    <w:top w:w="0" w:type="dxa"/>
                    <w:left w:w="0" w:type="dxa"/>
                    <w:bottom w:w="0" w:type="dxa"/>
                    <w:right w:w="0" w:type="dxa"/>
                  </w:tcMar>
                  <w:vAlign w:val="center"/>
                </w:tcPr>
                <w:p w14:paraId="1AB89C5F">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消防人员须佩戴防毒面具、穿全身消防服，在上风向灭火。尽可能将容器从火场移至空旷处。喷水保持火场容器冷却，直至灭火结束。处在火场中的容器若已变色从安全泄压装置中产生声音，必须马上撤离。灭火剂：雾状水、泡沫、干粉、二氧化碳、砂土。</w:t>
                  </w:r>
                </w:p>
              </w:tc>
            </w:tr>
            <w:tr w14:paraId="19145C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46C8C1FD">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848" w:type="pct"/>
                  <w:gridSpan w:val="2"/>
                  <w:noWrap w:val="0"/>
                  <w:tcMar>
                    <w:top w:w="0" w:type="dxa"/>
                    <w:left w:w="0" w:type="dxa"/>
                    <w:bottom w:w="0" w:type="dxa"/>
                    <w:right w:w="0" w:type="dxa"/>
                  </w:tcMar>
                  <w:vAlign w:val="center"/>
                </w:tcPr>
                <w:p w14:paraId="1C49E114">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禁忌物</w:t>
                  </w:r>
                </w:p>
              </w:tc>
              <w:tc>
                <w:tcPr>
                  <w:tcW w:w="1538" w:type="pct"/>
                  <w:gridSpan w:val="2"/>
                  <w:noWrap w:val="0"/>
                  <w:tcMar>
                    <w:top w:w="0" w:type="dxa"/>
                    <w:left w:w="0" w:type="dxa"/>
                    <w:bottom w:w="0" w:type="dxa"/>
                    <w:right w:w="0" w:type="dxa"/>
                  </w:tcMar>
                  <w:vAlign w:val="center"/>
                </w:tcPr>
                <w:p w14:paraId="3CD663BF">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1485" w:type="pct"/>
                  <w:gridSpan w:val="4"/>
                  <w:noWrap w:val="0"/>
                  <w:tcMar>
                    <w:top w:w="0" w:type="dxa"/>
                    <w:left w:w="0" w:type="dxa"/>
                    <w:bottom w:w="0" w:type="dxa"/>
                    <w:right w:w="0" w:type="dxa"/>
                  </w:tcMar>
                  <w:vAlign w:val="center"/>
                </w:tcPr>
                <w:p w14:paraId="0D4E0A42">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稳定性</w:t>
                  </w:r>
                </w:p>
              </w:tc>
              <w:tc>
                <w:tcPr>
                  <w:tcW w:w="796" w:type="pct"/>
                  <w:gridSpan w:val="2"/>
                  <w:noWrap w:val="0"/>
                  <w:tcMar>
                    <w:top w:w="0" w:type="dxa"/>
                    <w:left w:w="0" w:type="dxa"/>
                    <w:bottom w:w="0" w:type="dxa"/>
                    <w:right w:w="0" w:type="dxa"/>
                  </w:tcMar>
                  <w:vAlign w:val="center"/>
                </w:tcPr>
                <w:p w14:paraId="683B2286">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稳定</w:t>
                  </w:r>
                </w:p>
              </w:tc>
            </w:tr>
            <w:tr w14:paraId="06126B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274D1D0D">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848" w:type="pct"/>
                  <w:gridSpan w:val="2"/>
                  <w:noWrap w:val="0"/>
                  <w:tcMar>
                    <w:top w:w="0" w:type="dxa"/>
                    <w:left w:w="0" w:type="dxa"/>
                    <w:bottom w:w="0" w:type="dxa"/>
                    <w:right w:w="0" w:type="dxa"/>
                  </w:tcMar>
                  <w:vAlign w:val="center"/>
                </w:tcPr>
                <w:p w14:paraId="1568A78D">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燃烧产物</w:t>
                  </w:r>
                </w:p>
              </w:tc>
              <w:tc>
                <w:tcPr>
                  <w:tcW w:w="1538" w:type="pct"/>
                  <w:gridSpan w:val="2"/>
                  <w:noWrap w:val="0"/>
                  <w:tcMar>
                    <w:top w:w="0" w:type="dxa"/>
                    <w:left w:w="0" w:type="dxa"/>
                    <w:bottom w:w="0" w:type="dxa"/>
                    <w:right w:w="0" w:type="dxa"/>
                  </w:tcMar>
                  <w:vAlign w:val="center"/>
                </w:tcPr>
                <w:p w14:paraId="732792DA">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一氧化碳、二氧化碳</w:t>
                  </w:r>
                </w:p>
              </w:tc>
              <w:tc>
                <w:tcPr>
                  <w:tcW w:w="1485" w:type="pct"/>
                  <w:gridSpan w:val="4"/>
                  <w:noWrap w:val="0"/>
                  <w:tcMar>
                    <w:top w:w="0" w:type="dxa"/>
                    <w:left w:w="0" w:type="dxa"/>
                    <w:bottom w:w="0" w:type="dxa"/>
                    <w:right w:w="0" w:type="dxa"/>
                  </w:tcMar>
                  <w:vAlign w:val="center"/>
                </w:tcPr>
                <w:p w14:paraId="5FD3C25B">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聚合危害</w:t>
                  </w:r>
                </w:p>
              </w:tc>
              <w:tc>
                <w:tcPr>
                  <w:tcW w:w="796" w:type="pct"/>
                  <w:gridSpan w:val="2"/>
                  <w:noWrap w:val="0"/>
                  <w:tcMar>
                    <w:top w:w="0" w:type="dxa"/>
                    <w:left w:w="0" w:type="dxa"/>
                    <w:bottom w:w="0" w:type="dxa"/>
                    <w:right w:w="0" w:type="dxa"/>
                  </w:tcMar>
                  <w:vAlign w:val="center"/>
                </w:tcPr>
                <w:p w14:paraId="7FCA30D3">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不聚合</w:t>
                  </w:r>
                </w:p>
              </w:tc>
            </w:tr>
            <w:tr w14:paraId="43C63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restart"/>
                  <w:noWrap w:val="0"/>
                  <w:tcMar>
                    <w:top w:w="0" w:type="dxa"/>
                    <w:left w:w="0" w:type="dxa"/>
                    <w:bottom w:w="0" w:type="dxa"/>
                    <w:right w:w="0" w:type="dxa"/>
                  </w:tcMar>
                  <w:vAlign w:val="center"/>
                </w:tcPr>
                <w:p w14:paraId="214C78E1">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毒性及健康危害</w:t>
                  </w:r>
                </w:p>
              </w:tc>
              <w:tc>
                <w:tcPr>
                  <w:tcW w:w="848" w:type="pct"/>
                  <w:gridSpan w:val="2"/>
                  <w:noWrap w:val="0"/>
                  <w:tcMar>
                    <w:top w:w="0" w:type="dxa"/>
                    <w:left w:w="0" w:type="dxa"/>
                    <w:bottom w:w="0" w:type="dxa"/>
                    <w:right w:w="0" w:type="dxa"/>
                  </w:tcMar>
                  <w:vAlign w:val="center"/>
                </w:tcPr>
                <w:p w14:paraId="28B3EBD2">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急性毒性</w:t>
                  </w:r>
                </w:p>
              </w:tc>
              <w:tc>
                <w:tcPr>
                  <w:tcW w:w="1538" w:type="pct"/>
                  <w:gridSpan w:val="2"/>
                  <w:noWrap w:val="0"/>
                  <w:tcMar>
                    <w:top w:w="0" w:type="dxa"/>
                    <w:left w:w="0" w:type="dxa"/>
                    <w:bottom w:w="0" w:type="dxa"/>
                    <w:right w:w="0" w:type="dxa"/>
                  </w:tcMar>
                  <w:vAlign w:val="center"/>
                </w:tcPr>
                <w:p w14:paraId="572FCE35">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LD</w:t>
                  </w:r>
                  <w:r>
                    <w:rPr>
                      <w:rFonts w:ascii="Times New Roman" w:eastAsia="宋体" w:cs="Times New Roman"/>
                      <w:color w:val="auto"/>
                      <w:szCs w:val="21"/>
                      <w:vertAlign w:val="subscript"/>
                    </w:rPr>
                    <w:t>50</w:t>
                  </w:r>
                  <w:r>
                    <w:rPr>
                      <w:rFonts w:ascii="Times New Roman" w:eastAsia="宋体" w:cs="Times New Roman"/>
                      <w:color w:val="auto"/>
                      <w:szCs w:val="21"/>
                    </w:rPr>
                    <w:t>（mg/kg，大鼠经口）</w:t>
                  </w:r>
                </w:p>
              </w:tc>
              <w:tc>
                <w:tcPr>
                  <w:tcW w:w="576" w:type="pct"/>
                  <w:noWrap w:val="0"/>
                  <w:tcMar>
                    <w:top w:w="0" w:type="dxa"/>
                    <w:left w:w="0" w:type="dxa"/>
                    <w:bottom w:w="0" w:type="dxa"/>
                    <w:right w:w="0" w:type="dxa"/>
                  </w:tcMar>
                  <w:vAlign w:val="center"/>
                </w:tcPr>
                <w:p w14:paraId="0DC0A9B2">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无资料</w:t>
                  </w:r>
                </w:p>
              </w:tc>
              <w:tc>
                <w:tcPr>
                  <w:tcW w:w="909" w:type="pct"/>
                  <w:gridSpan w:val="3"/>
                  <w:noWrap w:val="0"/>
                  <w:tcMar>
                    <w:top w:w="0" w:type="dxa"/>
                    <w:left w:w="0" w:type="dxa"/>
                    <w:bottom w:w="0" w:type="dxa"/>
                    <w:right w:w="0" w:type="dxa"/>
                  </w:tcMar>
                  <w:vAlign w:val="center"/>
                </w:tcPr>
                <w:p w14:paraId="6B0A13BA">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LC</w:t>
                  </w:r>
                  <w:r>
                    <w:rPr>
                      <w:rFonts w:ascii="Times New Roman" w:eastAsia="宋体" w:cs="Times New Roman"/>
                      <w:color w:val="auto"/>
                      <w:szCs w:val="21"/>
                      <w:vertAlign w:val="subscript"/>
                    </w:rPr>
                    <w:t>50</w:t>
                  </w:r>
                  <w:r>
                    <w:rPr>
                      <w:rFonts w:ascii="Times New Roman" w:eastAsia="宋体" w:cs="Times New Roman"/>
                      <w:color w:val="auto"/>
                      <w:szCs w:val="21"/>
                    </w:rPr>
                    <w:t>（mg/kg）</w:t>
                  </w:r>
                </w:p>
              </w:tc>
              <w:tc>
                <w:tcPr>
                  <w:tcW w:w="796" w:type="pct"/>
                  <w:gridSpan w:val="2"/>
                  <w:noWrap w:val="0"/>
                  <w:tcMar>
                    <w:top w:w="0" w:type="dxa"/>
                    <w:left w:w="0" w:type="dxa"/>
                    <w:bottom w:w="0" w:type="dxa"/>
                    <w:right w:w="0" w:type="dxa"/>
                  </w:tcMar>
                  <w:vAlign w:val="center"/>
                </w:tcPr>
                <w:p w14:paraId="06C8B29F">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无资料</w:t>
                  </w:r>
                </w:p>
              </w:tc>
            </w:tr>
            <w:tr w14:paraId="5473DE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vMerge w:val="continue"/>
                  <w:noWrap w:val="0"/>
                  <w:tcMar>
                    <w:top w:w="0" w:type="dxa"/>
                    <w:left w:w="0" w:type="dxa"/>
                    <w:bottom w:w="0" w:type="dxa"/>
                    <w:right w:w="0" w:type="dxa"/>
                  </w:tcMar>
                  <w:vAlign w:val="center"/>
                </w:tcPr>
                <w:p w14:paraId="4626B24A">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p>
              </w:tc>
              <w:tc>
                <w:tcPr>
                  <w:tcW w:w="848" w:type="pct"/>
                  <w:gridSpan w:val="2"/>
                  <w:noWrap w:val="0"/>
                  <w:tcMar>
                    <w:top w:w="0" w:type="dxa"/>
                    <w:left w:w="0" w:type="dxa"/>
                    <w:bottom w:w="0" w:type="dxa"/>
                    <w:right w:w="0" w:type="dxa"/>
                  </w:tcMar>
                  <w:vAlign w:val="center"/>
                </w:tcPr>
                <w:p w14:paraId="2F4EED33">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健康危害</w:t>
                  </w:r>
                </w:p>
              </w:tc>
              <w:tc>
                <w:tcPr>
                  <w:tcW w:w="3820" w:type="pct"/>
                  <w:gridSpan w:val="8"/>
                  <w:noWrap w:val="0"/>
                  <w:tcMar>
                    <w:top w:w="0" w:type="dxa"/>
                    <w:left w:w="0" w:type="dxa"/>
                    <w:bottom w:w="0" w:type="dxa"/>
                    <w:right w:w="0" w:type="dxa"/>
                  </w:tcMar>
                  <w:vAlign w:val="center"/>
                </w:tcPr>
                <w:p w14:paraId="2EF0FFB9">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侵入途径：吸入、食入；</w:t>
                  </w:r>
                </w:p>
                <w:p w14:paraId="3E57B3BB">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急性吸入可出现乏力、头晕、头痛、恶心，严重者可引起油脂性肺炎。慢接触者，暴露部位可发生油性痤疮和接触性皮炎。可引起神经衰弱综合征，呼吸道和眼刺激症状及慢性油脂性肺炎。有资料报道，接触石油润滑</w:t>
                  </w:r>
                  <w:r>
                    <w:rPr>
                      <w:rFonts w:hint="eastAsia" w:ascii="Times New Roman" w:eastAsia="宋体" w:cs="Times New Roman"/>
                      <w:color w:val="auto"/>
                      <w:szCs w:val="21"/>
                    </w:rPr>
                    <w:t>剂</w:t>
                  </w:r>
                  <w:r>
                    <w:rPr>
                      <w:rFonts w:ascii="Times New Roman" w:eastAsia="宋体" w:cs="Times New Roman"/>
                      <w:color w:val="auto"/>
                      <w:szCs w:val="21"/>
                    </w:rPr>
                    <w:t>的工人，有致癌的病例报告。</w:t>
                  </w:r>
                </w:p>
              </w:tc>
            </w:tr>
            <w:tr w14:paraId="09B6FB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noWrap w:val="0"/>
                  <w:tcMar>
                    <w:top w:w="0" w:type="dxa"/>
                    <w:left w:w="0" w:type="dxa"/>
                    <w:bottom w:w="0" w:type="dxa"/>
                    <w:right w:w="0" w:type="dxa"/>
                  </w:tcMar>
                  <w:vAlign w:val="center"/>
                </w:tcPr>
                <w:p w14:paraId="35CD0ABE">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急救</w:t>
                  </w:r>
                </w:p>
              </w:tc>
              <w:tc>
                <w:tcPr>
                  <w:tcW w:w="4668" w:type="pct"/>
                  <w:gridSpan w:val="10"/>
                  <w:noWrap w:val="0"/>
                  <w:tcMar>
                    <w:top w:w="0" w:type="dxa"/>
                    <w:left w:w="0" w:type="dxa"/>
                    <w:bottom w:w="0" w:type="dxa"/>
                    <w:right w:w="0" w:type="dxa"/>
                  </w:tcMar>
                  <w:vAlign w:val="center"/>
                </w:tcPr>
                <w:p w14:paraId="6CC08FC4">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皮肤接触：立即脱去被污染的衣着，用大量清水冲洗；</w:t>
                  </w:r>
                </w:p>
                <w:p w14:paraId="5E32A936">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眼睛接触：立即提起眼睑，用大量流动清水或生理盐水冲洗，就医；</w:t>
                  </w:r>
                </w:p>
                <w:p w14:paraId="0BF72645">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吸入：迅速脱离现场至空气新鲜处，保持呼吸道通畅，如呼吸困难，给输氧；如呼吸停止，立即进行人工呼吸，就医；</w:t>
                  </w:r>
                </w:p>
                <w:p w14:paraId="6325E43A">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食入：饮足量温水，催吐，就医。</w:t>
                  </w:r>
                </w:p>
              </w:tc>
            </w:tr>
            <w:tr w14:paraId="7ED8C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noWrap w:val="0"/>
                  <w:tcMar>
                    <w:top w:w="0" w:type="dxa"/>
                    <w:left w:w="0" w:type="dxa"/>
                    <w:bottom w:w="0" w:type="dxa"/>
                    <w:right w:w="0" w:type="dxa"/>
                  </w:tcMar>
                  <w:vAlign w:val="center"/>
                </w:tcPr>
                <w:p w14:paraId="6B8075BB">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防护</w:t>
                  </w:r>
                </w:p>
              </w:tc>
              <w:tc>
                <w:tcPr>
                  <w:tcW w:w="4668" w:type="pct"/>
                  <w:gridSpan w:val="10"/>
                  <w:noWrap w:val="0"/>
                  <w:tcMar>
                    <w:top w:w="0" w:type="dxa"/>
                    <w:left w:w="0" w:type="dxa"/>
                    <w:bottom w:w="0" w:type="dxa"/>
                    <w:right w:w="0" w:type="dxa"/>
                  </w:tcMar>
                  <w:vAlign w:val="center"/>
                </w:tcPr>
                <w:p w14:paraId="395E969A">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工程控制：密闭操作，注意通风；</w:t>
                  </w:r>
                </w:p>
                <w:p w14:paraId="10E21E30">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呼吸系统防护：空气中浓度超标时，建议佩戴自吸过滤式防毒面具（半面罩）。紧急事态抢救或撤离时，应该佩戴空气呼吸器；</w:t>
                  </w:r>
                </w:p>
                <w:p w14:paraId="51E86BFD">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眼睛防护：戴化学安全防护眼镜；</w:t>
                  </w:r>
                </w:p>
                <w:p w14:paraId="54935113">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身体防护：穿防毒物渗透工作服；</w:t>
                  </w:r>
                </w:p>
                <w:p w14:paraId="686F9090">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手防护：戴橡胶耐油手套；</w:t>
                  </w:r>
                </w:p>
                <w:p w14:paraId="3B06542A">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其他：工作现场严禁吸烟，避免长期反复接触。</w:t>
                  </w:r>
                </w:p>
              </w:tc>
            </w:tr>
            <w:tr w14:paraId="540A35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noWrap w:val="0"/>
                  <w:tcMar>
                    <w:top w:w="0" w:type="dxa"/>
                    <w:left w:w="0" w:type="dxa"/>
                    <w:bottom w:w="0" w:type="dxa"/>
                    <w:right w:w="0" w:type="dxa"/>
                  </w:tcMar>
                  <w:vAlign w:val="center"/>
                </w:tcPr>
                <w:p w14:paraId="3AEEFCCA">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泄</w:t>
                  </w:r>
                  <w:r>
                    <w:rPr>
                      <w:rFonts w:hint="eastAsia" w:ascii="Times New Roman" w:eastAsia="宋体" w:cs="Times New Roman"/>
                      <w:color w:val="auto"/>
                      <w:szCs w:val="21"/>
                    </w:rPr>
                    <w:t>漏</w:t>
                  </w:r>
                  <w:r>
                    <w:rPr>
                      <w:rFonts w:ascii="Times New Roman" w:eastAsia="宋体" w:cs="Times New Roman"/>
                      <w:color w:val="auto"/>
                      <w:szCs w:val="21"/>
                    </w:rPr>
                    <w:t>处理</w:t>
                  </w:r>
                </w:p>
              </w:tc>
              <w:tc>
                <w:tcPr>
                  <w:tcW w:w="4668" w:type="pct"/>
                  <w:gridSpan w:val="10"/>
                  <w:noWrap w:val="0"/>
                  <w:tcMar>
                    <w:top w:w="0" w:type="dxa"/>
                    <w:left w:w="0" w:type="dxa"/>
                    <w:bottom w:w="0" w:type="dxa"/>
                    <w:right w:w="0" w:type="dxa"/>
                  </w:tcMar>
                  <w:vAlign w:val="center"/>
                </w:tcPr>
                <w:p w14:paraId="005B74A6">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迅速撤离泄</w:t>
                  </w:r>
                  <w:r>
                    <w:rPr>
                      <w:rFonts w:hint="eastAsia" w:ascii="Times New Roman" w:eastAsia="宋体" w:cs="Times New Roman"/>
                      <w:color w:val="auto"/>
                      <w:szCs w:val="21"/>
                    </w:rPr>
                    <w:t>漏</w:t>
                  </w:r>
                  <w:r>
                    <w:rPr>
                      <w:rFonts w:ascii="Times New Roman" w:eastAsia="宋体" w:cs="Times New Roman"/>
                      <w:color w:val="auto"/>
                      <w:szCs w:val="21"/>
                    </w:rPr>
                    <w:t>污染区人员至安全区，并进行隔离，严格限制出入。切断火源。建议应急处理人员戴自给正压式呼吸器，穿防毒服。尽可能切断泄</w:t>
                  </w:r>
                  <w:r>
                    <w:rPr>
                      <w:rFonts w:hint="eastAsia" w:ascii="Times New Roman" w:eastAsia="宋体" w:cs="Times New Roman"/>
                      <w:color w:val="auto"/>
                      <w:szCs w:val="21"/>
                    </w:rPr>
                    <w:t>漏</w:t>
                  </w:r>
                  <w:r>
                    <w:rPr>
                      <w:rFonts w:ascii="Times New Roman" w:eastAsia="宋体" w:cs="Times New Roman"/>
                      <w:color w:val="auto"/>
                      <w:szCs w:val="21"/>
                    </w:rPr>
                    <w:t>源。防止流入下水道、排洪沟等限制性空间。</w:t>
                  </w:r>
                </w:p>
                <w:p w14:paraId="711C55C7">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少量泄</w:t>
                  </w:r>
                  <w:r>
                    <w:rPr>
                      <w:rFonts w:hint="eastAsia" w:ascii="Times New Roman" w:eastAsia="宋体" w:cs="Times New Roman"/>
                      <w:color w:val="auto"/>
                      <w:szCs w:val="21"/>
                    </w:rPr>
                    <w:t>漏</w:t>
                  </w:r>
                  <w:r>
                    <w:rPr>
                      <w:rFonts w:ascii="Times New Roman" w:eastAsia="宋体" w:cs="Times New Roman"/>
                      <w:color w:val="auto"/>
                      <w:szCs w:val="21"/>
                    </w:rPr>
                    <w:t>：用砂土或其他不燃材料吸附或吸收。</w:t>
                  </w:r>
                </w:p>
                <w:p w14:paraId="7A6C0608">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大量</w:t>
                  </w:r>
                  <w:r>
                    <w:rPr>
                      <w:rFonts w:hint="eastAsia" w:ascii="Times New Roman" w:eastAsia="宋体" w:cs="Times New Roman"/>
                      <w:color w:val="auto"/>
                      <w:szCs w:val="21"/>
                    </w:rPr>
                    <w:t>泄漏</w:t>
                  </w:r>
                  <w:r>
                    <w:rPr>
                      <w:rFonts w:ascii="Times New Roman" w:eastAsia="宋体" w:cs="Times New Roman"/>
                      <w:color w:val="auto"/>
                      <w:szCs w:val="21"/>
                    </w:rPr>
                    <w:t>：构筑围堤或挖坑收容。用泵转移至槽车或专用收集器内，回收或运至废物处理场所处置。</w:t>
                  </w:r>
                </w:p>
              </w:tc>
            </w:tr>
            <w:tr w14:paraId="7FAC8F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331" w:type="pct"/>
                  <w:noWrap w:val="0"/>
                  <w:tcMar>
                    <w:top w:w="0" w:type="dxa"/>
                    <w:left w:w="0" w:type="dxa"/>
                    <w:bottom w:w="0" w:type="dxa"/>
                    <w:right w:w="0" w:type="dxa"/>
                  </w:tcMar>
                  <w:vAlign w:val="center"/>
                </w:tcPr>
                <w:p w14:paraId="5936B230">
                  <w:pPr>
                    <w:pStyle w:val="60"/>
                    <w:keepNext w:val="0"/>
                    <w:keepLines w:val="0"/>
                    <w:suppressLineNumbers w:val="0"/>
                    <w:adjustRightInd/>
                    <w:snapToGrid/>
                    <w:spacing w:before="24" w:beforeAutospacing="0" w:after="24" w:afterAutospacing="0" w:line="260" w:lineRule="exact"/>
                    <w:ind w:left="0" w:right="0"/>
                    <w:rPr>
                      <w:rFonts w:ascii="Times New Roman" w:eastAsia="宋体" w:cs="Times New Roman"/>
                      <w:color w:val="auto"/>
                      <w:szCs w:val="21"/>
                    </w:rPr>
                  </w:pPr>
                  <w:r>
                    <w:rPr>
                      <w:rFonts w:ascii="Times New Roman" w:eastAsia="宋体" w:cs="Times New Roman"/>
                      <w:color w:val="auto"/>
                      <w:szCs w:val="21"/>
                    </w:rPr>
                    <w:t>储运</w:t>
                  </w:r>
                </w:p>
              </w:tc>
              <w:tc>
                <w:tcPr>
                  <w:tcW w:w="4668" w:type="pct"/>
                  <w:gridSpan w:val="10"/>
                  <w:noWrap w:val="0"/>
                  <w:tcMar>
                    <w:top w:w="0" w:type="dxa"/>
                    <w:left w:w="0" w:type="dxa"/>
                    <w:bottom w:w="0" w:type="dxa"/>
                    <w:right w:w="0" w:type="dxa"/>
                  </w:tcMar>
                  <w:vAlign w:val="center"/>
                </w:tcPr>
                <w:p w14:paraId="198E00EA">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储存于阴凉、通风的库房。远离火种、热源。应与氧化剂分开存放，</w:t>
                  </w:r>
                  <w:r>
                    <w:rPr>
                      <w:rFonts w:hint="eastAsia" w:ascii="Times New Roman" w:eastAsia="宋体" w:cs="Times New Roman"/>
                      <w:color w:val="auto"/>
                      <w:szCs w:val="21"/>
                    </w:rPr>
                    <w:t>切忌</w:t>
                  </w:r>
                  <w:r>
                    <w:rPr>
                      <w:rFonts w:ascii="Times New Roman" w:eastAsia="宋体" w:cs="Times New Roman"/>
                      <w:color w:val="auto"/>
                      <w:szCs w:val="21"/>
                    </w:rPr>
                    <w:t>混储。配备相应品种和数量的消防器材。储区应备有泄</w:t>
                  </w:r>
                  <w:r>
                    <w:rPr>
                      <w:rFonts w:hint="eastAsia" w:ascii="Times New Roman" w:eastAsia="宋体" w:cs="Times New Roman"/>
                      <w:color w:val="auto"/>
                      <w:szCs w:val="21"/>
                    </w:rPr>
                    <w:t>漏</w:t>
                  </w:r>
                  <w:r>
                    <w:rPr>
                      <w:rFonts w:ascii="Times New Roman" w:eastAsia="宋体" w:cs="Times New Roman"/>
                      <w:color w:val="auto"/>
                      <w:szCs w:val="21"/>
                    </w:rPr>
                    <w:t>应急处理设备和收容材料。</w:t>
                  </w:r>
                </w:p>
                <w:p w14:paraId="1DAF770F">
                  <w:pPr>
                    <w:pStyle w:val="60"/>
                    <w:keepNext w:val="0"/>
                    <w:keepLines w:val="0"/>
                    <w:suppressLineNumbers w:val="0"/>
                    <w:adjustRightInd/>
                    <w:snapToGrid/>
                    <w:spacing w:before="24" w:beforeAutospacing="0" w:after="24" w:afterAutospacing="0" w:line="260" w:lineRule="exact"/>
                    <w:ind w:left="0" w:right="0"/>
                    <w:jc w:val="both"/>
                    <w:rPr>
                      <w:rFonts w:ascii="Times New Roman" w:eastAsia="宋体" w:cs="Times New Roman"/>
                      <w:color w:val="auto"/>
                      <w:szCs w:val="21"/>
                    </w:rPr>
                  </w:pPr>
                  <w:r>
                    <w:rPr>
                      <w:rFonts w:ascii="Times New Roman" w:eastAsia="宋体" w:cs="Times New Roman"/>
                      <w:color w:val="auto"/>
                      <w:szCs w:val="21"/>
                    </w:rPr>
                    <w:t>运输前应先检查包装容器是否完整、密封，运输过程中要确保容器不</w:t>
                  </w:r>
                  <w:r>
                    <w:rPr>
                      <w:rFonts w:hint="eastAsia" w:ascii="Times New Roman" w:eastAsia="宋体" w:cs="Times New Roman"/>
                      <w:color w:val="auto"/>
                      <w:szCs w:val="21"/>
                      <w:lang w:eastAsia="zh-CN"/>
                    </w:rPr>
                    <w:t>泄漏</w:t>
                  </w:r>
                  <w:r>
                    <w:rPr>
                      <w:rFonts w:ascii="Times New Roman" w:eastAsia="宋体" w:cs="Times New Roman"/>
                      <w:color w:val="auto"/>
                      <w:szCs w:val="21"/>
                    </w:rPr>
                    <w:t>、不倒塌、不坠落、不损坏。严禁与氧化剂、食用化学品等混装混运。运输车必须彻底清洗消毒，否则不得装运其他物品。公路运输要按规定路线行驶。</w:t>
                  </w:r>
                </w:p>
              </w:tc>
            </w:tr>
          </w:tbl>
          <w:p w14:paraId="78C44488">
            <w:pPr>
              <w:keepNext w:val="0"/>
              <w:keepLines w:val="0"/>
              <w:suppressLineNumbers w:val="0"/>
              <w:spacing w:before="120" w:beforeLines="50" w:beforeAutospacing="0" w:after="0" w:afterAutospacing="0"/>
              <w:ind w:left="0" w:right="0" w:firstLine="480" w:firstLineChars="200"/>
              <w:rPr>
                <w:rFonts w:ascii="Calibri" w:hAnsi="Calibri" w:eastAsia="宋体" w:cs="Times New Roman"/>
                <w:bCs/>
                <w:color w:val="auto"/>
                <w:sz w:val="24"/>
              </w:rPr>
            </w:pPr>
            <w:r>
              <w:rPr>
                <w:rFonts w:hint="eastAsia" w:ascii="Calibri" w:hAnsi="Calibri" w:eastAsia="宋体" w:cs="Times New Roman"/>
                <w:bCs/>
                <w:color w:val="auto"/>
                <w:sz w:val="24"/>
              </w:rPr>
              <w:t>项目危险物质贮存及分布情况如表4-13所示：</w:t>
            </w:r>
          </w:p>
          <w:p w14:paraId="578588F3">
            <w:pPr>
              <w:keepNext/>
              <w:keepLines w:val="0"/>
              <w:suppressLineNumbers w:val="0"/>
              <w:spacing w:before="0" w:beforeAutospacing="0" w:after="0" w:afterAutospacing="0" w:line="400" w:lineRule="exact"/>
              <w:ind w:left="0" w:right="0"/>
              <w:jc w:val="center"/>
              <w:rPr>
                <w:rFonts w:ascii="Calibri" w:hAnsi="Calibri" w:eastAsia="宋体" w:cs="Times New Roman"/>
                <w:b/>
                <w:bCs/>
                <w:color w:val="auto"/>
              </w:rPr>
            </w:pPr>
            <w:r>
              <w:rPr>
                <w:rFonts w:ascii="Calibri" w:hAnsi="Calibri" w:eastAsia="宋体" w:cs="Times New Roman"/>
                <w:b/>
                <w:bCs/>
                <w:color w:val="auto"/>
                <w:sz w:val="24"/>
              </w:rPr>
              <w:t>表4-</w:t>
            </w:r>
            <w:r>
              <w:rPr>
                <w:rFonts w:hint="eastAsia" w:ascii="Calibri" w:hAnsi="Calibri" w:eastAsia="宋体" w:cs="Times New Roman"/>
                <w:b/>
                <w:bCs/>
                <w:color w:val="auto"/>
                <w:sz w:val="24"/>
              </w:rPr>
              <w:t>13</w:t>
            </w:r>
            <w:r>
              <w:rPr>
                <w:rFonts w:ascii="Calibri" w:hAnsi="Calibri" w:eastAsia="宋体" w:cs="Times New Roman"/>
                <w:b/>
                <w:bCs/>
                <w:color w:val="auto"/>
                <w:sz w:val="24"/>
              </w:rPr>
              <w:t xml:space="preserve"> 项目危险物质贮存及分布情况一览表</w:t>
            </w:r>
          </w:p>
          <w:tbl>
            <w:tblPr>
              <w:tblStyle w:val="26"/>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84"/>
              <w:gridCol w:w="1616"/>
              <w:gridCol w:w="975"/>
              <w:gridCol w:w="586"/>
              <w:gridCol w:w="1123"/>
              <w:gridCol w:w="1241"/>
              <w:gridCol w:w="1146"/>
              <w:gridCol w:w="1442"/>
            </w:tblGrid>
            <w:tr w14:paraId="64C82E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335" w:type="pct"/>
                  <w:noWrap w:val="0"/>
                  <w:vAlign w:val="center"/>
                </w:tcPr>
                <w:p w14:paraId="33C14E7E">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b/>
                      <w:color w:val="auto"/>
                      <w:kern w:val="0"/>
                      <w:szCs w:val="21"/>
                      <w:lang w:val="zh-CN"/>
                    </w:rPr>
                  </w:pPr>
                  <w:r>
                    <w:rPr>
                      <w:rFonts w:ascii="Calibri" w:hAnsi="Calibri" w:eastAsia="宋体" w:cs="Times New Roman"/>
                      <w:b/>
                      <w:color w:val="auto"/>
                      <w:kern w:val="0"/>
                      <w:szCs w:val="21"/>
                      <w:lang w:val="zh-CN"/>
                    </w:rPr>
                    <w:t>序号</w:t>
                  </w:r>
                </w:p>
              </w:tc>
              <w:tc>
                <w:tcPr>
                  <w:tcW w:w="927" w:type="pct"/>
                  <w:noWrap w:val="0"/>
                  <w:vAlign w:val="center"/>
                </w:tcPr>
                <w:p w14:paraId="1A0FCF43">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b/>
                      <w:color w:val="auto"/>
                      <w:kern w:val="0"/>
                      <w:szCs w:val="21"/>
                      <w:lang w:val="zh-CN"/>
                    </w:rPr>
                  </w:pPr>
                  <w:r>
                    <w:rPr>
                      <w:rFonts w:hint="eastAsia" w:ascii="Calibri" w:hAnsi="Calibri" w:eastAsia="宋体" w:cs="Times New Roman"/>
                      <w:b/>
                      <w:color w:val="auto"/>
                      <w:kern w:val="0"/>
                      <w:szCs w:val="21"/>
                      <w:lang w:val="zh-CN"/>
                    </w:rPr>
                    <w:t>危险物质名称</w:t>
                  </w:r>
                </w:p>
              </w:tc>
              <w:tc>
                <w:tcPr>
                  <w:tcW w:w="559" w:type="pct"/>
                  <w:noWrap w:val="0"/>
                  <w:vAlign w:val="center"/>
                </w:tcPr>
                <w:p w14:paraId="6BA9AAFB">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b/>
                      <w:color w:val="auto"/>
                      <w:kern w:val="0"/>
                      <w:szCs w:val="21"/>
                      <w:lang w:val="zh-CN"/>
                    </w:rPr>
                  </w:pPr>
                  <w:r>
                    <w:rPr>
                      <w:rFonts w:hint="eastAsia" w:ascii="Calibri" w:hAnsi="Calibri" w:eastAsia="宋体" w:cs="Times New Roman"/>
                      <w:b/>
                      <w:color w:val="auto"/>
                      <w:kern w:val="0"/>
                      <w:szCs w:val="21"/>
                      <w:lang w:val="zh-CN"/>
                    </w:rPr>
                    <w:t>CAS号</w:t>
                  </w:r>
                </w:p>
              </w:tc>
              <w:tc>
                <w:tcPr>
                  <w:tcW w:w="336" w:type="pct"/>
                  <w:noWrap w:val="0"/>
                  <w:vAlign w:val="center"/>
                </w:tcPr>
                <w:p w14:paraId="68C679F3">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b/>
                      <w:color w:val="auto"/>
                      <w:kern w:val="0"/>
                      <w:szCs w:val="21"/>
                      <w:lang w:val="zh-CN"/>
                    </w:rPr>
                  </w:pPr>
                  <w:r>
                    <w:rPr>
                      <w:rFonts w:ascii="Calibri" w:hAnsi="Calibri" w:eastAsia="宋体" w:cs="Times New Roman"/>
                      <w:b/>
                      <w:color w:val="auto"/>
                      <w:kern w:val="0"/>
                      <w:szCs w:val="21"/>
                      <w:lang w:val="zh-CN"/>
                    </w:rPr>
                    <w:t>毒性</w:t>
                  </w:r>
                </w:p>
              </w:tc>
              <w:tc>
                <w:tcPr>
                  <w:tcW w:w="644" w:type="pct"/>
                  <w:noWrap w:val="0"/>
                  <w:vAlign w:val="center"/>
                </w:tcPr>
                <w:p w14:paraId="2BED3865">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b/>
                      <w:color w:val="auto"/>
                      <w:kern w:val="0"/>
                      <w:szCs w:val="21"/>
                      <w:lang w:val="zh-CN"/>
                    </w:rPr>
                  </w:pPr>
                  <w:r>
                    <w:rPr>
                      <w:rFonts w:ascii="Calibri" w:hAnsi="Calibri" w:eastAsia="宋体" w:cs="Times New Roman"/>
                      <w:b/>
                      <w:color w:val="auto"/>
                      <w:kern w:val="0"/>
                      <w:szCs w:val="21"/>
                      <w:lang w:val="zh-CN"/>
                    </w:rPr>
                    <w:t>易燃、易爆性</w:t>
                  </w:r>
                </w:p>
              </w:tc>
              <w:tc>
                <w:tcPr>
                  <w:tcW w:w="712" w:type="pct"/>
                  <w:noWrap w:val="0"/>
                  <w:vAlign w:val="center"/>
                </w:tcPr>
                <w:p w14:paraId="797D57B3">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b/>
                      <w:color w:val="auto"/>
                      <w:kern w:val="0"/>
                      <w:szCs w:val="21"/>
                      <w:lang w:val="zh-CN"/>
                    </w:rPr>
                  </w:pPr>
                  <w:r>
                    <w:rPr>
                      <w:rFonts w:ascii="Calibri" w:hAnsi="Calibri" w:eastAsia="宋体" w:cs="Times New Roman"/>
                      <w:b/>
                      <w:color w:val="auto"/>
                      <w:kern w:val="0"/>
                      <w:szCs w:val="21"/>
                      <w:lang w:val="zh-CN"/>
                    </w:rPr>
                    <w:t>最大总储存量</w:t>
                  </w:r>
                  <w:r>
                    <w:rPr>
                      <w:rFonts w:hint="eastAsia" w:ascii="Calibri" w:hAnsi="Calibri" w:eastAsia="宋体" w:cs="Times New Roman"/>
                      <w:b/>
                      <w:color w:val="auto"/>
                      <w:kern w:val="0"/>
                      <w:szCs w:val="21"/>
                      <w:lang w:val="zh-CN"/>
                    </w:rPr>
                    <w:t>（t）</w:t>
                  </w:r>
                </w:p>
              </w:tc>
              <w:tc>
                <w:tcPr>
                  <w:tcW w:w="657" w:type="pct"/>
                  <w:noWrap w:val="0"/>
                  <w:vAlign w:val="center"/>
                </w:tcPr>
                <w:p w14:paraId="00CDAB31">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b/>
                      <w:color w:val="auto"/>
                      <w:kern w:val="0"/>
                      <w:szCs w:val="21"/>
                      <w:lang w:val="zh-CN"/>
                    </w:rPr>
                  </w:pPr>
                  <w:r>
                    <w:rPr>
                      <w:rFonts w:hint="eastAsia" w:ascii="Calibri" w:hAnsi="Calibri" w:eastAsia="宋体" w:cs="Times New Roman"/>
                      <w:b/>
                      <w:color w:val="auto"/>
                      <w:kern w:val="0"/>
                      <w:szCs w:val="21"/>
                      <w:lang w:val="zh-CN"/>
                    </w:rPr>
                    <w:t>临界量（t）</w:t>
                  </w:r>
                </w:p>
              </w:tc>
              <w:tc>
                <w:tcPr>
                  <w:tcW w:w="827" w:type="pct"/>
                  <w:noWrap w:val="0"/>
                  <w:vAlign w:val="center"/>
                </w:tcPr>
                <w:p w14:paraId="64A49AF5">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b/>
                      <w:color w:val="auto"/>
                      <w:kern w:val="0"/>
                      <w:szCs w:val="21"/>
                      <w:lang w:val="zh-CN"/>
                    </w:rPr>
                  </w:pPr>
                  <w:r>
                    <w:rPr>
                      <w:rFonts w:hint="eastAsia" w:ascii="Calibri" w:hAnsi="Calibri" w:eastAsia="宋体" w:cs="Times New Roman"/>
                      <w:b/>
                      <w:color w:val="auto"/>
                      <w:kern w:val="0"/>
                      <w:szCs w:val="21"/>
                      <w:lang w:val="zh-CN"/>
                    </w:rPr>
                    <w:t>贮存位置</w:t>
                  </w:r>
                </w:p>
              </w:tc>
            </w:tr>
            <w:tr w14:paraId="081071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335" w:type="pct"/>
                  <w:noWrap w:val="0"/>
                  <w:vAlign w:val="center"/>
                </w:tcPr>
                <w:p w14:paraId="407B2BB9">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1</w:t>
                  </w:r>
                </w:p>
              </w:tc>
              <w:tc>
                <w:tcPr>
                  <w:tcW w:w="927" w:type="pct"/>
                  <w:noWrap w:val="0"/>
                  <w:vAlign w:val="center"/>
                </w:tcPr>
                <w:p w14:paraId="1516AD9D">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lang w:val="zh-CN"/>
                    </w:rPr>
                  </w:pPr>
                  <w:r>
                    <w:rPr>
                      <w:rFonts w:hint="eastAsia" w:ascii="Calibri" w:hAnsi="Calibri" w:eastAsia="宋体" w:cs="Times New Roman"/>
                      <w:color w:val="auto"/>
                      <w:spacing w:val="10"/>
                      <w:szCs w:val="21"/>
                      <w:lang w:val="en-GB"/>
                    </w:rPr>
                    <w:t>废机油</w:t>
                  </w:r>
                </w:p>
              </w:tc>
              <w:tc>
                <w:tcPr>
                  <w:tcW w:w="559" w:type="pct"/>
                  <w:noWrap w:val="0"/>
                  <w:vAlign w:val="center"/>
                </w:tcPr>
                <w:p w14:paraId="277E3E47">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szCs w:val="21"/>
                      <w:lang w:val="zh-CN"/>
                    </w:rPr>
                  </w:pPr>
                  <w:r>
                    <w:rPr>
                      <w:rFonts w:hint="eastAsia" w:ascii="Calibri" w:hAnsi="Calibri" w:eastAsia="宋体" w:cs="Times New Roman"/>
                      <w:color w:val="auto"/>
                      <w:szCs w:val="21"/>
                      <w:lang w:val="zh-CN"/>
                    </w:rPr>
                    <w:t>/</w:t>
                  </w:r>
                </w:p>
              </w:tc>
              <w:tc>
                <w:tcPr>
                  <w:tcW w:w="336" w:type="pct"/>
                  <w:noWrap w:val="0"/>
                  <w:vAlign w:val="center"/>
                </w:tcPr>
                <w:p w14:paraId="5B0149A9">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szCs w:val="21"/>
                      <w:lang w:val="zh-CN"/>
                    </w:rPr>
                  </w:pPr>
                  <w:r>
                    <w:rPr>
                      <w:rFonts w:hint="eastAsia" w:ascii="Calibri" w:hAnsi="Calibri" w:eastAsia="宋体" w:cs="Times New Roman"/>
                      <w:color w:val="auto"/>
                      <w:szCs w:val="21"/>
                      <w:lang w:val="zh-CN"/>
                    </w:rPr>
                    <w:t>否</w:t>
                  </w:r>
                </w:p>
              </w:tc>
              <w:tc>
                <w:tcPr>
                  <w:tcW w:w="644" w:type="pct"/>
                  <w:noWrap w:val="0"/>
                  <w:vAlign w:val="center"/>
                </w:tcPr>
                <w:p w14:paraId="26DFD2F7">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szCs w:val="21"/>
                      <w:lang w:val="zh-CN"/>
                    </w:rPr>
                  </w:pPr>
                  <w:r>
                    <w:rPr>
                      <w:rFonts w:ascii="Calibri" w:hAnsi="Calibri" w:eastAsia="宋体" w:cs="Times New Roman"/>
                      <w:color w:val="auto"/>
                      <w:szCs w:val="21"/>
                      <w:lang w:val="zh-CN"/>
                    </w:rPr>
                    <w:t>是</w:t>
                  </w:r>
                </w:p>
              </w:tc>
              <w:tc>
                <w:tcPr>
                  <w:tcW w:w="712" w:type="pct"/>
                  <w:noWrap w:val="0"/>
                  <w:vAlign w:val="center"/>
                </w:tcPr>
                <w:p w14:paraId="2BC83CA6">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hint="eastAsia" w:ascii="Calibri" w:hAnsi="Calibri" w:eastAsia="宋体" w:cs="Times New Roman"/>
                      <w:color w:val="auto"/>
                      <w:kern w:val="0"/>
                      <w:szCs w:val="21"/>
                    </w:rPr>
                    <w:t>0.05</w:t>
                  </w:r>
                </w:p>
              </w:tc>
              <w:tc>
                <w:tcPr>
                  <w:tcW w:w="657" w:type="pct"/>
                  <w:noWrap w:val="0"/>
                  <w:vAlign w:val="center"/>
                </w:tcPr>
                <w:p w14:paraId="331E6E36">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szCs w:val="21"/>
                    </w:rPr>
                    <w:t>2500</w:t>
                  </w:r>
                </w:p>
              </w:tc>
              <w:tc>
                <w:tcPr>
                  <w:tcW w:w="827" w:type="pct"/>
                  <w:noWrap w:val="0"/>
                  <w:vAlign w:val="center"/>
                </w:tcPr>
                <w:p w14:paraId="547892C7">
                  <w:pPr>
                    <w:keepNext w:val="0"/>
                    <w:keepLines w:val="0"/>
                    <w:suppressLineNumbers w:val="0"/>
                    <w:autoSpaceDE w:val="0"/>
                    <w:autoSpaceDN w:val="0"/>
                    <w:adjustRightInd w:val="0"/>
                    <w:spacing w:before="0" w:beforeAutospacing="0" w:after="0" w:afterAutospacing="0"/>
                    <w:ind w:left="0" w:right="0"/>
                    <w:jc w:val="center"/>
                    <w:rPr>
                      <w:rFonts w:hint="eastAsia" w:ascii="Calibri" w:hAnsi="Calibri" w:eastAsia="宋体" w:cs="Times New Roman"/>
                      <w:color w:val="auto"/>
                      <w:kern w:val="0"/>
                      <w:szCs w:val="21"/>
                    </w:rPr>
                  </w:pPr>
                  <w:r>
                    <w:rPr>
                      <w:rFonts w:hint="eastAsia" w:ascii="Calibri" w:hAnsi="Calibri" w:eastAsia="宋体" w:cs="Times New Roman"/>
                      <w:color w:val="auto"/>
                      <w:kern w:val="0"/>
                      <w:szCs w:val="21"/>
                    </w:rPr>
                    <w:t>危废贮存点</w:t>
                  </w:r>
                </w:p>
              </w:tc>
            </w:tr>
          </w:tbl>
          <w:p w14:paraId="117C41EA">
            <w:pPr>
              <w:keepNext w:val="0"/>
              <w:keepLines w:val="0"/>
              <w:suppressLineNumbers w:val="0"/>
              <w:spacing w:before="0" w:beforeAutospacing="0" w:after="0" w:afterAutospacing="0"/>
              <w:ind w:left="0" w:right="0" w:firstLine="360" w:firstLineChars="200"/>
              <w:rPr>
                <w:rFonts w:ascii="Calibri" w:hAnsi="Calibri" w:eastAsia="宋体" w:cs="Times New Roman"/>
                <w:color w:val="auto"/>
                <w:sz w:val="18"/>
                <w:szCs w:val="18"/>
              </w:rPr>
            </w:pPr>
            <w:r>
              <w:rPr>
                <w:rFonts w:hint="eastAsia" w:ascii="Calibri" w:hAnsi="Calibri" w:eastAsia="宋体" w:cs="Times New Roman"/>
                <w:color w:val="auto"/>
                <w:sz w:val="18"/>
                <w:szCs w:val="18"/>
              </w:rPr>
              <w:t>备注：考虑危险废物半年处理一次，废机油最大储存量为半年的产生量。</w:t>
            </w:r>
          </w:p>
          <w:p w14:paraId="153DBE4D">
            <w:pPr>
              <w:keepNext w:val="0"/>
              <w:keepLines w:val="0"/>
              <w:suppressLineNumbers w:val="0"/>
              <w:spacing w:before="0" w:beforeAutospacing="0" w:after="0" w:afterAutospacing="0"/>
              <w:ind w:left="0" w:right="0" w:firstLine="480" w:firstLineChars="200"/>
              <w:rPr>
                <w:rFonts w:ascii="Calibri" w:hAnsi="Calibri" w:eastAsia="宋体" w:cs="Times New Roman"/>
                <w:color w:val="auto"/>
                <w:sz w:val="24"/>
                <w:highlight w:val="yellow"/>
              </w:rPr>
            </w:pPr>
            <w:r>
              <w:rPr>
                <w:rFonts w:hint="eastAsia" w:ascii="Calibri" w:hAnsi="Calibri" w:eastAsia="宋体" w:cs="Times New Roman"/>
                <w:color w:val="auto"/>
                <w:sz w:val="24"/>
              </w:rPr>
              <w:t>项目废机油储存量及其临界量见表4-14：</w:t>
            </w:r>
          </w:p>
          <w:p w14:paraId="2205442F">
            <w:pPr>
              <w:keepNext/>
              <w:keepLines w:val="0"/>
              <w:suppressLineNumbers w:val="0"/>
              <w:spacing w:before="0" w:beforeAutospacing="0" w:after="0" w:afterAutospacing="0" w:line="400" w:lineRule="exact"/>
              <w:ind w:left="0" w:right="0"/>
              <w:jc w:val="center"/>
              <w:rPr>
                <w:rFonts w:ascii="Calibri" w:hAnsi="Calibri" w:eastAsia="宋体" w:cs="Times New Roman"/>
                <w:b/>
                <w:bCs/>
                <w:color w:val="auto"/>
                <w:sz w:val="24"/>
              </w:rPr>
            </w:pPr>
            <w:r>
              <w:rPr>
                <w:rFonts w:ascii="Calibri" w:hAnsi="Calibri" w:eastAsia="宋体" w:cs="Times New Roman"/>
                <w:b/>
                <w:bCs/>
                <w:color w:val="auto"/>
                <w:sz w:val="24"/>
              </w:rPr>
              <w:t>表4-1</w:t>
            </w:r>
            <w:r>
              <w:rPr>
                <w:rFonts w:hint="eastAsia" w:ascii="Calibri" w:hAnsi="Calibri" w:eastAsia="宋体" w:cs="Times New Roman"/>
                <w:b/>
                <w:bCs/>
                <w:color w:val="auto"/>
                <w:sz w:val="24"/>
              </w:rPr>
              <w:t>4</w:t>
            </w:r>
            <w:r>
              <w:rPr>
                <w:rFonts w:ascii="Calibri" w:hAnsi="Calibri" w:eastAsia="宋体" w:cs="Times New Roman"/>
                <w:b/>
                <w:bCs/>
                <w:color w:val="auto"/>
                <w:sz w:val="24"/>
              </w:rPr>
              <w:t xml:space="preserve"> 项目厂区风险物质危险性分级表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254"/>
              <w:gridCol w:w="1465"/>
              <w:gridCol w:w="1484"/>
              <w:gridCol w:w="1367"/>
              <w:gridCol w:w="2444"/>
            </w:tblGrid>
            <w:tr w14:paraId="48126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05" w:type="pct"/>
                  <w:tcBorders>
                    <w:top w:val="single" w:color="auto" w:sz="2" w:space="0"/>
                    <w:left w:val="single" w:color="auto" w:sz="0" w:space="0"/>
                    <w:bottom w:val="single" w:color="auto" w:sz="2" w:space="0"/>
                    <w:right w:val="single" w:color="auto" w:sz="2" w:space="0"/>
                  </w:tcBorders>
                  <w:noWrap w:val="0"/>
                  <w:vAlign w:val="center"/>
                </w:tcPr>
                <w:p w14:paraId="7604D68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序号</w:t>
                  </w:r>
                </w:p>
              </w:tc>
              <w:tc>
                <w:tcPr>
                  <w:tcW w:w="719" w:type="pct"/>
                  <w:tcBorders>
                    <w:top w:val="single" w:color="auto" w:sz="2" w:space="0"/>
                    <w:left w:val="single" w:color="auto" w:sz="2" w:space="0"/>
                    <w:bottom w:val="single" w:color="auto" w:sz="2" w:space="0"/>
                    <w:right w:val="single" w:color="auto" w:sz="2" w:space="0"/>
                  </w:tcBorders>
                  <w:noWrap w:val="0"/>
                  <w:vAlign w:val="center"/>
                </w:tcPr>
                <w:p w14:paraId="61CD8AB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物质名称</w:t>
                  </w:r>
                </w:p>
              </w:tc>
              <w:tc>
                <w:tcPr>
                  <w:tcW w:w="840" w:type="pct"/>
                  <w:tcBorders>
                    <w:top w:val="single" w:color="auto" w:sz="2" w:space="0"/>
                    <w:left w:val="single" w:color="auto" w:sz="2" w:space="0"/>
                    <w:bottom w:val="single" w:color="auto" w:sz="2" w:space="0"/>
                    <w:right w:val="single" w:color="auto" w:sz="2" w:space="0"/>
                  </w:tcBorders>
                  <w:noWrap w:val="0"/>
                  <w:vAlign w:val="center"/>
                </w:tcPr>
                <w:p w14:paraId="2615DAE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q（t）</w:t>
                  </w:r>
                </w:p>
              </w:tc>
              <w:tc>
                <w:tcPr>
                  <w:tcW w:w="851" w:type="pct"/>
                  <w:tcBorders>
                    <w:top w:val="single" w:color="auto" w:sz="2" w:space="0"/>
                    <w:left w:val="single" w:color="auto" w:sz="2" w:space="0"/>
                    <w:bottom w:val="single" w:color="auto" w:sz="2" w:space="0"/>
                    <w:right w:val="single" w:color="auto" w:sz="2" w:space="0"/>
                  </w:tcBorders>
                  <w:noWrap w:val="0"/>
                  <w:vAlign w:val="center"/>
                </w:tcPr>
                <w:p w14:paraId="158D4FC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Q（t）</w:t>
                  </w:r>
                </w:p>
              </w:tc>
              <w:tc>
                <w:tcPr>
                  <w:tcW w:w="784" w:type="pct"/>
                  <w:tcBorders>
                    <w:top w:val="single" w:color="auto" w:sz="2" w:space="0"/>
                    <w:left w:val="single" w:color="auto" w:sz="2" w:space="0"/>
                    <w:bottom w:val="single" w:color="auto" w:sz="2" w:space="0"/>
                    <w:right w:val="single" w:color="auto" w:sz="2" w:space="0"/>
                  </w:tcBorders>
                  <w:noWrap w:val="0"/>
                  <w:vAlign w:val="center"/>
                </w:tcPr>
                <w:p w14:paraId="6CC82C3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q/Q</w:t>
                  </w:r>
                </w:p>
              </w:tc>
              <w:tc>
                <w:tcPr>
                  <w:tcW w:w="1401" w:type="pct"/>
                  <w:tcBorders>
                    <w:top w:val="single" w:color="auto" w:sz="2" w:space="0"/>
                    <w:left w:val="single" w:color="auto" w:sz="2" w:space="0"/>
                    <w:bottom w:val="single" w:color="auto" w:sz="2" w:space="0"/>
                    <w:right w:val="single" w:color="auto" w:sz="2" w:space="0"/>
                  </w:tcBorders>
                  <w:noWrap w:val="0"/>
                  <w:vAlign w:val="center"/>
                </w:tcPr>
                <w:p w14:paraId="37F0409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临界量取值说明</w:t>
                  </w:r>
                </w:p>
              </w:tc>
            </w:tr>
            <w:tr w14:paraId="13743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405" w:type="pct"/>
                  <w:tcBorders>
                    <w:top w:val="single" w:color="auto" w:sz="2" w:space="0"/>
                    <w:left w:val="single" w:color="auto" w:sz="4" w:space="0"/>
                    <w:bottom w:val="single" w:color="auto" w:sz="2" w:space="0"/>
                    <w:right w:val="single" w:color="auto" w:sz="2" w:space="0"/>
                  </w:tcBorders>
                  <w:noWrap w:val="0"/>
                  <w:vAlign w:val="center"/>
                </w:tcPr>
                <w:p w14:paraId="39D9998B">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1</w:t>
                  </w:r>
                </w:p>
              </w:tc>
              <w:tc>
                <w:tcPr>
                  <w:tcW w:w="719" w:type="pct"/>
                  <w:tcBorders>
                    <w:top w:val="single" w:color="auto" w:sz="2" w:space="0"/>
                    <w:left w:val="single" w:color="auto" w:sz="2" w:space="0"/>
                    <w:bottom w:val="single" w:color="auto" w:sz="2" w:space="0"/>
                    <w:right w:val="single" w:color="auto" w:sz="2" w:space="0"/>
                  </w:tcBorders>
                  <w:noWrap w:val="0"/>
                  <w:vAlign w:val="center"/>
                </w:tcPr>
                <w:p w14:paraId="45C042A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废机油</w:t>
                  </w:r>
                </w:p>
              </w:tc>
              <w:tc>
                <w:tcPr>
                  <w:tcW w:w="840" w:type="pct"/>
                  <w:tcBorders>
                    <w:top w:val="single" w:color="auto" w:sz="2" w:space="0"/>
                    <w:left w:val="single" w:color="auto" w:sz="2" w:space="0"/>
                    <w:bottom w:val="single" w:color="auto" w:sz="2" w:space="0"/>
                    <w:right w:val="single" w:color="auto" w:sz="2" w:space="0"/>
                  </w:tcBorders>
                  <w:noWrap w:val="0"/>
                  <w:vAlign w:val="center"/>
                </w:tcPr>
                <w:p w14:paraId="7061C76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0.05</w:t>
                  </w:r>
                </w:p>
              </w:tc>
              <w:tc>
                <w:tcPr>
                  <w:tcW w:w="851" w:type="pct"/>
                  <w:tcBorders>
                    <w:top w:val="single" w:color="auto" w:sz="2" w:space="0"/>
                    <w:left w:val="single" w:color="auto" w:sz="2" w:space="0"/>
                    <w:bottom w:val="single" w:color="auto" w:sz="2" w:space="0"/>
                    <w:right w:val="single" w:color="auto" w:sz="2" w:space="0"/>
                  </w:tcBorders>
                  <w:noWrap w:val="0"/>
                  <w:vAlign w:val="center"/>
                </w:tcPr>
                <w:p w14:paraId="107635C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2500</w:t>
                  </w:r>
                </w:p>
              </w:tc>
              <w:tc>
                <w:tcPr>
                  <w:tcW w:w="784" w:type="pct"/>
                  <w:tcBorders>
                    <w:top w:val="single" w:color="auto" w:sz="2" w:space="0"/>
                    <w:left w:val="single" w:color="auto" w:sz="2" w:space="0"/>
                    <w:bottom w:val="single" w:color="auto" w:sz="2" w:space="0"/>
                    <w:right w:val="single" w:color="auto" w:sz="2" w:space="0"/>
                  </w:tcBorders>
                  <w:noWrap w:val="0"/>
                  <w:vAlign w:val="center"/>
                </w:tcPr>
                <w:p w14:paraId="10EB408F">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0.00002</w:t>
                  </w:r>
                </w:p>
              </w:tc>
              <w:tc>
                <w:tcPr>
                  <w:tcW w:w="1401" w:type="pct"/>
                  <w:tcBorders>
                    <w:top w:val="single" w:color="auto" w:sz="2" w:space="0"/>
                    <w:left w:val="single" w:color="auto" w:sz="2" w:space="0"/>
                    <w:bottom w:val="single" w:color="auto" w:sz="2" w:space="0"/>
                    <w:right w:val="single" w:color="auto" w:sz="2" w:space="0"/>
                  </w:tcBorders>
                  <w:noWrap w:val="0"/>
                  <w:vAlign w:val="center"/>
                </w:tcPr>
                <w:p w14:paraId="6263A8AA">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《HJ 169-2018》附录B</w:t>
                  </w:r>
                </w:p>
              </w:tc>
            </w:tr>
            <w:tr w14:paraId="17918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5000" w:type="pct"/>
                  <w:gridSpan w:val="6"/>
                  <w:tcBorders>
                    <w:top w:val="single" w:color="auto" w:sz="2" w:space="0"/>
                    <w:left w:val="single" w:color="auto" w:sz="4" w:space="0"/>
                    <w:bottom w:val="single" w:color="auto" w:sz="2" w:space="0"/>
                    <w:right w:val="single" w:color="auto" w:sz="2" w:space="0"/>
                  </w:tcBorders>
                  <w:noWrap w:val="0"/>
                  <w:vAlign w:val="center"/>
                </w:tcPr>
                <w:p w14:paraId="7981635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q</w:t>
                  </w:r>
                  <w:r>
                    <w:rPr>
                      <w:rFonts w:ascii="Calibri" w:hAnsi="Calibri" w:eastAsia="宋体" w:cs="Times New Roman"/>
                      <w:color w:val="auto"/>
                      <w:szCs w:val="21"/>
                      <w:vertAlign w:val="subscript"/>
                    </w:rPr>
                    <w:t>1</w:t>
                  </w:r>
                  <w:r>
                    <w:rPr>
                      <w:rFonts w:ascii="Calibri" w:hAnsi="Calibri" w:eastAsia="宋体" w:cs="Times New Roman"/>
                      <w:color w:val="auto"/>
                      <w:szCs w:val="21"/>
                    </w:rPr>
                    <w:t>/Q</w:t>
                  </w:r>
                  <w:r>
                    <w:rPr>
                      <w:rFonts w:ascii="Calibri" w:hAnsi="Calibri" w:eastAsia="宋体" w:cs="Times New Roman"/>
                      <w:color w:val="auto"/>
                      <w:szCs w:val="21"/>
                      <w:vertAlign w:val="subscript"/>
                    </w:rPr>
                    <w:t>1</w:t>
                  </w:r>
                  <w:r>
                    <w:rPr>
                      <w:rFonts w:ascii="Calibri" w:hAnsi="Calibri" w:eastAsia="宋体" w:cs="Times New Roman"/>
                      <w:color w:val="auto"/>
                      <w:szCs w:val="21"/>
                    </w:rPr>
                    <w:t>=0.0000</w:t>
                  </w:r>
                  <w:r>
                    <w:rPr>
                      <w:rFonts w:hint="eastAsia" w:ascii="Calibri" w:hAnsi="Calibri" w:eastAsia="宋体" w:cs="Times New Roman"/>
                      <w:color w:val="auto"/>
                      <w:szCs w:val="21"/>
                    </w:rPr>
                    <w:t>2&lt;</w:t>
                  </w:r>
                  <w:r>
                    <w:rPr>
                      <w:rFonts w:ascii="Calibri" w:hAnsi="Calibri" w:eastAsia="宋体" w:cs="Times New Roman"/>
                      <w:color w:val="auto"/>
                      <w:szCs w:val="21"/>
                    </w:rPr>
                    <w:t>1</w:t>
                  </w:r>
                </w:p>
              </w:tc>
            </w:tr>
          </w:tbl>
          <w:p w14:paraId="3BE113E2">
            <w:pPr>
              <w:keepNext w:val="0"/>
              <w:keepLines w:val="0"/>
              <w:suppressLineNumbers w:val="0"/>
              <w:spacing w:before="120" w:beforeLines="50" w:beforeAutospacing="0" w:after="0" w:afterAutospacing="0" w:line="360" w:lineRule="auto"/>
              <w:ind w:left="0" w:right="0" w:firstLine="480" w:firstLineChars="200"/>
              <w:rPr>
                <w:rFonts w:ascii="Calibri" w:hAnsi="Calibri" w:eastAsia="宋体" w:cs="Times New Roman"/>
                <w:bCs/>
                <w:color w:val="auto"/>
                <w:sz w:val="24"/>
              </w:rPr>
            </w:pPr>
            <w:r>
              <w:rPr>
                <w:rFonts w:hint="eastAsia" w:ascii="Calibri" w:hAnsi="Calibri" w:eastAsia="宋体" w:cs="Times New Roman"/>
                <w:color w:val="auto"/>
                <w:sz w:val="24"/>
              </w:rPr>
              <w:t>根据《建设项目环境风险评价技术导则》（HJ 169-2018），当Q＜1，风险潜势为I，评价工作等级为“简单分析”，危险</w:t>
            </w:r>
            <w:r>
              <w:rPr>
                <w:rFonts w:ascii="Calibri" w:hAnsi="Calibri" w:eastAsia="宋体" w:cs="Times New Roman"/>
                <w:color w:val="auto"/>
                <w:sz w:val="24"/>
              </w:rPr>
              <w:t>物质贮存未超过临界量，不需开展专项评价。</w:t>
            </w:r>
          </w:p>
          <w:p w14:paraId="5ECCDED4">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2、风险影响分析</w:t>
            </w:r>
          </w:p>
          <w:p w14:paraId="5903B89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废机油存储不当，以及危险废物未及时放置于危废贮存点，随意丢弃，可能会泄漏到周围环境中，在其迁移过程中，大多数情况下，其初期影响仅限于厂区范围内，后期进入水环境造成地表水和地下水污染。</w:t>
            </w:r>
          </w:p>
          <w:p w14:paraId="184BCC1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危险废物废机油有可燃物质，一旦发生火灾事故，若采取措施不当，消防过程中可能会产生伴生、次生污染物，对周围环境带来二次污染。发生火灾、爆炸时，由于废机油的不完全燃烧，会产生大量的黑烟、刺激气体，含有高浓度的 CO、氮氧化物、VOCs以及一些复杂的有毒有害气体，影响周边环境及人员健康。</w:t>
            </w:r>
          </w:p>
          <w:p w14:paraId="1EDF1803">
            <w:pPr>
              <w:pStyle w:val="6"/>
              <w:keepNext w:val="0"/>
              <w:keepLines w:val="0"/>
              <w:suppressLineNumbers w:val="0"/>
              <w:adjustRightInd w:val="0"/>
              <w:snapToGrid w:val="0"/>
              <w:spacing w:before="0" w:beforeAutospacing="0" w:after="0" w:afterAutospacing="0" w:line="360" w:lineRule="auto"/>
              <w:ind w:left="0" w:right="0" w:firstLine="482"/>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3、环境风险防范措施</w:t>
            </w:r>
          </w:p>
          <w:p w14:paraId="21ACADEC">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（1）</w:t>
            </w:r>
            <w:r>
              <w:rPr>
                <w:rFonts w:ascii="Calibri" w:hAnsi="Calibri" w:eastAsia="宋体" w:cs="Times New Roman"/>
                <w:color w:val="auto"/>
                <w:sz w:val="24"/>
              </w:rPr>
              <w:t>加强</w:t>
            </w:r>
            <w:r>
              <w:rPr>
                <w:rFonts w:hint="eastAsia" w:ascii="Calibri" w:hAnsi="Calibri" w:eastAsia="宋体" w:cs="Times New Roman"/>
                <w:color w:val="auto"/>
                <w:sz w:val="24"/>
              </w:rPr>
              <w:t>废机油</w:t>
            </w:r>
            <w:r>
              <w:rPr>
                <w:rFonts w:ascii="Calibri" w:hAnsi="Calibri" w:eastAsia="宋体" w:cs="Times New Roman"/>
                <w:color w:val="auto"/>
                <w:sz w:val="24"/>
              </w:rPr>
              <w:t>的管理，远离火种、热源；配备相应品种和数量的消防器材。</w:t>
            </w:r>
          </w:p>
          <w:p w14:paraId="54C0CABA">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hint="eastAsia" w:ascii="Calibri" w:hAnsi="Calibri" w:eastAsia="宋体" w:cs="Times New Roman"/>
                <w:color w:val="auto"/>
                <w:sz w:val="24"/>
              </w:rPr>
              <w:t>（2）</w:t>
            </w:r>
            <w:r>
              <w:rPr>
                <w:rFonts w:ascii="Calibri" w:hAnsi="Calibri" w:eastAsia="宋体" w:cs="Times New Roman"/>
                <w:color w:val="auto"/>
                <w:sz w:val="24"/>
              </w:rPr>
              <w:t>设定专门的危废存储场所，并按照《危险废物贮存污染控制标准》（GB18597-20</w:t>
            </w:r>
            <w:r>
              <w:rPr>
                <w:rFonts w:hint="eastAsia" w:ascii="Calibri" w:hAnsi="Calibri" w:eastAsia="宋体" w:cs="Times New Roman"/>
                <w:color w:val="auto"/>
                <w:sz w:val="24"/>
              </w:rPr>
              <w:t>23</w:t>
            </w:r>
            <w:r>
              <w:rPr>
                <w:rFonts w:ascii="Calibri" w:hAnsi="Calibri" w:eastAsia="宋体" w:cs="Times New Roman"/>
                <w:color w:val="auto"/>
                <w:sz w:val="24"/>
              </w:rPr>
              <w:t>）的相关要求采取相应的“防风、防雨、防晒</w:t>
            </w:r>
            <w:r>
              <w:rPr>
                <w:rFonts w:hint="eastAsia" w:ascii="Calibri" w:hAnsi="Calibri" w:eastAsia="宋体" w:cs="Times New Roman"/>
                <w:color w:val="auto"/>
                <w:sz w:val="24"/>
              </w:rPr>
              <w:t>、防渗漏</w:t>
            </w:r>
            <w:r>
              <w:rPr>
                <w:rFonts w:ascii="Calibri" w:hAnsi="Calibri" w:eastAsia="宋体" w:cs="Times New Roman"/>
                <w:color w:val="auto"/>
                <w:sz w:val="24"/>
              </w:rPr>
              <w:t>”的</w:t>
            </w:r>
            <w:r>
              <w:rPr>
                <w:rFonts w:hint="eastAsia" w:ascii="Calibri" w:hAnsi="Calibri" w:eastAsia="宋体" w:cs="Times New Roman"/>
                <w:color w:val="auto"/>
                <w:sz w:val="24"/>
              </w:rPr>
              <w:t>四</w:t>
            </w:r>
            <w:r>
              <w:rPr>
                <w:rFonts w:ascii="Calibri" w:hAnsi="Calibri" w:eastAsia="宋体" w:cs="Times New Roman"/>
                <w:color w:val="auto"/>
                <w:sz w:val="24"/>
              </w:rPr>
              <w:t>防要求，避免产生二次污染。危废不得与其他垃圾混存，委托具有危废处理资质的单位回收进行处置，禁止私自处理。</w:t>
            </w:r>
          </w:p>
          <w:p w14:paraId="76FF3E75">
            <w:pPr>
              <w:pStyle w:val="115"/>
              <w:keepNext w:val="0"/>
              <w:keepLines w:val="0"/>
              <w:suppressLineNumbers w:val="0"/>
              <w:spacing w:before="0" w:beforeAutospacing="0" w:after="0" w:afterAutospacing="0" w:line="360" w:lineRule="auto"/>
              <w:ind w:left="0" w:right="0" w:firstLine="480"/>
              <w:rPr>
                <w:rFonts w:ascii="Calibri" w:hAnsi="Calibri" w:eastAsia="宋体" w:cs="Times New Roman"/>
                <w:color w:val="auto"/>
              </w:rPr>
            </w:pPr>
            <w:r>
              <w:rPr>
                <w:rFonts w:hint="eastAsia" w:ascii="Calibri" w:hAnsi="Calibri" w:eastAsia="宋体" w:cs="Times New Roman"/>
                <w:color w:val="auto"/>
              </w:rPr>
              <w:t>（3）</w:t>
            </w:r>
            <w:r>
              <w:rPr>
                <w:rFonts w:ascii="Calibri" w:hAnsi="Calibri" w:eastAsia="宋体" w:cs="Times New Roman"/>
                <w:color w:val="auto"/>
              </w:rPr>
              <w:t>当发生</w:t>
            </w:r>
            <w:r>
              <w:rPr>
                <w:rFonts w:hint="eastAsia" w:ascii="Calibri" w:hAnsi="Calibri" w:eastAsia="宋体" w:cs="Times New Roman"/>
                <w:color w:val="auto"/>
              </w:rPr>
              <w:t>废机油</w:t>
            </w:r>
            <w:r>
              <w:rPr>
                <w:rFonts w:ascii="Calibri" w:hAnsi="Calibri" w:eastAsia="宋体" w:cs="Times New Roman"/>
                <w:color w:val="auto"/>
              </w:rPr>
              <w:t>泄漏时，</w:t>
            </w:r>
            <w:r>
              <w:rPr>
                <w:rFonts w:hint="eastAsia" w:ascii="Calibri" w:hAnsi="Calibri" w:eastAsia="宋体" w:cs="Times New Roman"/>
                <w:color w:val="auto"/>
              </w:rPr>
              <w:t>泄漏量按废机油最大总储存量计，约0.05t/a</w:t>
            </w:r>
            <w:r>
              <w:rPr>
                <w:rFonts w:ascii="Calibri" w:hAnsi="Calibri" w:eastAsia="宋体" w:cs="Times New Roman"/>
                <w:color w:val="auto"/>
              </w:rPr>
              <w:t>，</w:t>
            </w:r>
            <w:r>
              <w:rPr>
                <w:rFonts w:hint="eastAsia" w:ascii="Calibri" w:hAnsi="Calibri" w:eastAsia="宋体" w:cs="Times New Roman"/>
                <w:color w:val="auto"/>
              </w:rPr>
              <w:t>泄漏量较小，可及时采用木糠拦截、桶装收集、抹布清理，</w:t>
            </w:r>
            <w:r>
              <w:rPr>
                <w:rFonts w:ascii="Calibri" w:hAnsi="Calibri" w:eastAsia="宋体" w:cs="Times New Roman"/>
                <w:color w:val="auto"/>
              </w:rPr>
              <w:t>避免对大气环境、地下水环境和土壤环境造成污染。</w:t>
            </w:r>
          </w:p>
          <w:p w14:paraId="36B3377E">
            <w:pPr>
              <w:pStyle w:val="115"/>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（4）</w:t>
            </w:r>
            <w:r>
              <w:rPr>
                <w:rFonts w:ascii="Calibri" w:hAnsi="Calibri" w:eastAsia="宋体" w:cs="Times New Roman"/>
                <w:color w:val="auto"/>
                <w:spacing w:val="-8"/>
              </w:rPr>
              <w:t>当</w:t>
            </w:r>
            <w:r>
              <w:rPr>
                <w:rFonts w:hint="eastAsia" w:ascii="Calibri" w:hAnsi="Calibri" w:eastAsia="宋体" w:cs="Times New Roman"/>
                <w:color w:val="auto"/>
                <w:spacing w:val="-8"/>
              </w:rPr>
              <w:t>废机油发生火灾</w:t>
            </w:r>
            <w:r>
              <w:rPr>
                <w:rFonts w:ascii="Calibri" w:hAnsi="Calibri" w:eastAsia="宋体" w:cs="Times New Roman"/>
                <w:color w:val="auto"/>
                <w:spacing w:val="-8"/>
              </w:rPr>
              <w:t>产生有毒有</w:t>
            </w:r>
            <w:r>
              <w:rPr>
                <w:rFonts w:ascii="Calibri" w:hAnsi="Calibri" w:eastAsia="宋体" w:cs="Times New Roman"/>
                <w:color w:val="auto"/>
                <w:spacing w:val="-4"/>
              </w:rPr>
              <w:t>害气体时，迅速撤离泄漏污染区人员至上风处，并立</w:t>
            </w:r>
            <w:r>
              <w:rPr>
                <w:rFonts w:ascii="Calibri" w:hAnsi="Calibri" w:eastAsia="宋体" w:cs="Times New Roman"/>
                <w:color w:val="auto"/>
                <w:spacing w:val="-5"/>
              </w:rPr>
              <w:t>即进行隔离。</w:t>
            </w:r>
            <w:r>
              <w:rPr>
                <w:rFonts w:ascii="Calibri" w:hAnsi="Calibri" w:eastAsia="宋体" w:cs="Times New Roman"/>
                <w:color w:val="auto"/>
                <w:spacing w:val="-4"/>
              </w:rPr>
              <w:t>尽可能切断泄漏源</w:t>
            </w:r>
            <w:r>
              <w:rPr>
                <w:rFonts w:hint="eastAsia" w:ascii="Calibri" w:hAnsi="Calibri" w:eastAsia="宋体" w:cs="Times New Roman"/>
                <w:color w:val="auto"/>
                <w:spacing w:val="-4"/>
              </w:rPr>
              <w:t>及采取灭火措施；</w:t>
            </w:r>
            <w:r>
              <w:rPr>
                <w:rFonts w:ascii="Calibri" w:hAnsi="Calibri" w:eastAsia="宋体" w:cs="Times New Roman"/>
                <w:color w:val="auto"/>
                <w:spacing w:val="-4"/>
              </w:rPr>
              <w:t>合理通风，加速</w:t>
            </w:r>
            <w:r>
              <w:rPr>
                <w:rFonts w:ascii="Calibri" w:hAnsi="Calibri" w:eastAsia="宋体" w:cs="Times New Roman"/>
                <w:color w:val="auto"/>
                <w:spacing w:val="-5"/>
              </w:rPr>
              <w:t>扩散</w:t>
            </w:r>
            <w:r>
              <w:rPr>
                <w:rFonts w:hint="eastAsia" w:ascii="Calibri" w:hAnsi="Calibri" w:eastAsia="宋体" w:cs="Times New Roman"/>
                <w:color w:val="auto"/>
                <w:spacing w:val="-5"/>
              </w:rPr>
              <w:t>；危废贮存点附近配备干粉灭火器等应急救援物资。</w:t>
            </w:r>
          </w:p>
          <w:p w14:paraId="033BD303">
            <w:pPr>
              <w:pStyle w:val="115"/>
              <w:keepNext w:val="0"/>
              <w:keepLines w:val="0"/>
              <w:suppressLineNumbers w:val="0"/>
              <w:spacing w:before="0" w:beforeAutospacing="0" w:after="0" w:afterAutospacing="0" w:line="360" w:lineRule="auto"/>
              <w:ind w:left="0" w:right="0" w:firstLine="482"/>
              <w:rPr>
                <w:rFonts w:ascii="Calibri" w:hAnsi="Calibri" w:eastAsia="宋体" w:cs="Times New Roman"/>
                <w:b/>
                <w:bCs/>
                <w:color w:val="auto"/>
              </w:rPr>
            </w:pPr>
            <w:r>
              <w:rPr>
                <w:rFonts w:hint="eastAsia" w:ascii="Calibri" w:hAnsi="Calibri" w:eastAsia="宋体" w:cs="Times New Roman"/>
                <w:b/>
                <w:bCs/>
                <w:color w:val="auto"/>
              </w:rPr>
              <w:t>4、应急预案</w:t>
            </w:r>
          </w:p>
          <w:p w14:paraId="358CD9E9">
            <w:pPr>
              <w:keepNext w:val="0"/>
              <w:keepLines w:val="0"/>
              <w:suppressLineNumbers w:val="0"/>
              <w:spacing w:before="0" w:beforeAutospacing="0" w:after="0" w:afterAutospacing="0" w:line="360" w:lineRule="auto"/>
              <w:ind w:left="0" w:right="0" w:firstLine="480" w:firstLineChars="200"/>
              <w:rPr>
                <w:rFonts w:hint="eastAsia" w:ascii="Calibri" w:hAnsi="宋体" w:eastAsia="宋体" w:cs="Times New Roman"/>
                <w:b/>
                <w:bCs/>
                <w:color w:val="auto"/>
                <w:sz w:val="24"/>
              </w:rPr>
            </w:pPr>
            <w:r>
              <w:rPr>
                <w:rFonts w:hint="eastAsia" w:ascii="宋体" w:hAnsi="宋体" w:eastAsia="宋体" w:cs="宋体"/>
                <w:color w:val="auto"/>
                <w:sz w:val="24"/>
              </w:rPr>
              <w:t xml:space="preserve">本项目应建立事故应急预案，加强事故应急演练，减小可能发生的事故影响。针对建设项目的特点，制订应急预案如表 </w:t>
            </w:r>
            <w:r>
              <w:rPr>
                <w:rFonts w:ascii="Calibri" w:hAnsi="Calibri" w:eastAsia="宋体" w:cs="Times New Roman"/>
                <w:color w:val="auto"/>
                <w:sz w:val="24"/>
              </w:rPr>
              <w:t>4-</w:t>
            </w:r>
            <w:r>
              <w:rPr>
                <w:rFonts w:hint="eastAsia" w:ascii="Calibri" w:hAnsi="Calibri" w:eastAsia="宋体" w:cs="Times New Roman"/>
                <w:color w:val="auto"/>
                <w:sz w:val="24"/>
              </w:rPr>
              <w:t>15</w:t>
            </w:r>
            <w:r>
              <w:rPr>
                <w:rFonts w:ascii="Calibri" w:hAnsi="Calibri" w:eastAsia="宋体" w:cs="Times New Roman"/>
                <w:color w:val="auto"/>
                <w:sz w:val="24"/>
              </w:rPr>
              <w:t>。</w:t>
            </w:r>
          </w:p>
          <w:p w14:paraId="28FE78B3">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rPr>
            </w:pPr>
            <w:r>
              <w:rPr>
                <w:rFonts w:ascii="Calibri" w:hAnsi="宋体" w:eastAsia="宋体" w:cs="Times New Roman"/>
                <w:b/>
                <w:bCs/>
                <w:color w:val="auto"/>
                <w:sz w:val="24"/>
              </w:rPr>
              <w:t>表</w:t>
            </w:r>
            <w:r>
              <w:rPr>
                <w:rFonts w:hint="eastAsia" w:ascii="Calibri" w:hAnsi="Calibri" w:eastAsia="宋体" w:cs="Times New Roman"/>
                <w:b/>
                <w:bCs/>
                <w:color w:val="auto"/>
                <w:sz w:val="24"/>
              </w:rPr>
              <w:t>4-15</w:t>
            </w:r>
            <w:r>
              <w:rPr>
                <w:rFonts w:hint="eastAsia" w:ascii="宋体" w:hAnsi="宋体" w:eastAsia="宋体" w:cs="宋体"/>
                <w:b/>
                <w:bCs/>
                <w:color w:val="auto"/>
                <w:sz w:val="24"/>
              </w:rPr>
              <w:t xml:space="preserve">   项目突发环境事故应急预案的内容</w:t>
            </w:r>
          </w:p>
          <w:tbl>
            <w:tblPr>
              <w:tblStyle w:val="26"/>
              <w:tblW w:w="4999"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701"/>
              <w:gridCol w:w="5169"/>
            </w:tblGrid>
            <w:tr w14:paraId="3567D87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3D35251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序号</w:t>
                  </w:r>
                </w:p>
              </w:tc>
              <w:tc>
                <w:tcPr>
                  <w:tcW w:w="1549" w:type="pct"/>
                  <w:noWrap w:val="0"/>
                  <w:vAlign w:val="center"/>
                </w:tcPr>
                <w:p w14:paraId="61E450F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项目</w:t>
                  </w:r>
                </w:p>
              </w:tc>
              <w:tc>
                <w:tcPr>
                  <w:tcW w:w="2964" w:type="pct"/>
                  <w:noWrap w:val="0"/>
                  <w:vAlign w:val="center"/>
                </w:tcPr>
                <w:p w14:paraId="6ED0A1E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内容及要求</w:t>
                  </w:r>
                </w:p>
              </w:tc>
            </w:tr>
            <w:tr w14:paraId="0CB849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pct"/>
                  <w:noWrap w:val="0"/>
                  <w:vAlign w:val="center"/>
                </w:tcPr>
                <w:p w14:paraId="21F735C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1</w:t>
                  </w:r>
                </w:p>
              </w:tc>
              <w:tc>
                <w:tcPr>
                  <w:tcW w:w="1549" w:type="pct"/>
                  <w:noWrap w:val="0"/>
                  <w:vAlign w:val="center"/>
                </w:tcPr>
                <w:p w14:paraId="120D9A8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应急计划区</w:t>
                  </w:r>
                </w:p>
              </w:tc>
              <w:tc>
                <w:tcPr>
                  <w:tcW w:w="2964" w:type="pct"/>
                  <w:noWrap w:val="0"/>
                  <w:vAlign w:val="center"/>
                </w:tcPr>
                <w:p w14:paraId="2B6185F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hint="eastAsia" w:ascii="Calibri" w:hAnsi="宋体" w:eastAsia="宋体" w:cs="Times New Roman"/>
                      <w:color w:val="auto"/>
                      <w:szCs w:val="21"/>
                    </w:rPr>
                    <w:t>危废贮存点</w:t>
                  </w:r>
                  <w:r>
                    <w:rPr>
                      <w:rFonts w:ascii="Calibri" w:hAnsi="宋体" w:eastAsia="宋体" w:cs="Times New Roman"/>
                      <w:color w:val="auto"/>
                      <w:szCs w:val="21"/>
                    </w:rPr>
                    <w:t>，环境保护目标等</w:t>
                  </w:r>
                </w:p>
              </w:tc>
            </w:tr>
            <w:tr w14:paraId="614CC0B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2221BA4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2</w:t>
                  </w:r>
                </w:p>
              </w:tc>
              <w:tc>
                <w:tcPr>
                  <w:tcW w:w="1549" w:type="pct"/>
                  <w:noWrap w:val="0"/>
                  <w:vAlign w:val="center"/>
                </w:tcPr>
                <w:p w14:paraId="675F306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应急组织机构、人员</w:t>
                  </w:r>
                </w:p>
              </w:tc>
              <w:tc>
                <w:tcPr>
                  <w:tcW w:w="2964" w:type="pct"/>
                  <w:noWrap w:val="0"/>
                  <w:vAlign w:val="center"/>
                </w:tcPr>
                <w:p w14:paraId="1A095CF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工厂、地区应急组织机构、人员</w:t>
                  </w:r>
                </w:p>
              </w:tc>
            </w:tr>
            <w:tr w14:paraId="1846FB2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670CAAE5">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3</w:t>
                  </w:r>
                </w:p>
              </w:tc>
              <w:tc>
                <w:tcPr>
                  <w:tcW w:w="1549" w:type="pct"/>
                  <w:noWrap w:val="0"/>
                  <w:vAlign w:val="center"/>
                </w:tcPr>
                <w:p w14:paraId="5A92B98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预案分级响应条件</w:t>
                  </w:r>
                </w:p>
              </w:tc>
              <w:tc>
                <w:tcPr>
                  <w:tcW w:w="2964" w:type="pct"/>
                  <w:noWrap w:val="0"/>
                  <w:vAlign w:val="center"/>
                </w:tcPr>
                <w:p w14:paraId="0B5FD4B1">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规定预案的级别及分级响应程序</w:t>
                  </w:r>
                </w:p>
              </w:tc>
            </w:tr>
            <w:tr w14:paraId="493002D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24B7196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4</w:t>
                  </w:r>
                </w:p>
              </w:tc>
              <w:tc>
                <w:tcPr>
                  <w:tcW w:w="1549" w:type="pct"/>
                  <w:noWrap w:val="0"/>
                  <w:vAlign w:val="center"/>
                </w:tcPr>
                <w:p w14:paraId="22B78020">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应急救援保障</w:t>
                  </w:r>
                </w:p>
              </w:tc>
              <w:tc>
                <w:tcPr>
                  <w:tcW w:w="2964" w:type="pct"/>
                  <w:noWrap w:val="0"/>
                  <w:vAlign w:val="center"/>
                </w:tcPr>
                <w:p w14:paraId="1E47A32F">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应急设施、设备与器材等</w:t>
                  </w:r>
                </w:p>
              </w:tc>
            </w:tr>
            <w:tr w14:paraId="4A6D6D3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34ECB306">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5</w:t>
                  </w:r>
                </w:p>
              </w:tc>
              <w:tc>
                <w:tcPr>
                  <w:tcW w:w="1549" w:type="pct"/>
                  <w:noWrap w:val="0"/>
                  <w:vAlign w:val="center"/>
                </w:tcPr>
                <w:p w14:paraId="6E403C2C">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报警、通讯联络方式</w:t>
                  </w:r>
                </w:p>
              </w:tc>
              <w:tc>
                <w:tcPr>
                  <w:tcW w:w="2964" w:type="pct"/>
                  <w:noWrap w:val="0"/>
                  <w:vAlign w:val="center"/>
                </w:tcPr>
                <w:p w14:paraId="4C7FABAE">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规定应急状态下的报警通讯方式、通知方式和交通保障、管制</w:t>
                  </w:r>
                </w:p>
              </w:tc>
            </w:tr>
            <w:tr w14:paraId="31F84DF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2DF407A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6</w:t>
                  </w:r>
                </w:p>
              </w:tc>
              <w:tc>
                <w:tcPr>
                  <w:tcW w:w="1549" w:type="pct"/>
                  <w:noWrap w:val="0"/>
                  <w:vAlign w:val="center"/>
                </w:tcPr>
                <w:p w14:paraId="18C3B14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应急环境监测、抢险、清</w:t>
                  </w:r>
                  <w:r>
                    <w:rPr>
                      <w:rFonts w:hint="eastAsia" w:ascii="Calibri" w:hAnsi="宋体" w:eastAsia="宋体" w:cs="Times New Roman"/>
                      <w:color w:val="auto"/>
                      <w:szCs w:val="21"/>
                    </w:rPr>
                    <w:t>除</w:t>
                  </w:r>
                  <w:r>
                    <w:rPr>
                      <w:rFonts w:ascii="Calibri" w:hAnsi="宋体" w:eastAsia="宋体" w:cs="Times New Roman"/>
                      <w:color w:val="auto"/>
                      <w:szCs w:val="21"/>
                    </w:rPr>
                    <w:t>泄</w:t>
                  </w:r>
                  <w:r>
                    <w:rPr>
                      <w:rFonts w:hint="eastAsia" w:ascii="Calibri" w:hAnsi="宋体" w:eastAsia="宋体" w:cs="Times New Roman"/>
                      <w:color w:val="auto"/>
                      <w:szCs w:val="21"/>
                    </w:rPr>
                    <w:t>漏</w:t>
                  </w:r>
                  <w:r>
                    <w:rPr>
                      <w:rFonts w:ascii="Calibri" w:hAnsi="宋体" w:eastAsia="宋体" w:cs="Times New Roman"/>
                      <w:color w:val="auto"/>
                      <w:szCs w:val="21"/>
                    </w:rPr>
                    <w:t>措施和器材</w:t>
                  </w:r>
                </w:p>
              </w:tc>
              <w:tc>
                <w:tcPr>
                  <w:tcW w:w="2964" w:type="pct"/>
                  <w:noWrap w:val="0"/>
                  <w:vAlign w:val="center"/>
                </w:tcPr>
                <w:p w14:paraId="6D72367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由</w:t>
                  </w:r>
                  <w:r>
                    <w:rPr>
                      <w:rFonts w:hint="eastAsia" w:ascii="Calibri" w:hAnsi="宋体" w:eastAsia="宋体" w:cs="Times New Roman"/>
                      <w:color w:val="auto"/>
                      <w:szCs w:val="21"/>
                    </w:rPr>
                    <w:t>专业</w:t>
                  </w:r>
                  <w:r>
                    <w:rPr>
                      <w:rFonts w:ascii="Calibri" w:hAnsi="宋体" w:eastAsia="宋体" w:cs="Times New Roman"/>
                      <w:color w:val="auto"/>
                      <w:szCs w:val="21"/>
                    </w:rPr>
                    <w:t>队伍负责对事故现场进行侦查监测，对事故性质、参数与后果进行评估，为指挥部门提供决策依据</w:t>
                  </w:r>
                </w:p>
              </w:tc>
            </w:tr>
            <w:tr w14:paraId="02325CA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25A394CD">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7</w:t>
                  </w:r>
                </w:p>
              </w:tc>
              <w:tc>
                <w:tcPr>
                  <w:tcW w:w="1549" w:type="pct"/>
                  <w:noWrap w:val="0"/>
                  <w:vAlign w:val="center"/>
                </w:tcPr>
                <w:p w14:paraId="2A0F84E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应急</w:t>
                  </w:r>
                  <w:r>
                    <w:rPr>
                      <w:rFonts w:hint="eastAsia" w:ascii="Calibri" w:hAnsi="宋体" w:eastAsia="宋体" w:cs="Times New Roman"/>
                      <w:color w:val="auto"/>
                      <w:szCs w:val="21"/>
                    </w:rPr>
                    <w:t>监测</w:t>
                  </w:r>
                  <w:r>
                    <w:rPr>
                      <w:rFonts w:ascii="Calibri" w:hAnsi="宋体" w:eastAsia="宋体" w:cs="Times New Roman"/>
                      <w:color w:val="auto"/>
                      <w:szCs w:val="21"/>
                    </w:rPr>
                    <w:t>、防护措施，</w:t>
                  </w:r>
                  <w:r>
                    <w:rPr>
                      <w:rFonts w:hint="eastAsia" w:ascii="Calibri" w:hAnsi="宋体" w:eastAsia="宋体" w:cs="Times New Roman"/>
                      <w:color w:val="auto"/>
                      <w:szCs w:val="21"/>
                    </w:rPr>
                    <w:t>清除</w:t>
                  </w:r>
                  <w:r>
                    <w:rPr>
                      <w:rFonts w:ascii="Calibri" w:hAnsi="宋体" w:eastAsia="宋体" w:cs="Times New Roman"/>
                      <w:color w:val="auto"/>
                      <w:szCs w:val="21"/>
                    </w:rPr>
                    <w:t>泄</w:t>
                  </w:r>
                  <w:r>
                    <w:rPr>
                      <w:rFonts w:hint="eastAsia" w:ascii="Calibri" w:hAnsi="宋体" w:eastAsia="宋体" w:cs="Times New Roman"/>
                      <w:color w:val="auto"/>
                      <w:szCs w:val="21"/>
                    </w:rPr>
                    <w:t>漏</w:t>
                  </w:r>
                  <w:r>
                    <w:rPr>
                      <w:rFonts w:ascii="Calibri" w:hAnsi="宋体" w:eastAsia="宋体" w:cs="Times New Roman"/>
                      <w:color w:val="auto"/>
                      <w:szCs w:val="21"/>
                    </w:rPr>
                    <w:t>措施和器材</w:t>
                  </w:r>
                </w:p>
              </w:tc>
              <w:tc>
                <w:tcPr>
                  <w:tcW w:w="2964" w:type="pct"/>
                  <w:noWrap w:val="0"/>
                  <w:vAlign w:val="center"/>
                </w:tcPr>
                <w:p w14:paraId="76858C2A">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事故现场、邻近区域、控制防火区域，控制和清除污染措施及相应设备</w:t>
                  </w:r>
                </w:p>
              </w:tc>
            </w:tr>
            <w:tr w14:paraId="6199492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3AE61668">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8</w:t>
                  </w:r>
                </w:p>
              </w:tc>
              <w:tc>
                <w:tcPr>
                  <w:tcW w:w="1549" w:type="pct"/>
                  <w:noWrap w:val="0"/>
                  <w:vAlign w:val="center"/>
                </w:tcPr>
                <w:p w14:paraId="7ED687BC">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应急控制撤离组织计划医疗救护与保护公众健康</w:t>
                  </w:r>
                </w:p>
              </w:tc>
              <w:tc>
                <w:tcPr>
                  <w:tcW w:w="2964" w:type="pct"/>
                  <w:noWrap w:val="0"/>
                  <w:vAlign w:val="center"/>
                </w:tcPr>
                <w:p w14:paraId="0C70FCD4">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事故现场：事故处理人员制定现场及临近装置人员的撤离组织计划和紧急救护方案；临近地区：制定受事故影响的临近地区内人员对事故防护、公众的疏散组织计划和紧急救护方案。</w:t>
                  </w:r>
                </w:p>
              </w:tc>
            </w:tr>
            <w:tr w14:paraId="3BAEA63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4757CE64">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9</w:t>
                  </w:r>
                </w:p>
              </w:tc>
              <w:tc>
                <w:tcPr>
                  <w:tcW w:w="1549" w:type="pct"/>
                  <w:noWrap w:val="0"/>
                  <w:vAlign w:val="center"/>
                </w:tcPr>
                <w:p w14:paraId="4322BE2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事故应急救援关闭程序与恢复措施</w:t>
                  </w:r>
                </w:p>
              </w:tc>
              <w:tc>
                <w:tcPr>
                  <w:tcW w:w="2964" w:type="pct"/>
                  <w:noWrap w:val="0"/>
                  <w:vAlign w:val="center"/>
                </w:tcPr>
                <w:p w14:paraId="534052BA">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宋体" w:eastAsia="宋体" w:cs="Times New Roman"/>
                      <w:color w:val="auto"/>
                      <w:szCs w:val="21"/>
                    </w:rPr>
                    <w:t>规定应急状态终止程序事故现场善后处理，恢复措施邻近区域解除事故警戒及善后恢复措施</w:t>
                  </w:r>
                </w:p>
              </w:tc>
            </w:tr>
            <w:tr w14:paraId="46DC69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5B96C503">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10</w:t>
                  </w:r>
                </w:p>
              </w:tc>
              <w:tc>
                <w:tcPr>
                  <w:tcW w:w="1549" w:type="pct"/>
                  <w:noWrap w:val="0"/>
                  <w:vAlign w:val="center"/>
                </w:tcPr>
                <w:p w14:paraId="6EEEB903">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人员培训与演习</w:t>
                  </w:r>
                </w:p>
              </w:tc>
              <w:tc>
                <w:tcPr>
                  <w:tcW w:w="2964" w:type="pct"/>
                  <w:noWrap w:val="0"/>
                  <w:vAlign w:val="center"/>
                </w:tcPr>
                <w:p w14:paraId="1352BFCE">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应急计划制定后，平时安排事故救援人员进行相关知识培训并进行事故应急处理演习</w:t>
                  </w:r>
                </w:p>
              </w:tc>
            </w:tr>
            <w:tr w14:paraId="72A47E4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14:paraId="2A06B6C7">
                  <w:pPr>
                    <w:keepNext w:val="0"/>
                    <w:keepLines w:val="0"/>
                    <w:suppressLineNumbers w:val="0"/>
                    <w:spacing w:before="0" w:beforeAutospacing="0" w:after="0" w:afterAutospacing="0"/>
                    <w:ind w:left="0" w:right="0"/>
                    <w:jc w:val="center"/>
                    <w:rPr>
                      <w:rFonts w:ascii="Calibri" w:hAnsi="Calibri" w:eastAsia="宋体" w:cs="Times New Roman"/>
                      <w:color w:val="auto"/>
                      <w:szCs w:val="21"/>
                    </w:rPr>
                  </w:pPr>
                  <w:r>
                    <w:rPr>
                      <w:rFonts w:ascii="Calibri" w:hAnsi="Calibri" w:eastAsia="宋体" w:cs="Times New Roman"/>
                      <w:color w:val="auto"/>
                      <w:szCs w:val="21"/>
                    </w:rPr>
                    <w:t>11</w:t>
                  </w:r>
                </w:p>
              </w:tc>
              <w:tc>
                <w:tcPr>
                  <w:tcW w:w="1549" w:type="pct"/>
                  <w:noWrap w:val="0"/>
                  <w:vAlign w:val="center"/>
                </w:tcPr>
                <w:p w14:paraId="4C689079">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记录和报告</w:t>
                  </w:r>
                </w:p>
              </w:tc>
              <w:tc>
                <w:tcPr>
                  <w:tcW w:w="2964" w:type="pct"/>
                  <w:noWrap w:val="0"/>
                  <w:vAlign w:val="center"/>
                </w:tcPr>
                <w:p w14:paraId="340B7ADF">
                  <w:pPr>
                    <w:keepNext w:val="0"/>
                    <w:keepLines w:val="0"/>
                    <w:suppressLineNumbers w:val="0"/>
                    <w:autoSpaceDE w:val="0"/>
                    <w:autoSpaceDN w:val="0"/>
                    <w:adjustRightInd w:val="0"/>
                    <w:spacing w:before="0" w:beforeAutospacing="0" w:after="0" w:afterAutospacing="0"/>
                    <w:ind w:left="0" w:right="0"/>
                    <w:jc w:val="center"/>
                    <w:rPr>
                      <w:rFonts w:ascii="Calibri" w:hAnsi="Calibri" w:eastAsia="宋体" w:cs="Times New Roman"/>
                      <w:color w:val="auto"/>
                      <w:kern w:val="0"/>
                      <w:szCs w:val="21"/>
                    </w:rPr>
                  </w:pPr>
                  <w:r>
                    <w:rPr>
                      <w:rFonts w:ascii="Calibri" w:hAnsi="Calibri" w:eastAsia="宋体" w:cs="Times New Roman"/>
                      <w:color w:val="auto"/>
                      <w:kern w:val="0"/>
                      <w:szCs w:val="21"/>
                    </w:rPr>
                    <w:t>设应急事故专门记录，建立档案和报告制度，设专门部门负责管理。</w:t>
                  </w:r>
                </w:p>
              </w:tc>
            </w:tr>
          </w:tbl>
          <w:p w14:paraId="4A755184">
            <w:pPr>
              <w:pStyle w:val="41"/>
              <w:keepNext w:val="0"/>
              <w:keepLines w:val="0"/>
              <w:suppressLineNumbers w:val="0"/>
              <w:spacing w:before="120" w:beforeLines="50" w:beforeAutospacing="0" w:after="0" w:afterAutospacing="0" w:line="360" w:lineRule="auto"/>
              <w:ind w:left="0" w:right="0" w:firstLine="482" w:firstLineChars="200"/>
              <w:rPr>
                <w:color w:val="auto"/>
              </w:rPr>
            </w:pPr>
            <w:r>
              <w:rPr>
                <w:rFonts w:hint="eastAsia"/>
                <w:b/>
                <w:bCs/>
                <w:color w:val="auto"/>
              </w:rPr>
              <w:t>5、</w:t>
            </w:r>
            <w:r>
              <w:rPr>
                <w:b/>
                <w:bCs/>
                <w:color w:val="auto"/>
              </w:rPr>
              <w:t>结论</w:t>
            </w:r>
          </w:p>
          <w:p w14:paraId="33C7C2F5">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bCs/>
                <w:color w:val="auto"/>
                <w:sz w:val="24"/>
              </w:rPr>
              <w:t>项目运行过程中存在泄漏、火灾事</w:t>
            </w:r>
            <w:r>
              <w:rPr>
                <w:rFonts w:hint="eastAsia" w:ascii="Calibri" w:hAnsi="Calibri" w:eastAsia="宋体" w:cs="Times New Roman"/>
                <w:bCs/>
                <w:color w:val="auto"/>
                <w:sz w:val="24"/>
                <w:lang w:eastAsia="zh-CN"/>
              </w:rPr>
              <w:t>故和</w:t>
            </w:r>
            <w:r>
              <w:rPr>
                <w:rFonts w:ascii="Calibri" w:hAnsi="Calibri" w:eastAsia="宋体" w:cs="Times New Roman"/>
                <w:bCs/>
                <w:color w:val="auto"/>
                <w:sz w:val="24"/>
              </w:rPr>
              <w:t>次生污染物的环境风险，必须严格执行国家的技术规范和操作规程要求，落实各项安全规章制度，避免事故的发生。</w:t>
            </w:r>
            <w:r>
              <w:rPr>
                <w:rFonts w:ascii="Calibri" w:hAnsi="Calibri" w:eastAsia="宋体" w:cs="Times New Roman"/>
                <w:color w:val="auto"/>
                <w:sz w:val="24"/>
              </w:rPr>
              <w:t>在认真落实工程拟采取的风险措施及评价所提出的风险措施及对策后，环境风险事故对周围环境的影响可以接受。</w:t>
            </w:r>
          </w:p>
          <w:p w14:paraId="49771716">
            <w:pPr>
              <w:pStyle w:val="41"/>
              <w:keepNext w:val="0"/>
              <w:keepLines w:val="0"/>
              <w:suppressLineNumbers w:val="0"/>
              <w:spacing w:before="0" w:beforeAutospacing="0" w:after="0" w:afterAutospacing="0"/>
              <w:ind w:left="0" w:right="0"/>
              <w:jc w:val="center"/>
              <w:rPr>
                <w:rFonts w:ascii="Times New Roman" w:cs="Times New Roman"/>
                <w:b/>
                <w:bCs/>
                <w:color w:val="auto"/>
              </w:rPr>
            </w:pPr>
            <w:r>
              <w:rPr>
                <w:rFonts w:ascii="Times New Roman" w:cs="Times New Roman"/>
                <w:b/>
                <w:bCs/>
                <w:color w:val="auto"/>
              </w:rPr>
              <w:t>表4-1</w:t>
            </w:r>
            <w:r>
              <w:rPr>
                <w:rFonts w:hint="eastAsia" w:ascii="Times New Roman" w:cs="Times New Roman"/>
                <w:b/>
                <w:bCs/>
                <w:color w:val="auto"/>
              </w:rPr>
              <w:t>6</w:t>
            </w:r>
            <w:r>
              <w:rPr>
                <w:rFonts w:ascii="Times New Roman" w:cs="Times New Roman"/>
                <w:b/>
                <w:bCs/>
                <w:color w:val="auto"/>
              </w:rPr>
              <w:t xml:space="preserve">   建设项目环境风险简单分析内容表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1"/>
              <w:gridCol w:w="6260"/>
            </w:tblGrid>
            <w:tr w14:paraId="78BA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noWrap w:val="0"/>
                  <w:vAlign w:val="center"/>
                </w:tcPr>
                <w:p w14:paraId="12845E9C">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建设项目名称</w:t>
                  </w:r>
                </w:p>
              </w:tc>
              <w:tc>
                <w:tcPr>
                  <w:tcW w:w="3592" w:type="pct"/>
                  <w:noWrap w:val="0"/>
                  <w:vAlign w:val="center"/>
                </w:tcPr>
                <w:p w14:paraId="58F1D931">
                  <w:pPr>
                    <w:pStyle w:val="41"/>
                    <w:keepNext w:val="0"/>
                    <w:keepLines w:val="0"/>
                    <w:suppressLineNumbers w:val="0"/>
                    <w:spacing w:before="0" w:beforeAutospacing="0" w:after="0" w:afterAutospacing="0"/>
                    <w:ind w:left="0" w:right="0"/>
                    <w:rPr>
                      <w:rFonts w:hint="eastAsia" w:ascii="Times New Roman" w:eastAsia="宋体" w:cs="Times New Roman"/>
                      <w:color w:val="auto"/>
                      <w:sz w:val="21"/>
                      <w:szCs w:val="21"/>
                      <w:lang w:eastAsia="zh-CN"/>
                    </w:rPr>
                  </w:pPr>
                  <w:r>
                    <w:rPr>
                      <w:rFonts w:hint="eastAsia" w:ascii="Times New Roman" w:cs="Times New Roman"/>
                      <w:color w:val="auto"/>
                      <w:sz w:val="21"/>
                      <w:szCs w:val="21"/>
                      <w:lang w:eastAsia="zh-CN"/>
                    </w:rPr>
                    <w:t>年加工3万吨废弃资源综合利用项目</w:t>
                  </w:r>
                </w:p>
              </w:tc>
            </w:tr>
            <w:tr w14:paraId="3FFD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noWrap w:val="0"/>
                  <w:vAlign w:val="center"/>
                </w:tcPr>
                <w:p w14:paraId="7978ED5D">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建设地点</w:t>
                  </w:r>
                </w:p>
              </w:tc>
              <w:tc>
                <w:tcPr>
                  <w:tcW w:w="3592" w:type="pct"/>
                  <w:noWrap w:val="0"/>
                  <w:vAlign w:val="center"/>
                </w:tcPr>
                <w:p w14:paraId="32FC4B9C">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hint="eastAsia" w:ascii="Times New Roman" w:cs="Times New Roman"/>
                      <w:color w:val="auto"/>
                      <w:sz w:val="21"/>
                      <w:szCs w:val="21"/>
                    </w:rPr>
                    <w:t>广西壮族自治区防城港市防城区江山镇利竹坪村</w:t>
                  </w:r>
                </w:p>
              </w:tc>
            </w:tr>
            <w:tr w14:paraId="295A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noWrap w:val="0"/>
                  <w:vAlign w:val="center"/>
                </w:tcPr>
                <w:p w14:paraId="6E92773A">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地理坐标</w:t>
                  </w:r>
                </w:p>
              </w:tc>
              <w:tc>
                <w:tcPr>
                  <w:tcW w:w="3592" w:type="pct"/>
                  <w:noWrap w:val="0"/>
                  <w:vAlign w:val="center"/>
                </w:tcPr>
                <w:p w14:paraId="5EEC40D1">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中心地理坐标：东经10</w:t>
                  </w:r>
                  <w:r>
                    <w:rPr>
                      <w:rFonts w:hint="eastAsia" w:ascii="Times New Roman" w:cs="Times New Roman"/>
                      <w:color w:val="auto"/>
                      <w:sz w:val="21"/>
                      <w:szCs w:val="21"/>
                    </w:rPr>
                    <w:t>8</w:t>
                  </w:r>
                  <w:r>
                    <w:rPr>
                      <w:rFonts w:ascii="Times New Roman" w:cs="Times New Roman"/>
                      <w:color w:val="auto"/>
                      <w:sz w:val="21"/>
                      <w:szCs w:val="21"/>
                    </w:rPr>
                    <w:t>°</w:t>
                  </w:r>
                  <w:r>
                    <w:rPr>
                      <w:rFonts w:hint="eastAsia" w:ascii="Times New Roman" w:cs="Times New Roman"/>
                      <w:color w:val="auto"/>
                      <w:sz w:val="21"/>
                      <w:szCs w:val="21"/>
                    </w:rPr>
                    <w:t>17</w:t>
                  </w:r>
                  <w:r>
                    <w:rPr>
                      <w:rFonts w:ascii="Times New Roman" w:cs="Times New Roman"/>
                      <w:color w:val="auto"/>
                      <w:sz w:val="21"/>
                      <w:szCs w:val="21"/>
                    </w:rPr>
                    <w:t>′</w:t>
                  </w:r>
                  <w:r>
                    <w:rPr>
                      <w:rFonts w:hint="eastAsia" w:ascii="Times New Roman" w:cs="Times New Roman"/>
                      <w:color w:val="auto"/>
                      <w:sz w:val="21"/>
                      <w:szCs w:val="21"/>
                    </w:rPr>
                    <w:t>10.377</w:t>
                  </w:r>
                  <w:r>
                    <w:rPr>
                      <w:rFonts w:ascii="Times New Roman" w:cs="Times New Roman"/>
                      <w:color w:val="auto"/>
                      <w:sz w:val="21"/>
                      <w:szCs w:val="21"/>
                    </w:rPr>
                    <w:t>″，北纬2</w:t>
                  </w:r>
                  <w:r>
                    <w:rPr>
                      <w:rFonts w:hint="eastAsia" w:ascii="Times New Roman" w:cs="Times New Roman"/>
                      <w:color w:val="auto"/>
                      <w:sz w:val="21"/>
                      <w:szCs w:val="21"/>
                    </w:rPr>
                    <w:t>1</w:t>
                  </w:r>
                  <w:r>
                    <w:rPr>
                      <w:rFonts w:ascii="Times New Roman" w:cs="Times New Roman"/>
                      <w:color w:val="auto"/>
                      <w:sz w:val="21"/>
                      <w:szCs w:val="21"/>
                    </w:rPr>
                    <w:t>°</w:t>
                  </w:r>
                  <w:r>
                    <w:rPr>
                      <w:rFonts w:hint="eastAsia" w:ascii="Times New Roman" w:cs="Times New Roman"/>
                      <w:color w:val="auto"/>
                      <w:sz w:val="21"/>
                      <w:szCs w:val="21"/>
                    </w:rPr>
                    <w:t>38</w:t>
                  </w:r>
                  <w:r>
                    <w:rPr>
                      <w:rFonts w:ascii="Times New Roman" w:cs="Times New Roman"/>
                      <w:color w:val="auto"/>
                      <w:sz w:val="21"/>
                      <w:szCs w:val="21"/>
                    </w:rPr>
                    <w:t>′</w:t>
                  </w:r>
                  <w:r>
                    <w:rPr>
                      <w:rFonts w:hint="eastAsia" w:ascii="Times New Roman" w:cs="Times New Roman"/>
                      <w:color w:val="auto"/>
                      <w:sz w:val="21"/>
                      <w:szCs w:val="21"/>
                    </w:rPr>
                    <w:t>17.504</w:t>
                  </w:r>
                  <w:r>
                    <w:rPr>
                      <w:rFonts w:ascii="Times New Roman" w:cs="Times New Roman"/>
                      <w:color w:val="auto"/>
                      <w:sz w:val="21"/>
                      <w:szCs w:val="21"/>
                    </w:rPr>
                    <w:t>″</w:t>
                  </w:r>
                </w:p>
              </w:tc>
            </w:tr>
            <w:tr w14:paraId="08AF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noWrap w:val="0"/>
                  <w:vAlign w:val="center"/>
                </w:tcPr>
                <w:p w14:paraId="719EDF7E">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主要危险物质分布</w:t>
                  </w:r>
                </w:p>
              </w:tc>
              <w:tc>
                <w:tcPr>
                  <w:tcW w:w="3592" w:type="pct"/>
                  <w:noWrap w:val="0"/>
                  <w:vAlign w:val="center"/>
                </w:tcPr>
                <w:p w14:paraId="69144B2B">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项目涉及的危险物质为：废机油。</w:t>
                  </w:r>
                </w:p>
                <w:p w14:paraId="085B04A9">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废机油暂存于危废贮存点中。</w:t>
                  </w:r>
                </w:p>
              </w:tc>
            </w:tr>
            <w:tr w14:paraId="1EC4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noWrap w:val="0"/>
                  <w:vAlign w:val="center"/>
                </w:tcPr>
                <w:p w14:paraId="1C657DF6">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环境影响途径及危害后果</w:t>
                  </w:r>
                </w:p>
              </w:tc>
              <w:tc>
                <w:tcPr>
                  <w:tcW w:w="3592" w:type="pct"/>
                  <w:noWrap w:val="0"/>
                  <w:vAlign w:val="center"/>
                </w:tcPr>
                <w:p w14:paraId="29ADF443">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泄漏事故会对周围水环境、土壤环境造成污染。</w:t>
                  </w:r>
                </w:p>
              </w:tc>
            </w:tr>
            <w:tr w14:paraId="446D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07" w:type="pct"/>
                  <w:noWrap w:val="0"/>
                  <w:vAlign w:val="center"/>
                </w:tcPr>
                <w:p w14:paraId="1FC067D7">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风险防范措施要求</w:t>
                  </w:r>
                </w:p>
              </w:tc>
              <w:tc>
                <w:tcPr>
                  <w:tcW w:w="3592" w:type="pct"/>
                  <w:noWrap w:val="0"/>
                  <w:vAlign w:val="center"/>
                </w:tcPr>
                <w:p w14:paraId="67484567">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①加强废机油的管理，远离火种、热源；配备相应品种和数量的消防器材。</w:t>
                  </w:r>
                </w:p>
                <w:p w14:paraId="71F0F552">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②设定专门的危废贮存点，并按照《危险废物贮存污染控制标准》（GB18597-2023）的相关要求采取相应的防晒、防渗、防淋等措施，避免产生二次污染。危废不得与其他垃圾混存，委托具有危废处理资质的单位回收进行处置，禁止私自处理。</w:t>
                  </w:r>
                </w:p>
                <w:p w14:paraId="67D3C815">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③当发生机油泄漏时，应及时采用</w:t>
                  </w:r>
                  <w:bookmarkStart w:id="28" w:name="OLE_LINK76"/>
                  <w:r>
                    <w:rPr>
                      <w:rFonts w:ascii="Times New Roman" w:cs="Times New Roman"/>
                      <w:color w:val="auto"/>
                      <w:sz w:val="21"/>
                      <w:szCs w:val="21"/>
                    </w:rPr>
                    <w:t>木糠拦截、桶装收集、抹布清理</w:t>
                  </w:r>
                  <w:bookmarkEnd w:id="28"/>
                  <w:r>
                    <w:rPr>
                      <w:rFonts w:ascii="Times New Roman" w:cs="Times New Roman"/>
                      <w:color w:val="auto"/>
                      <w:sz w:val="21"/>
                      <w:szCs w:val="21"/>
                    </w:rPr>
                    <w:t>，送至危险废物贮存点贮存，避免对大气环境、地下水环境和土壤环境造成污染。</w:t>
                  </w:r>
                </w:p>
                <w:p w14:paraId="51E5FEFA">
                  <w:pPr>
                    <w:pStyle w:val="41"/>
                    <w:keepNext w:val="0"/>
                    <w:keepLines w:val="0"/>
                    <w:suppressLineNumbers w:val="0"/>
                    <w:spacing w:before="0" w:beforeAutospacing="0" w:after="0" w:afterAutospacing="0"/>
                    <w:ind w:left="0" w:right="0"/>
                    <w:rPr>
                      <w:rFonts w:ascii="Times New Roman" w:cs="Times New Roman"/>
                      <w:color w:val="auto"/>
                      <w:sz w:val="21"/>
                      <w:szCs w:val="21"/>
                    </w:rPr>
                  </w:pPr>
                  <w:r>
                    <w:rPr>
                      <w:rFonts w:ascii="Times New Roman" w:cs="Times New Roman"/>
                      <w:color w:val="auto"/>
                      <w:sz w:val="21"/>
                      <w:szCs w:val="21"/>
                    </w:rPr>
                    <w:t>④当发生废机油火灾时，迅速撤离泄漏污染区人员至上风处，并立即进行隔离。尽可能切断泄漏源及采取灭火措施；合理通风，加速扩散；危废贮存点附近配备干粉灭火器等应急救援物资。</w:t>
                  </w:r>
                </w:p>
              </w:tc>
            </w:tr>
            <w:tr w14:paraId="778B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2"/>
                  <w:noWrap w:val="0"/>
                  <w:vAlign w:val="center"/>
                </w:tcPr>
                <w:p w14:paraId="2285CB89">
                  <w:pPr>
                    <w:pStyle w:val="41"/>
                    <w:keepNext w:val="0"/>
                    <w:keepLines w:val="0"/>
                    <w:suppressLineNumbers w:val="0"/>
                    <w:spacing w:before="0" w:beforeAutospacing="0" w:after="0" w:afterAutospacing="0"/>
                    <w:ind w:left="0" w:right="0"/>
                    <w:rPr>
                      <w:b/>
                      <w:bCs/>
                      <w:color w:val="auto"/>
                      <w:sz w:val="21"/>
                      <w:szCs w:val="21"/>
                    </w:rPr>
                  </w:pPr>
                  <w:r>
                    <w:rPr>
                      <w:b/>
                      <w:bCs/>
                      <w:color w:val="auto"/>
                      <w:sz w:val="21"/>
                      <w:szCs w:val="21"/>
                    </w:rPr>
                    <w:t>填表说明（列出项目相关信息及评价说明）：</w:t>
                  </w:r>
                </w:p>
                <w:p w14:paraId="2818C686">
                  <w:pPr>
                    <w:pStyle w:val="41"/>
                    <w:keepNext w:val="0"/>
                    <w:keepLines w:val="0"/>
                    <w:suppressLineNumbers w:val="0"/>
                    <w:spacing w:before="0" w:beforeAutospacing="0" w:after="0" w:afterAutospacing="0"/>
                    <w:ind w:left="0" w:right="0" w:firstLine="420" w:firstLineChars="200"/>
                    <w:rPr>
                      <w:color w:val="auto"/>
                      <w:sz w:val="21"/>
                      <w:szCs w:val="21"/>
                    </w:rPr>
                  </w:pPr>
                  <w:r>
                    <w:rPr>
                      <w:color w:val="auto"/>
                      <w:sz w:val="21"/>
                      <w:szCs w:val="21"/>
                    </w:rPr>
                    <w:t>本项目环境风险潜势为Ⅰ，本项目</w:t>
                  </w:r>
                  <w:r>
                    <w:rPr>
                      <w:rFonts w:hint="eastAsia"/>
                      <w:color w:val="auto"/>
                      <w:sz w:val="21"/>
                      <w:szCs w:val="21"/>
                    </w:rPr>
                    <w:t>涉及环境风险的为废</w:t>
                  </w:r>
                  <w:r>
                    <w:rPr>
                      <w:color w:val="auto"/>
                      <w:sz w:val="21"/>
                      <w:szCs w:val="21"/>
                    </w:rPr>
                    <w:t>机油，</w:t>
                  </w:r>
                  <w:r>
                    <w:rPr>
                      <w:rFonts w:hint="eastAsia"/>
                      <w:color w:val="auto"/>
                      <w:sz w:val="21"/>
                      <w:szCs w:val="21"/>
                    </w:rPr>
                    <w:t>暂存于危废贮存点中，在</w:t>
                  </w:r>
                  <w:r>
                    <w:rPr>
                      <w:color w:val="auto"/>
                      <w:sz w:val="21"/>
                      <w:szCs w:val="21"/>
                    </w:rPr>
                    <w:t>运营单位加强管理及风险防范</w:t>
                  </w:r>
                  <w:r>
                    <w:rPr>
                      <w:rFonts w:hint="eastAsia"/>
                      <w:color w:val="auto"/>
                      <w:sz w:val="21"/>
                      <w:szCs w:val="21"/>
                    </w:rPr>
                    <w:t>情况下</w:t>
                  </w:r>
                  <w:r>
                    <w:rPr>
                      <w:color w:val="auto"/>
                      <w:sz w:val="21"/>
                      <w:szCs w:val="21"/>
                    </w:rPr>
                    <w:t>，其发生事故风险水平在可接受范围内。</w:t>
                  </w:r>
                </w:p>
              </w:tc>
            </w:tr>
          </w:tbl>
          <w:p w14:paraId="4BFBECDC">
            <w:pPr>
              <w:pStyle w:val="81"/>
              <w:keepNext w:val="0"/>
              <w:keepLines w:val="0"/>
              <w:suppressLineNumbers w:val="0"/>
              <w:adjustRightInd w:val="0"/>
              <w:snapToGrid w:val="0"/>
              <w:spacing w:before="120" w:beforeLines="50" w:beforeAutospacing="0" w:after="0" w:afterAutospacing="0" w:line="360" w:lineRule="auto"/>
              <w:ind w:left="0" w:right="0" w:firstLine="0" w:firstLineChars="0"/>
              <w:jc w:val="both"/>
              <w:rPr>
                <w:rFonts w:ascii="Times New Roman" w:hAnsi="Times New Roman" w:eastAsia="宋体" w:cs="Times New Roman"/>
                <w:b/>
                <w:color w:val="auto"/>
              </w:rPr>
            </w:pPr>
            <w:r>
              <w:rPr>
                <w:rFonts w:hint="eastAsia" w:ascii="Times New Roman" w:hAnsi="Times New Roman" w:eastAsia="宋体" w:cs="Times New Roman"/>
                <w:b/>
                <w:color w:val="auto"/>
              </w:rPr>
              <w:t>七、</w:t>
            </w:r>
            <w:r>
              <w:rPr>
                <w:rFonts w:ascii="Times New Roman" w:hAnsi="Times New Roman" w:eastAsia="宋体" w:cs="Times New Roman"/>
                <w:b/>
                <w:color w:val="auto"/>
              </w:rPr>
              <w:t>环保投资估算</w:t>
            </w:r>
          </w:p>
          <w:p w14:paraId="7811B1E3">
            <w:pPr>
              <w:keepNext w:val="0"/>
              <w:keepLines w:val="0"/>
              <w:suppressLineNumbers w:val="0"/>
              <w:spacing w:before="0" w:beforeAutospacing="0" w:after="0" w:afterAutospacing="0" w:line="360" w:lineRule="auto"/>
              <w:ind w:left="0" w:right="0" w:firstLine="480" w:firstLineChars="200"/>
              <w:rPr>
                <w:rFonts w:ascii="Calibri" w:hAnsi="Calibri" w:eastAsia="宋体" w:cs="Times New Roman"/>
                <w:bCs/>
                <w:color w:val="auto"/>
                <w:sz w:val="24"/>
              </w:rPr>
            </w:pPr>
            <w:r>
              <w:rPr>
                <w:rFonts w:hint="eastAsia" w:ascii="Calibri" w:hAnsi="Calibri" w:eastAsia="宋体" w:cs="Times New Roman"/>
                <w:bCs/>
                <w:color w:val="auto"/>
                <w:sz w:val="24"/>
              </w:rPr>
              <w:t>根据项目特点，项目各项环保措施投资，详见表4-17。</w:t>
            </w:r>
          </w:p>
          <w:p w14:paraId="304B4ACE">
            <w:pPr>
              <w:keepNext/>
              <w:keepLines/>
              <w:pageBreakBefore/>
              <w:suppressLineNumbers w:val="0"/>
              <w:spacing w:before="0" w:beforeAutospacing="0" w:after="0" w:afterAutospacing="0"/>
              <w:ind w:left="0" w:right="0" w:firstLine="480"/>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w:t>
            </w:r>
            <w:r>
              <w:rPr>
                <w:rFonts w:hint="eastAsia" w:ascii="Times New Roman" w:hAnsi="Times New Roman" w:eastAsia="宋体" w:cs="Times New Roman"/>
                <w:b/>
                <w:bCs/>
                <w:color w:val="auto"/>
                <w:sz w:val="24"/>
              </w:rPr>
              <w:t>4-17</w:t>
            </w:r>
            <w:r>
              <w:rPr>
                <w:rFonts w:ascii="Times New Roman" w:hAnsi="Times New Roman" w:eastAsia="宋体" w:cs="Times New Roman"/>
                <w:b/>
                <w:bCs/>
                <w:color w:val="auto"/>
                <w:sz w:val="24"/>
              </w:rPr>
              <w:t xml:space="preserve">  项目环保投资估算一览表</w:t>
            </w:r>
          </w:p>
          <w:tbl>
            <w:tblPr>
              <w:tblStyle w:val="26"/>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46"/>
              <w:gridCol w:w="1642"/>
              <w:gridCol w:w="4243"/>
              <w:gridCol w:w="1975"/>
            </w:tblGrid>
            <w:tr w14:paraId="444AE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86" w:type="pct"/>
                  <w:noWrap w:val="0"/>
                  <w:vAlign w:val="center"/>
                </w:tcPr>
                <w:p w14:paraId="4D9BFDF8">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rPr>
                    <w:t>时段</w:t>
                  </w:r>
                </w:p>
              </w:tc>
              <w:tc>
                <w:tcPr>
                  <w:tcW w:w="3379" w:type="pct"/>
                  <w:gridSpan w:val="2"/>
                  <w:noWrap w:val="0"/>
                  <w:vAlign w:val="center"/>
                </w:tcPr>
                <w:p w14:paraId="453673A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rPr>
                    <w:t>内容</w:t>
                  </w:r>
                </w:p>
              </w:tc>
              <w:tc>
                <w:tcPr>
                  <w:tcW w:w="1134" w:type="pct"/>
                  <w:noWrap w:val="0"/>
                  <w:vAlign w:val="center"/>
                </w:tcPr>
                <w:p w14:paraId="3DEB2077">
                  <w:pPr>
                    <w:pStyle w:val="22"/>
                    <w:keepNext w:val="0"/>
                    <w:keepLines w:val="0"/>
                    <w:suppressLineNumbers w:val="0"/>
                    <w:ind w:left="0" w:right="0"/>
                    <w:jc w:val="center"/>
                    <w:rPr>
                      <w:rFonts w:eastAsia="宋体" w:cs="Times New Roman"/>
                      <w:color w:val="auto"/>
                      <w:sz w:val="21"/>
                    </w:rPr>
                  </w:pPr>
                  <w:r>
                    <w:rPr>
                      <w:rFonts w:eastAsia="宋体" w:cs="Times New Roman"/>
                      <w:color w:val="auto"/>
                      <w:sz w:val="21"/>
                    </w:rPr>
                    <w:t>投资估算（万元）</w:t>
                  </w:r>
                </w:p>
              </w:tc>
            </w:tr>
            <w:tr w14:paraId="10AD1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3" w:hRule="atLeast"/>
                <w:jc w:val="center"/>
              </w:trPr>
              <w:tc>
                <w:tcPr>
                  <w:tcW w:w="486" w:type="pct"/>
                  <w:vMerge w:val="restart"/>
                  <w:noWrap w:val="0"/>
                  <w:vAlign w:val="center"/>
                </w:tcPr>
                <w:p w14:paraId="40B4A5AA">
                  <w:pPr>
                    <w:keepNext w:val="0"/>
                    <w:keepLines w:val="0"/>
                    <w:suppressLineNumbers w:val="0"/>
                    <w:spacing w:before="0" w:beforeAutospacing="0" w:after="0" w:afterAutospacing="0"/>
                    <w:ind w:left="0" w:right="0"/>
                    <w:jc w:val="center"/>
                    <w:rPr>
                      <w:rFonts w:hint="eastAsia" w:ascii="Calibri" w:hAnsi="宋体" w:eastAsia="宋体" w:cs="Times New Roman"/>
                      <w:color w:val="auto"/>
                    </w:rPr>
                  </w:pPr>
                  <w:r>
                    <w:rPr>
                      <w:rFonts w:hint="eastAsia" w:ascii="Calibri" w:hAnsi="宋体" w:eastAsia="宋体" w:cs="Times New Roman"/>
                      <w:color w:val="auto"/>
                    </w:rPr>
                    <w:t>施工期</w:t>
                  </w:r>
                </w:p>
              </w:tc>
              <w:tc>
                <w:tcPr>
                  <w:tcW w:w="943" w:type="pct"/>
                  <w:noWrap w:val="0"/>
                  <w:vAlign w:val="center"/>
                </w:tcPr>
                <w:p w14:paraId="107CEDEB">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ascii="Calibri" w:hAnsi="宋体" w:eastAsia="宋体" w:cs="Times New Roman"/>
                      <w:color w:val="auto"/>
                    </w:rPr>
                    <w:t>废气处理措施</w:t>
                  </w:r>
                </w:p>
              </w:tc>
              <w:tc>
                <w:tcPr>
                  <w:tcW w:w="2435" w:type="pct"/>
                  <w:noWrap w:val="0"/>
                  <w:vAlign w:val="center"/>
                </w:tcPr>
                <w:p w14:paraId="0E540D77">
                  <w:pPr>
                    <w:keepNext w:val="0"/>
                    <w:keepLines w:val="0"/>
                    <w:suppressLineNumbers w:val="0"/>
                    <w:tabs>
                      <w:tab w:val="left" w:pos="720"/>
                    </w:tabs>
                    <w:autoSpaceDE w:val="0"/>
                    <w:autoSpaceDN w:val="0"/>
                    <w:adjustRightInd w:val="0"/>
                    <w:spacing w:before="0" w:beforeAutospacing="0" w:after="0" w:afterAutospacing="0"/>
                    <w:ind w:left="0" w:right="0"/>
                    <w:jc w:val="center"/>
                    <w:rPr>
                      <w:rFonts w:hint="eastAsia" w:ascii="Calibri" w:hAnsi="宋体" w:eastAsia="宋体" w:cs="Times New Roman"/>
                      <w:color w:val="auto"/>
                    </w:rPr>
                  </w:pPr>
                  <w:r>
                    <w:rPr>
                      <w:rFonts w:hint="eastAsia" w:ascii="Calibri" w:hAnsi="Calibri" w:eastAsia="宋体" w:cs="Times New Roman"/>
                      <w:color w:val="auto"/>
                      <w:kern w:val="0"/>
                      <w:szCs w:val="21"/>
                      <w:lang w:bidi="he-IL"/>
                    </w:rPr>
                    <w:t>洒水、运输车辆加盖</w:t>
                  </w:r>
                  <w:r>
                    <w:rPr>
                      <w:rFonts w:hint="eastAsia" w:ascii="Calibri" w:hAnsi="Calibri" w:eastAsia="宋体" w:cs="Times New Roman"/>
                      <w:color w:val="auto"/>
                    </w:rPr>
                    <w:t>篷布</w:t>
                  </w:r>
                  <w:r>
                    <w:rPr>
                      <w:rFonts w:hint="eastAsia" w:ascii="Calibri" w:hAnsi="Calibri" w:eastAsia="宋体" w:cs="Times New Roman"/>
                      <w:color w:val="auto"/>
                      <w:kern w:val="0"/>
                      <w:szCs w:val="21"/>
                      <w:lang w:bidi="he-IL"/>
                    </w:rPr>
                    <w:t>、开挖湿式作业、设置围挡等</w:t>
                  </w:r>
                </w:p>
              </w:tc>
              <w:tc>
                <w:tcPr>
                  <w:tcW w:w="1134" w:type="pct"/>
                  <w:noWrap w:val="0"/>
                  <w:vAlign w:val="center"/>
                </w:tcPr>
                <w:p w14:paraId="3A5D5909">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1.0</w:t>
                  </w:r>
                </w:p>
              </w:tc>
            </w:tr>
            <w:tr w14:paraId="1C224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3" w:hRule="atLeast"/>
                <w:jc w:val="center"/>
              </w:trPr>
              <w:tc>
                <w:tcPr>
                  <w:tcW w:w="486" w:type="pct"/>
                  <w:vMerge w:val="continue"/>
                  <w:noWrap w:val="0"/>
                  <w:vAlign w:val="center"/>
                </w:tcPr>
                <w:p w14:paraId="00EAD81D">
                  <w:pPr>
                    <w:keepNext w:val="0"/>
                    <w:keepLines w:val="0"/>
                    <w:suppressLineNumbers w:val="0"/>
                    <w:spacing w:before="0" w:beforeAutospacing="0" w:after="0" w:afterAutospacing="0"/>
                    <w:ind w:left="0" w:right="0"/>
                    <w:jc w:val="center"/>
                    <w:rPr>
                      <w:rFonts w:ascii="Calibri" w:hAnsi="宋体" w:eastAsia="宋体" w:cs="Times New Roman"/>
                      <w:color w:val="auto"/>
                    </w:rPr>
                  </w:pPr>
                </w:p>
              </w:tc>
              <w:tc>
                <w:tcPr>
                  <w:tcW w:w="943" w:type="pct"/>
                  <w:noWrap w:val="0"/>
                  <w:vAlign w:val="center"/>
                </w:tcPr>
                <w:p w14:paraId="7CF933FF">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ascii="Calibri" w:hAnsi="宋体" w:eastAsia="宋体" w:cs="Times New Roman"/>
                      <w:color w:val="auto"/>
                    </w:rPr>
                    <w:t>废水处理措施</w:t>
                  </w:r>
                </w:p>
              </w:tc>
              <w:tc>
                <w:tcPr>
                  <w:tcW w:w="2435" w:type="pct"/>
                  <w:noWrap w:val="0"/>
                  <w:vAlign w:val="center"/>
                </w:tcPr>
                <w:p w14:paraId="6CB5BBA9">
                  <w:pPr>
                    <w:keepNext w:val="0"/>
                    <w:keepLines w:val="0"/>
                    <w:suppressLineNumbers w:val="0"/>
                    <w:tabs>
                      <w:tab w:val="left" w:pos="720"/>
                    </w:tabs>
                    <w:autoSpaceDE w:val="0"/>
                    <w:autoSpaceDN w:val="0"/>
                    <w:adjustRightInd w:val="0"/>
                    <w:spacing w:before="0" w:beforeAutospacing="0" w:after="0" w:afterAutospacing="0"/>
                    <w:ind w:left="0" w:right="0"/>
                    <w:jc w:val="center"/>
                    <w:rPr>
                      <w:rFonts w:hint="eastAsia" w:ascii="Calibri" w:hAnsi="宋体" w:eastAsia="宋体" w:cs="Times New Roman"/>
                      <w:color w:val="auto"/>
                    </w:rPr>
                  </w:pPr>
                  <w:r>
                    <w:rPr>
                      <w:rFonts w:hint="eastAsia" w:ascii="Calibri" w:hAnsi="Calibri" w:eastAsia="宋体" w:cs="Times New Roman"/>
                      <w:color w:val="auto"/>
                      <w:kern w:val="0"/>
                      <w:szCs w:val="21"/>
                      <w:lang w:bidi="he-IL"/>
                    </w:rPr>
                    <w:t>隔油沉淀池</w:t>
                  </w:r>
                </w:p>
              </w:tc>
              <w:tc>
                <w:tcPr>
                  <w:tcW w:w="1134" w:type="pct"/>
                  <w:noWrap w:val="0"/>
                  <w:vAlign w:val="center"/>
                </w:tcPr>
                <w:p w14:paraId="1F3064E8">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0.5</w:t>
                  </w:r>
                </w:p>
              </w:tc>
            </w:tr>
            <w:tr w14:paraId="3A6E0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3" w:hRule="atLeast"/>
                <w:jc w:val="center"/>
              </w:trPr>
              <w:tc>
                <w:tcPr>
                  <w:tcW w:w="486" w:type="pct"/>
                  <w:vMerge w:val="continue"/>
                  <w:noWrap w:val="0"/>
                  <w:vAlign w:val="center"/>
                </w:tcPr>
                <w:p w14:paraId="3387F9AC">
                  <w:pPr>
                    <w:keepNext w:val="0"/>
                    <w:keepLines w:val="0"/>
                    <w:suppressLineNumbers w:val="0"/>
                    <w:spacing w:before="0" w:beforeAutospacing="0" w:after="0" w:afterAutospacing="0"/>
                    <w:ind w:left="0" w:right="0"/>
                    <w:jc w:val="center"/>
                    <w:rPr>
                      <w:rFonts w:ascii="Calibri" w:hAnsi="宋体" w:eastAsia="宋体" w:cs="Times New Roman"/>
                      <w:color w:val="auto"/>
                    </w:rPr>
                  </w:pPr>
                </w:p>
              </w:tc>
              <w:tc>
                <w:tcPr>
                  <w:tcW w:w="943" w:type="pct"/>
                  <w:noWrap w:val="0"/>
                  <w:vAlign w:val="center"/>
                </w:tcPr>
                <w:p w14:paraId="572E83CC">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ascii="Calibri" w:hAnsi="宋体" w:eastAsia="宋体" w:cs="Times New Roman"/>
                      <w:color w:val="auto"/>
                    </w:rPr>
                    <w:t>降噪措施</w:t>
                  </w:r>
                </w:p>
              </w:tc>
              <w:tc>
                <w:tcPr>
                  <w:tcW w:w="2435" w:type="pct"/>
                  <w:noWrap w:val="0"/>
                  <w:vAlign w:val="center"/>
                </w:tcPr>
                <w:p w14:paraId="183F7CDA">
                  <w:pPr>
                    <w:keepNext w:val="0"/>
                    <w:keepLines w:val="0"/>
                    <w:suppressLineNumbers w:val="0"/>
                    <w:adjustRightInd w:val="0"/>
                    <w:snapToGrid w:val="0"/>
                    <w:spacing w:before="0" w:beforeAutospacing="0" w:after="0" w:afterAutospacing="0"/>
                    <w:ind w:left="0" w:right="0"/>
                    <w:jc w:val="center"/>
                    <w:rPr>
                      <w:rFonts w:hint="eastAsia" w:ascii="Calibri" w:hAnsi="宋体" w:eastAsia="宋体" w:cs="Times New Roman"/>
                      <w:color w:val="auto"/>
                    </w:rPr>
                  </w:pPr>
                  <w:r>
                    <w:rPr>
                      <w:rFonts w:hint="eastAsia" w:ascii="Calibri" w:hAnsi="Calibri" w:eastAsia="宋体" w:cs="Times New Roman"/>
                      <w:bCs/>
                      <w:color w:val="auto"/>
                      <w:spacing w:val="-10"/>
                      <w:szCs w:val="21"/>
                    </w:rPr>
                    <w:t>严格管理，合理安排施工时间，设置硬质围挡</w:t>
                  </w:r>
                </w:p>
              </w:tc>
              <w:tc>
                <w:tcPr>
                  <w:tcW w:w="1134" w:type="pct"/>
                  <w:noWrap w:val="0"/>
                  <w:vAlign w:val="center"/>
                </w:tcPr>
                <w:p w14:paraId="6A9629E2">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0.5</w:t>
                  </w:r>
                </w:p>
              </w:tc>
            </w:tr>
            <w:tr w14:paraId="37B34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3" w:hRule="atLeast"/>
                <w:jc w:val="center"/>
              </w:trPr>
              <w:tc>
                <w:tcPr>
                  <w:tcW w:w="486" w:type="pct"/>
                  <w:vMerge w:val="continue"/>
                  <w:noWrap w:val="0"/>
                  <w:vAlign w:val="center"/>
                </w:tcPr>
                <w:p w14:paraId="058A33D3">
                  <w:pPr>
                    <w:keepNext w:val="0"/>
                    <w:keepLines w:val="0"/>
                    <w:suppressLineNumbers w:val="0"/>
                    <w:spacing w:before="0" w:beforeAutospacing="0" w:after="0" w:afterAutospacing="0"/>
                    <w:ind w:left="0" w:right="0"/>
                    <w:jc w:val="center"/>
                    <w:rPr>
                      <w:rFonts w:ascii="Calibri" w:hAnsi="宋体" w:eastAsia="宋体" w:cs="Times New Roman"/>
                      <w:color w:val="auto"/>
                    </w:rPr>
                  </w:pPr>
                </w:p>
              </w:tc>
              <w:tc>
                <w:tcPr>
                  <w:tcW w:w="943" w:type="pct"/>
                  <w:noWrap w:val="0"/>
                  <w:vAlign w:val="center"/>
                </w:tcPr>
                <w:p w14:paraId="3BA72A98">
                  <w:pPr>
                    <w:pStyle w:val="90"/>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sz w:val="21"/>
                    </w:rPr>
                  </w:pPr>
                  <w:r>
                    <w:rPr>
                      <w:rFonts w:ascii="Times New Roman" w:hAnsi="宋体" w:eastAsia="宋体" w:cs="Times New Roman"/>
                      <w:color w:val="auto"/>
                      <w:sz w:val="21"/>
                    </w:rPr>
                    <w:t>固废处理</w:t>
                  </w:r>
                </w:p>
              </w:tc>
              <w:tc>
                <w:tcPr>
                  <w:tcW w:w="2435" w:type="pct"/>
                  <w:noWrap w:val="0"/>
                  <w:vAlign w:val="center"/>
                </w:tcPr>
                <w:p w14:paraId="62F06BE3">
                  <w:pPr>
                    <w:keepNext w:val="0"/>
                    <w:keepLines w:val="0"/>
                    <w:suppressLineNumbers w:val="0"/>
                    <w:tabs>
                      <w:tab w:val="left" w:pos="720"/>
                    </w:tabs>
                    <w:autoSpaceDE w:val="0"/>
                    <w:autoSpaceDN w:val="0"/>
                    <w:adjustRightInd w:val="0"/>
                    <w:spacing w:before="0" w:beforeAutospacing="0" w:after="0" w:afterAutospacing="0"/>
                    <w:ind w:left="0" w:right="0"/>
                    <w:jc w:val="center"/>
                    <w:rPr>
                      <w:rFonts w:hint="eastAsia" w:ascii="Calibri" w:hAnsi="宋体" w:eastAsia="宋体" w:cs="Times New Roman"/>
                      <w:color w:val="auto"/>
                    </w:rPr>
                  </w:pPr>
                  <w:r>
                    <w:rPr>
                      <w:rFonts w:hint="eastAsia" w:ascii="Calibri" w:hAnsi="Calibri" w:eastAsia="宋体" w:cs="Times New Roman"/>
                      <w:color w:val="auto"/>
                      <w:kern w:val="0"/>
                      <w:szCs w:val="21"/>
                      <w:lang w:bidi="he-IL"/>
                    </w:rPr>
                    <w:t>垃圾暂存点、建筑垃圾由市政部门清运处理</w:t>
                  </w:r>
                </w:p>
              </w:tc>
              <w:tc>
                <w:tcPr>
                  <w:tcW w:w="1134" w:type="pct"/>
                  <w:noWrap w:val="0"/>
                  <w:vAlign w:val="center"/>
                </w:tcPr>
                <w:p w14:paraId="41BA4675">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0.5</w:t>
                  </w:r>
                </w:p>
              </w:tc>
            </w:tr>
            <w:tr w14:paraId="7B100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6" w:hRule="atLeast"/>
                <w:jc w:val="center"/>
              </w:trPr>
              <w:tc>
                <w:tcPr>
                  <w:tcW w:w="486" w:type="pct"/>
                  <w:vMerge w:val="continue"/>
                  <w:noWrap w:val="0"/>
                  <w:vAlign w:val="center"/>
                </w:tcPr>
                <w:p w14:paraId="1D416514">
                  <w:pPr>
                    <w:keepNext w:val="0"/>
                    <w:keepLines w:val="0"/>
                    <w:suppressLineNumbers w:val="0"/>
                    <w:spacing w:before="0" w:beforeAutospacing="0" w:after="0" w:afterAutospacing="0"/>
                    <w:ind w:left="0" w:right="0"/>
                    <w:jc w:val="center"/>
                    <w:rPr>
                      <w:rFonts w:ascii="Calibri" w:hAnsi="宋体" w:eastAsia="宋体" w:cs="Times New Roman"/>
                      <w:color w:val="auto"/>
                    </w:rPr>
                  </w:pPr>
                </w:p>
              </w:tc>
              <w:tc>
                <w:tcPr>
                  <w:tcW w:w="943" w:type="pct"/>
                  <w:noWrap w:val="0"/>
                  <w:vAlign w:val="center"/>
                </w:tcPr>
                <w:p w14:paraId="62F5CDF8">
                  <w:pPr>
                    <w:pStyle w:val="90"/>
                    <w:keepNext w:val="0"/>
                    <w:keepLines w:val="0"/>
                    <w:suppressLineNumbers w:val="0"/>
                    <w:spacing w:before="0" w:beforeAutospacing="0" w:after="0" w:afterAutospacing="0" w:line="240" w:lineRule="auto"/>
                    <w:ind w:left="0" w:right="0" w:firstLine="0" w:firstLineChars="0"/>
                    <w:jc w:val="center"/>
                    <w:rPr>
                      <w:rFonts w:ascii="Times New Roman" w:hAnsi="宋体" w:eastAsia="宋体" w:cs="Times New Roman"/>
                      <w:color w:val="auto"/>
                      <w:sz w:val="21"/>
                    </w:rPr>
                  </w:pPr>
                  <w:r>
                    <w:rPr>
                      <w:rFonts w:hint="eastAsia" w:ascii="Times New Roman" w:hAnsi="宋体" w:eastAsia="宋体" w:cs="Times New Roman"/>
                      <w:color w:val="auto"/>
                      <w:sz w:val="21"/>
                    </w:rPr>
                    <w:t>生态措施</w:t>
                  </w:r>
                </w:p>
              </w:tc>
              <w:tc>
                <w:tcPr>
                  <w:tcW w:w="2435" w:type="pct"/>
                  <w:noWrap w:val="0"/>
                  <w:vAlign w:val="center"/>
                </w:tcPr>
                <w:p w14:paraId="55B83134">
                  <w:pPr>
                    <w:keepNext w:val="0"/>
                    <w:keepLines w:val="0"/>
                    <w:suppressLineNumbers w:val="0"/>
                    <w:tabs>
                      <w:tab w:val="left" w:pos="720"/>
                    </w:tabs>
                    <w:autoSpaceDE w:val="0"/>
                    <w:autoSpaceDN w:val="0"/>
                    <w:adjustRightInd w:val="0"/>
                    <w:spacing w:before="0" w:beforeAutospacing="0" w:after="0" w:afterAutospacing="0"/>
                    <w:ind w:left="0" w:right="0"/>
                    <w:jc w:val="center"/>
                    <w:rPr>
                      <w:rFonts w:ascii="Calibri" w:hAnsi="Calibri" w:eastAsia="宋体" w:cs="Times New Roman"/>
                      <w:color w:val="auto"/>
                      <w:kern w:val="0"/>
                      <w:szCs w:val="21"/>
                      <w:lang w:bidi="he-IL"/>
                    </w:rPr>
                  </w:pPr>
                  <w:r>
                    <w:rPr>
                      <w:rFonts w:hint="eastAsia" w:ascii="Calibri" w:hAnsi="Calibri" w:eastAsia="宋体" w:cs="Times New Roman"/>
                      <w:color w:val="auto"/>
                      <w:kern w:val="0"/>
                      <w:szCs w:val="21"/>
                      <w:lang w:bidi="he-IL"/>
                    </w:rPr>
                    <w:t>截排水沟等</w:t>
                  </w:r>
                </w:p>
              </w:tc>
              <w:tc>
                <w:tcPr>
                  <w:tcW w:w="1134" w:type="pct"/>
                  <w:noWrap w:val="0"/>
                  <w:vAlign w:val="center"/>
                </w:tcPr>
                <w:p w14:paraId="7F6EF818">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1.0</w:t>
                  </w:r>
                </w:p>
              </w:tc>
            </w:tr>
            <w:tr w14:paraId="67D3C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3" w:hRule="atLeast"/>
                <w:jc w:val="center"/>
              </w:trPr>
              <w:tc>
                <w:tcPr>
                  <w:tcW w:w="486" w:type="pct"/>
                  <w:vMerge w:val="restart"/>
                  <w:noWrap w:val="0"/>
                  <w:vAlign w:val="center"/>
                </w:tcPr>
                <w:p w14:paraId="36DDEB75">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rPr>
                    <w:t>营</w:t>
                  </w:r>
                </w:p>
                <w:p w14:paraId="5EB5C408">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rPr>
                    <w:t>运</w:t>
                  </w:r>
                </w:p>
                <w:p w14:paraId="7C0891F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rPr>
                    <w:t>期</w:t>
                  </w:r>
                </w:p>
              </w:tc>
              <w:tc>
                <w:tcPr>
                  <w:tcW w:w="943" w:type="pct"/>
                  <w:noWrap w:val="0"/>
                  <w:vAlign w:val="center"/>
                </w:tcPr>
                <w:p w14:paraId="09C9E8E1">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ascii="Calibri" w:hAnsi="宋体" w:eastAsia="宋体" w:cs="Times New Roman"/>
                      <w:color w:val="auto"/>
                    </w:rPr>
                    <w:t>废气处理措施</w:t>
                  </w:r>
                </w:p>
              </w:tc>
              <w:tc>
                <w:tcPr>
                  <w:tcW w:w="2435" w:type="pct"/>
                  <w:noWrap w:val="0"/>
                  <w:vAlign w:val="center"/>
                </w:tcPr>
                <w:p w14:paraId="4EFFE17E">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hint="eastAsia" w:ascii="Calibri" w:hAnsi="Calibri" w:eastAsia="宋体" w:cs="Times New Roman"/>
                      <w:color w:val="auto"/>
                    </w:rPr>
                    <w:t>生物除臭塔、排气筒、喷洒除臭剂</w:t>
                  </w:r>
                </w:p>
              </w:tc>
              <w:tc>
                <w:tcPr>
                  <w:tcW w:w="1134" w:type="pct"/>
                  <w:noWrap w:val="0"/>
                  <w:vAlign w:val="center"/>
                </w:tcPr>
                <w:p w14:paraId="3A7E73E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3.5</w:t>
                  </w:r>
                </w:p>
              </w:tc>
            </w:tr>
            <w:tr w14:paraId="592B0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70" w:hRule="atLeast"/>
                <w:jc w:val="center"/>
              </w:trPr>
              <w:tc>
                <w:tcPr>
                  <w:tcW w:w="486" w:type="pct"/>
                  <w:vMerge w:val="continue"/>
                  <w:noWrap w:val="0"/>
                  <w:vAlign w:val="center"/>
                </w:tcPr>
                <w:p w14:paraId="339782DA">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943" w:type="pct"/>
                  <w:noWrap w:val="0"/>
                  <w:vAlign w:val="center"/>
                </w:tcPr>
                <w:p w14:paraId="1F29A0B3">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ascii="Calibri" w:hAnsi="宋体" w:eastAsia="宋体" w:cs="Times New Roman"/>
                      <w:color w:val="auto"/>
                    </w:rPr>
                    <w:t>废水处理措施</w:t>
                  </w:r>
                </w:p>
              </w:tc>
              <w:tc>
                <w:tcPr>
                  <w:tcW w:w="2435" w:type="pct"/>
                  <w:noWrap w:val="0"/>
                  <w:vAlign w:val="center"/>
                </w:tcPr>
                <w:p w14:paraId="02DCE34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宋体" w:eastAsia="宋体" w:cs="Times New Roman"/>
                      <w:color w:val="auto"/>
                    </w:rPr>
                    <w:t>防渗旱厕、初期雨水沉淀池</w:t>
                  </w:r>
                </w:p>
              </w:tc>
              <w:tc>
                <w:tcPr>
                  <w:tcW w:w="1134" w:type="pct"/>
                  <w:noWrap w:val="0"/>
                  <w:vAlign w:val="center"/>
                </w:tcPr>
                <w:p w14:paraId="5A83E7D4">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0.5</w:t>
                  </w:r>
                </w:p>
              </w:tc>
            </w:tr>
            <w:tr w14:paraId="0DEAC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9" w:hRule="atLeast"/>
                <w:jc w:val="center"/>
              </w:trPr>
              <w:tc>
                <w:tcPr>
                  <w:tcW w:w="486" w:type="pct"/>
                  <w:vMerge w:val="continue"/>
                  <w:noWrap w:val="0"/>
                  <w:vAlign w:val="center"/>
                </w:tcPr>
                <w:p w14:paraId="0FE778B5">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943" w:type="pct"/>
                  <w:noWrap w:val="0"/>
                  <w:vAlign w:val="center"/>
                </w:tcPr>
                <w:p w14:paraId="089368E0">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ascii="Calibri" w:hAnsi="宋体" w:eastAsia="宋体" w:cs="Times New Roman"/>
                      <w:color w:val="auto"/>
                    </w:rPr>
                    <w:t>降噪措施</w:t>
                  </w:r>
                </w:p>
              </w:tc>
              <w:tc>
                <w:tcPr>
                  <w:tcW w:w="2435" w:type="pct"/>
                  <w:noWrap w:val="0"/>
                  <w:vAlign w:val="center"/>
                </w:tcPr>
                <w:p w14:paraId="37CE8918">
                  <w:pPr>
                    <w:keepNext w:val="0"/>
                    <w:keepLines w:val="0"/>
                    <w:suppressLineNumbers w:val="0"/>
                    <w:spacing w:before="0" w:beforeAutospacing="0" w:after="0" w:afterAutospacing="0"/>
                    <w:ind w:left="0" w:right="0"/>
                    <w:jc w:val="center"/>
                    <w:rPr>
                      <w:rFonts w:ascii="Calibri" w:hAnsi="Calibri" w:eastAsia="宋体" w:cs="Times New Roman"/>
                      <w:b/>
                      <w:bCs/>
                      <w:color w:val="auto"/>
                    </w:rPr>
                  </w:pPr>
                  <w:r>
                    <w:rPr>
                      <w:rFonts w:ascii="Calibri" w:hAnsi="宋体" w:eastAsia="宋体" w:cs="Times New Roman"/>
                      <w:color w:val="auto"/>
                    </w:rPr>
                    <w:t>减振</w:t>
                  </w:r>
                  <w:r>
                    <w:rPr>
                      <w:rFonts w:hint="eastAsia" w:ascii="Calibri" w:hAnsi="宋体" w:eastAsia="宋体" w:cs="Times New Roman"/>
                      <w:color w:val="auto"/>
                    </w:rPr>
                    <w:t>隔声</w:t>
                  </w:r>
                  <w:r>
                    <w:rPr>
                      <w:rFonts w:ascii="Calibri" w:hAnsi="宋体" w:eastAsia="宋体" w:cs="Times New Roman"/>
                      <w:color w:val="auto"/>
                    </w:rPr>
                    <w:t>措施</w:t>
                  </w:r>
                </w:p>
              </w:tc>
              <w:tc>
                <w:tcPr>
                  <w:tcW w:w="1134" w:type="pct"/>
                  <w:noWrap w:val="0"/>
                  <w:vAlign w:val="center"/>
                </w:tcPr>
                <w:p w14:paraId="4E8E179E">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0.3</w:t>
                  </w:r>
                </w:p>
              </w:tc>
            </w:tr>
            <w:tr w14:paraId="7F086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52" w:hRule="atLeast"/>
                <w:jc w:val="center"/>
              </w:trPr>
              <w:tc>
                <w:tcPr>
                  <w:tcW w:w="486" w:type="pct"/>
                  <w:vMerge w:val="continue"/>
                  <w:noWrap w:val="0"/>
                  <w:vAlign w:val="center"/>
                </w:tcPr>
                <w:p w14:paraId="506FBDD4">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943" w:type="pct"/>
                  <w:vMerge w:val="restart"/>
                  <w:noWrap w:val="0"/>
                  <w:vAlign w:val="center"/>
                </w:tcPr>
                <w:p w14:paraId="064DF25D">
                  <w:pPr>
                    <w:pStyle w:val="90"/>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sz w:val="21"/>
                    </w:rPr>
                  </w:pPr>
                  <w:r>
                    <w:rPr>
                      <w:rFonts w:ascii="Times New Roman" w:hAnsi="宋体" w:eastAsia="宋体" w:cs="Times New Roman"/>
                      <w:color w:val="auto"/>
                      <w:sz w:val="21"/>
                    </w:rPr>
                    <w:t>固废处理</w:t>
                  </w:r>
                </w:p>
              </w:tc>
              <w:tc>
                <w:tcPr>
                  <w:tcW w:w="2435" w:type="pct"/>
                  <w:noWrap w:val="0"/>
                  <w:vAlign w:val="center"/>
                </w:tcPr>
                <w:p w14:paraId="4817ABDB">
                  <w:pPr>
                    <w:pStyle w:val="90"/>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rPr>
                  </w:pPr>
                  <w:r>
                    <w:rPr>
                      <w:rFonts w:ascii="Times New Roman" w:hAnsi="宋体" w:eastAsia="宋体" w:cs="Times New Roman"/>
                      <w:color w:val="auto"/>
                      <w:sz w:val="21"/>
                    </w:rPr>
                    <w:t>生活垃圾收集装置</w:t>
                  </w:r>
                </w:p>
              </w:tc>
              <w:tc>
                <w:tcPr>
                  <w:tcW w:w="1134" w:type="pct"/>
                  <w:noWrap w:val="0"/>
                  <w:vAlign w:val="center"/>
                </w:tcPr>
                <w:p w14:paraId="45157B8F">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0.1</w:t>
                  </w:r>
                </w:p>
              </w:tc>
            </w:tr>
            <w:tr w14:paraId="2BF97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52" w:hRule="atLeast"/>
                <w:jc w:val="center"/>
              </w:trPr>
              <w:tc>
                <w:tcPr>
                  <w:tcW w:w="486" w:type="pct"/>
                  <w:vMerge w:val="continue"/>
                  <w:noWrap w:val="0"/>
                  <w:vAlign w:val="center"/>
                </w:tcPr>
                <w:p w14:paraId="32BA3976">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943" w:type="pct"/>
                  <w:vMerge w:val="continue"/>
                  <w:noWrap w:val="0"/>
                  <w:vAlign w:val="center"/>
                </w:tcPr>
                <w:p w14:paraId="2EBCC77B">
                  <w:pPr>
                    <w:pStyle w:val="90"/>
                    <w:keepNext w:val="0"/>
                    <w:keepLines w:val="0"/>
                    <w:suppressLineNumbers w:val="0"/>
                    <w:spacing w:before="0" w:beforeAutospacing="0" w:after="0" w:afterAutospacing="0" w:line="240" w:lineRule="auto"/>
                    <w:ind w:left="0" w:right="0" w:firstLine="0" w:firstLineChars="0"/>
                    <w:jc w:val="center"/>
                    <w:rPr>
                      <w:rFonts w:ascii="Times New Roman" w:hAnsi="宋体" w:eastAsia="宋体" w:cs="Times New Roman"/>
                      <w:color w:val="auto"/>
                      <w:sz w:val="21"/>
                    </w:rPr>
                  </w:pPr>
                </w:p>
              </w:tc>
              <w:tc>
                <w:tcPr>
                  <w:tcW w:w="2435" w:type="pct"/>
                  <w:noWrap w:val="0"/>
                  <w:vAlign w:val="center"/>
                </w:tcPr>
                <w:p w14:paraId="2154CCFD">
                  <w:pPr>
                    <w:pStyle w:val="90"/>
                    <w:keepNext w:val="0"/>
                    <w:keepLines w:val="0"/>
                    <w:suppressLineNumbers w:val="0"/>
                    <w:spacing w:before="0" w:beforeAutospacing="0" w:after="0" w:afterAutospacing="0" w:line="240" w:lineRule="auto"/>
                    <w:ind w:left="0" w:right="0" w:firstLine="0" w:firstLineChars="0"/>
                    <w:jc w:val="center"/>
                    <w:rPr>
                      <w:rFonts w:hint="eastAsia" w:ascii="Times New Roman" w:hAnsi="宋体" w:eastAsia="宋体" w:cs="Times New Roman"/>
                      <w:color w:val="auto"/>
                      <w:sz w:val="21"/>
                    </w:rPr>
                  </w:pPr>
                  <w:r>
                    <w:rPr>
                      <w:rFonts w:hint="eastAsia" w:ascii="Times New Roman" w:hAnsi="宋体" w:eastAsia="宋体" w:cs="Times New Roman"/>
                      <w:color w:val="auto"/>
                      <w:sz w:val="21"/>
                    </w:rPr>
                    <w:t>危废贮存点</w:t>
                  </w:r>
                </w:p>
              </w:tc>
              <w:tc>
                <w:tcPr>
                  <w:tcW w:w="1134" w:type="pct"/>
                  <w:noWrap w:val="0"/>
                  <w:vAlign w:val="center"/>
                </w:tcPr>
                <w:p w14:paraId="55A0595B">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0.5</w:t>
                  </w:r>
                </w:p>
              </w:tc>
            </w:tr>
            <w:tr w14:paraId="2470D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3" w:hRule="atLeast"/>
                <w:jc w:val="center"/>
              </w:trPr>
              <w:tc>
                <w:tcPr>
                  <w:tcW w:w="486" w:type="pct"/>
                  <w:vMerge w:val="continue"/>
                  <w:noWrap w:val="0"/>
                  <w:vAlign w:val="center"/>
                </w:tcPr>
                <w:p w14:paraId="024B9502">
                  <w:pPr>
                    <w:keepNext w:val="0"/>
                    <w:keepLines w:val="0"/>
                    <w:widowControl/>
                    <w:suppressLineNumbers w:val="0"/>
                    <w:spacing w:before="0" w:beforeAutospacing="0" w:after="0" w:afterAutospacing="0"/>
                    <w:ind w:left="0" w:right="0"/>
                    <w:rPr>
                      <w:rFonts w:ascii="Calibri" w:hAnsi="Calibri" w:eastAsia="宋体" w:cs="Times New Roman"/>
                      <w:color w:val="auto"/>
                    </w:rPr>
                  </w:pPr>
                </w:p>
              </w:tc>
              <w:tc>
                <w:tcPr>
                  <w:tcW w:w="943" w:type="pct"/>
                  <w:vMerge w:val="continue"/>
                  <w:noWrap w:val="0"/>
                  <w:vAlign w:val="center"/>
                </w:tcPr>
                <w:p w14:paraId="763C9FE2">
                  <w:pPr>
                    <w:pStyle w:val="90"/>
                    <w:keepNext w:val="0"/>
                    <w:keepLines w:val="0"/>
                    <w:suppressLineNumbers w:val="0"/>
                    <w:spacing w:before="0" w:beforeAutospacing="0" w:after="0" w:afterAutospacing="0" w:line="240" w:lineRule="auto"/>
                    <w:ind w:left="0" w:right="0" w:firstLine="0" w:firstLineChars="0"/>
                    <w:jc w:val="center"/>
                    <w:rPr>
                      <w:rFonts w:ascii="Times New Roman" w:hAnsi="宋体" w:eastAsia="宋体" w:cs="Times New Roman"/>
                      <w:color w:val="auto"/>
                      <w:sz w:val="21"/>
                    </w:rPr>
                  </w:pPr>
                </w:p>
              </w:tc>
              <w:tc>
                <w:tcPr>
                  <w:tcW w:w="2435" w:type="pct"/>
                  <w:noWrap w:val="0"/>
                  <w:vAlign w:val="center"/>
                </w:tcPr>
                <w:p w14:paraId="53682C36">
                  <w:pPr>
                    <w:pStyle w:val="90"/>
                    <w:keepNext w:val="0"/>
                    <w:keepLines w:val="0"/>
                    <w:suppressLineNumbers w:val="0"/>
                    <w:spacing w:before="0" w:beforeAutospacing="0" w:after="0" w:afterAutospacing="0" w:line="240" w:lineRule="auto"/>
                    <w:ind w:left="0" w:right="0" w:firstLine="0" w:firstLineChars="0"/>
                    <w:jc w:val="center"/>
                    <w:rPr>
                      <w:rFonts w:hint="eastAsia" w:ascii="Times New Roman" w:hAnsi="宋体" w:eastAsia="宋体" w:cs="Times New Roman"/>
                      <w:color w:val="auto"/>
                      <w:sz w:val="21"/>
                    </w:rPr>
                  </w:pPr>
                  <w:r>
                    <w:rPr>
                      <w:rFonts w:hint="eastAsia" w:ascii="Times New Roman" w:hAnsi="宋体" w:eastAsia="宋体" w:cs="Times New Roman"/>
                      <w:color w:val="auto"/>
                      <w:sz w:val="21"/>
                    </w:rPr>
                    <w:t>一般固废暂存间</w:t>
                  </w:r>
                </w:p>
              </w:tc>
              <w:tc>
                <w:tcPr>
                  <w:tcW w:w="1134" w:type="pct"/>
                  <w:noWrap w:val="0"/>
                  <w:vAlign w:val="center"/>
                </w:tcPr>
                <w:p w14:paraId="473B2ABE">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0.5</w:t>
                  </w:r>
                </w:p>
              </w:tc>
            </w:tr>
            <w:tr w14:paraId="3D7FC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3865" w:type="pct"/>
                  <w:gridSpan w:val="3"/>
                  <w:noWrap w:val="0"/>
                  <w:vAlign w:val="center"/>
                </w:tcPr>
                <w:p w14:paraId="1CFB85F9">
                  <w:pPr>
                    <w:pStyle w:val="90"/>
                    <w:keepNext w:val="0"/>
                    <w:keepLines w:val="0"/>
                    <w:suppressLineNumbers w:val="0"/>
                    <w:spacing w:before="0" w:beforeAutospacing="0" w:after="0" w:afterAutospacing="0" w:line="240" w:lineRule="auto"/>
                    <w:ind w:left="0" w:right="0" w:firstLine="0" w:firstLineChars="0"/>
                    <w:jc w:val="center"/>
                    <w:rPr>
                      <w:rFonts w:ascii="Times New Roman" w:hAnsi="Times New Roman" w:eastAsia="宋体" w:cs="Times New Roman"/>
                      <w:color w:val="auto"/>
                      <w:sz w:val="21"/>
                    </w:rPr>
                  </w:pPr>
                  <w:r>
                    <w:rPr>
                      <w:rFonts w:hint="eastAsia" w:ascii="Times New Roman" w:hAnsi="宋体" w:eastAsia="宋体" w:cs="Times New Roman"/>
                      <w:color w:val="auto"/>
                      <w:sz w:val="21"/>
                    </w:rPr>
                    <w:t>环境管理与监测环保设施运行与维护</w:t>
                  </w:r>
                  <w:r>
                    <w:rPr>
                      <w:rFonts w:ascii="Times New Roman" w:hAnsi="宋体" w:eastAsia="宋体" w:cs="Times New Roman"/>
                      <w:color w:val="auto"/>
                      <w:sz w:val="21"/>
                    </w:rPr>
                    <w:t>等</w:t>
                  </w:r>
                </w:p>
              </w:tc>
              <w:tc>
                <w:tcPr>
                  <w:tcW w:w="1134" w:type="pct"/>
                  <w:noWrap w:val="0"/>
                  <w:vAlign w:val="center"/>
                </w:tcPr>
                <w:p w14:paraId="43AAB147">
                  <w:pPr>
                    <w:keepNext w:val="0"/>
                    <w:keepLines w:val="0"/>
                    <w:suppressLineNumbers w:val="0"/>
                    <w:spacing w:before="0" w:beforeAutospacing="0" w:after="0" w:afterAutospacing="0"/>
                    <w:ind w:left="0" w:right="0"/>
                    <w:jc w:val="center"/>
                    <w:rPr>
                      <w:rFonts w:hint="eastAsia" w:ascii="Calibri" w:hAnsi="Calibri" w:eastAsia="宋体" w:cs="Times New Roman"/>
                      <w:color w:val="auto"/>
                    </w:rPr>
                  </w:pPr>
                  <w:r>
                    <w:rPr>
                      <w:rFonts w:hint="eastAsia" w:ascii="Calibri" w:hAnsi="Calibri" w:eastAsia="宋体" w:cs="Times New Roman"/>
                      <w:color w:val="auto"/>
                    </w:rPr>
                    <w:t>5</w:t>
                  </w:r>
                </w:p>
              </w:tc>
            </w:tr>
            <w:tr w14:paraId="7EA24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1" w:hRule="atLeast"/>
                <w:jc w:val="center"/>
              </w:trPr>
              <w:tc>
                <w:tcPr>
                  <w:tcW w:w="3865" w:type="pct"/>
                  <w:gridSpan w:val="3"/>
                  <w:noWrap w:val="0"/>
                  <w:vAlign w:val="center"/>
                </w:tcPr>
                <w:p w14:paraId="0522D873">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ascii="Calibri" w:hAnsi="宋体" w:eastAsia="宋体" w:cs="Times New Roman"/>
                      <w:color w:val="auto"/>
                    </w:rPr>
                    <w:t>总计</w:t>
                  </w:r>
                </w:p>
              </w:tc>
              <w:tc>
                <w:tcPr>
                  <w:tcW w:w="1134" w:type="pct"/>
                  <w:noWrap w:val="0"/>
                  <w:vAlign w:val="center"/>
                </w:tcPr>
                <w:p w14:paraId="3E226D2A">
                  <w:pPr>
                    <w:keepNext w:val="0"/>
                    <w:keepLines w:val="0"/>
                    <w:suppressLineNumbers w:val="0"/>
                    <w:spacing w:before="0" w:beforeAutospacing="0" w:after="0" w:afterAutospacing="0"/>
                    <w:ind w:left="0" w:right="0"/>
                    <w:jc w:val="center"/>
                    <w:rPr>
                      <w:rFonts w:ascii="Calibri" w:hAnsi="Calibri" w:eastAsia="宋体" w:cs="Times New Roman"/>
                      <w:color w:val="auto"/>
                    </w:rPr>
                  </w:pPr>
                  <w:r>
                    <w:rPr>
                      <w:rFonts w:hint="eastAsia" w:ascii="Calibri" w:hAnsi="Calibri" w:eastAsia="宋体" w:cs="Times New Roman"/>
                      <w:color w:val="auto"/>
                    </w:rPr>
                    <w:t>13.9</w:t>
                  </w:r>
                </w:p>
              </w:tc>
            </w:tr>
          </w:tbl>
          <w:p w14:paraId="29BB3C46">
            <w:pPr>
              <w:keepNext w:val="0"/>
              <w:keepLines w:val="0"/>
              <w:suppressLineNumbers w:val="0"/>
              <w:spacing w:before="120" w:beforeLines="50" w:beforeAutospacing="0" w:after="0" w:afterAutospacing="0" w:line="360" w:lineRule="auto"/>
              <w:ind w:left="0" w:right="0" w:firstLine="480" w:firstLineChars="200"/>
              <w:rPr>
                <w:rFonts w:ascii="Calibri" w:hAnsi="Calibri" w:eastAsia="宋体" w:cs="Times New Roman"/>
                <w:bCs/>
                <w:color w:val="auto"/>
                <w:sz w:val="24"/>
              </w:rPr>
            </w:pPr>
            <w:r>
              <w:rPr>
                <w:rFonts w:ascii="Calibri" w:hAnsi="宋体" w:eastAsia="宋体" w:cs="Times New Roman"/>
                <w:color w:val="auto"/>
                <w:sz w:val="24"/>
              </w:rPr>
              <w:t>项目的环保总投资估算为</w:t>
            </w:r>
            <w:r>
              <w:rPr>
                <w:rFonts w:hint="eastAsia" w:ascii="Calibri" w:hAnsi="宋体" w:eastAsia="宋体" w:cs="Times New Roman"/>
                <w:color w:val="auto"/>
                <w:sz w:val="24"/>
              </w:rPr>
              <w:t>13.9</w:t>
            </w:r>
            <w:r>
              <w:rPr>
                <w:rFonts w:ascii="Calibri" w:hAnsi="宋体" w:eastAsia="宋体" w:cs="Times New Roman"/>
                <w:color w:val="auto"/>
                <w:sz w:val="24"/>
              </w:rPr>
              <w:t>万元，占项目总投资</w:t>
            </w:r>
            <w:r>
              <w:rPr>
                <w:rFonts w:hint="eastAsia" w:ascii="Calibri" w:hAnsi="宋体" w:eastAsia="宋体" w:cs="Times New Roman"/>
                <w:color w:val="auto"/>
                <w:sz w:val="24"/>
              </w:rPr>
              <w:t>5</w:t>
            </w:r>
            <w:r>
              <w:rPr>
                <w:rFonts w:hint="eastAsia" w:ascii="Calibri" w:hAnsi="Calibri" w:eastAsia="宋体" w:cs="Times New Roman"/>
                <w:color w:val="auto"/>
                <w:sz w:val="24"/>
              </w:rPr>
              <w:t>0</w:t>
            </w:r>
            <w:r>
              <w:rPr>
                <w:rFonts w:ascii="Calibri" w:hAnsi="宋体" w:eastAsia="宋体" w:cs="Times New Roman"/>
                <w:color w:val="auto"/>
                <w:sz w:val="24"/>
              </w:rPr>
              <w:t>万元的</w:t>
            </w:r>
            <w:r>
              <w:rPr>
                <w:rFonts w:hint="eastAsia" w:ascii="Calibri" w:hAnsi="Calibri" w:eastAsia="宋体" w:cs="Times New Roman"/>
                <w:color w:val="auto"/>
                <w:sz w:val="24"/>
              </w:rPr>
              <w:t>27.8</w:t>
            </w:r>
            <w:r>
              <w:rPr>
                <w:rFonts w:ascii="Calibri" w:hAnsi="Calibri" w:eastAsia="宋体" w:cs="Times New Roman"/>
                <w:color w:val="auto"/>
                <w:sz w:val="24"/>
              </w:rPr>
              <w:t>%</w:t>
            </w:r>
            <w:r>
              <w:rPr>
                <w:rFonts w:ascii="Calibri" w:hAnsi="宋体" w:eastAsia="宋体" w:cs="Times New Roman"/>
                <w:color w:val="auto"/>
                <w:sz w:val="24"/>
              </w:rPr>
              <w:t>。该部分环保投资的投入，</w:t>
            </w:r>
            <w:r>
              <w:rPr>
                <w:rFonts w:hint="eastAsia" w:ascii="Calibri" w:hAnsi="宋体" w:eastAsia="宋体" w:cs="Times New Roman"/>
                <w:color w:val="auto"/>
                <w:sz w:val="24"/>
                <w:lang w:eastAsia="zh-CN"/>
              </w:rPr>
              <w:t>减少</w:t>
            </w:r>
            <w:r>
              <w:rPr>
                <w:rFonts w:ascii="Calibri" w:hAnsi="宋体" w:eastAsia="宋体" w:cs="Times New Roman"/>
                <w:color w:val="auto"/>
                <w:sz w:val="24"/>
              </w:rPr>
              <w:t>了项目建设造成的环境影响，并可为</w:t>
            </w:r>
            <w:r>
              <w:rPr>
                <w:rFonts w:hint="eastAsia" w:ascii="Calibri" w:hAnsi="宋体" w:eastAsia="宋体" w:cs="Times New Roman"/>
                <w:color w:val="auto"/>
                <w:sz w:val="24"/>
              </w:rPr>
              <w:t>当</w:t>
            </w:r>
            <w:r>
              <w:rPr>
                <w:rFonts w:hint="eastAsia" w:ascii="Calibri" w:hAnsi="宋体" w:eastAsia="宋体" w:cs="Times New Roman"/>
                <w:color w:val="auto"/>
                <w:sz w:val="24"/>
                <w:lang w:eastAsia="zh-CN"/>
              </w:rPr>
              <w:t>地市</w:t>
            </w:r>
            <w:r>
              <w:rPr>
                <w:rFonts w:ascii="Calibri" w:hAnsi="宋体" w:eastAsia="宋体" w:cs="Times New Roman"/>
                <w:color w:val="auto"/>
                <w:sz w:val="24"/>
              </w:rPr>
              <w:t>场创造良好的生产环境</w:t>
            </w:r>
            <w:r>
              <w:rPr>
                <w:rFonts w:hint="eastAsia" w:ascii="Calibri" w:hAnsi="宋体" w:eastAsia="宋体" w:cs="Times New Roman"/>
                <w:color w:val="auto"/>
                <w:sz w:val="24"/>
                <w:lang w:eastAsia="zh-CN"/>
              </w:rPr>
              <w:t>和可</w:t>
            </w:r>
            <w:r>
              <w:rPr>
                <w:rFonts w:ascii="Calibri" w:hAnsi="宋体" w:eastAsia="宋体" w:cs="Times New Roman"/>
                <w:color w:val="auto"/>
                <w:sz w:val="24"/>
              </w:rPr>
              <w:t>持续发展条件。</w:t>
            </w:r>
          </w:p>
          <w:p w14:paraId="451B98C5">
            <w:pPr>
              <w:keepNext w:val="0"/>
              <w:keepLines w:val="0"/>
              <w:suppressLineNumbers w:val="0"/>
              <w:spacing w:before="0" w:beforeAutospacing="0" w:after="0" w:afterAutospacing="0" w:line="360" w:lineRule="auto"/>
              <w:ind w:left="0" w:right="0"/>
              <w:jc w:val="left"/>
              <w:rPr>
                <w:rFonts w:hint="eastAsia" w:ascii="Calibri" w:hAnsi="Calibri" w:eastAsia="宋体" w:cs="Times New Roman"/>
                <w:b/>
                <w:color w:val="auto"/>
                <w:sz w:val="24"/>
              </w:rPr>
            </w:pPr>
            <w:r>
              <w:rPr>
                <w:rFonts w:hint="eastAsia" w:ascii="Calibri" w:hAnsi="Calibri" w:eastAsia="宋体" w:cs="Times New Roman"/>
                <w:b/>
                <w:color w:val="auto"/>
                <w:sz w:val="24"/>
              </w:rPr>
              <w:t>八、环境管理及监测计划</w:t>
            </w:r>
          </w:p>
          <w:p w14:paraId="61E8DDEF">
            <w:pPr>
              <w:keepNext w:val="0"/>
              <w:keepLines w:val="0"/>
              <w:suppressLineNumbers w:val="0"/>
              <w:autoSpaceDE w:val="0"/>
              <w:autoSpaceDN w:val="0"/>
              <w:spacing w:before="0" w:beforeAutospacing="0" w:after="0" w:afterAutospacing="0" w:line="360" w:lineRule="auto"/>
              <w:ind w:left="0" w:right="0" w:firstLine="480"/>
              <w:jc w:val="left"/>
              <w:rPr>
                <w:rFonts w:ascii="Calibri" w:hAnsi="Calibri" w:eastAsia="宋体" w:cs="Times New Roman"/>
                <w:color w:val="auto"/>
                <w:kern w:val="0"/>
                <w:sz w:val="24"/>
              </w:rPr>
            </w:pPr>
            <w:r>
              <w:rPr>
                <w:rFonts w:ascii="Calibri" w:hAnsi="宋体" w:eastAsia="宋体" w:cs="Times New Roman"/>
                <w:color w:val="auto"/>
                <w:kern w:val="0"/>
                <w:sz w:val="24"/>
              </w:rPr>
              <w:t>（</w:t>
            </w:r>
            <w:r>
              <w:rPr>
                <w:rFonts w:ascii="Calibri" w:hAnsi="Calibri" w:eastAsia="宋体" w:cs="Times New Roman"/>
                <w:color w:val="auto"/>
                <w:kern w:val="0"/>
                <w:sz w:val="24"/>
              </w:rPr>
              <w:t>1</w:t>
            </w:r>
            <w:r>
              <w:rPr>
                <w:rFonts w:ascii="Calibri" w:hAnsi="宋体" w:eastAsia="宋体" w:cs="Times New Roman"/>
                <w:color w:val="auto"/>
                <w:kern w:val="0"/>
                <w:sz w:val="24"/>
              </w:rPr>
              <w:t>）环境管理</w:t>
            </w:r>
          </w:p>
          <w:p w14:paraId="5E65E5EF">
            <w:pPr>
              <w:keepNext w:val="0"/>
              <w:keepLines w:val="0"/>
              <w:suppressLineNumbers w:val="0"/>
              <w:autoSpaceDE w:val="0"/>
              <w:autoSpaceDN w:val="0"/>
              <w:spacing w:before="0" w:beforeAutospacing="0" w:after="0" w:afterAutospacing="0" w:line="360" w:lineRule="auto"/>
              <w:ind w:left="0" w:right="0" w:firstLine="480"/>
              <w:jc w:val="left"/>
              <w:rPr>
                <w:rFonts w:ascii="Calibri" w:hAnsi="Calibri" w:eastAsia="宋体" w:cs="Times New Roman"/>
                <w:color w:val="auto"/>
                <w:kern w:val="0"/>
                <w:sz w:val="24"/>
              </w:rPr>
            </w:pPr>
            <w:r>
              <w:rPr>
                <w:rFonts w:ascii="宋体" w:hAnsi="宋体" w:eastAsia="宋体" w:cs="Times New Roman"/>
                <w:color w:val="auto"/>
                <w:kern w:val="0"/>
                <w:sz w:val="24"/>
              </w:rPr>
              <w:t>①</w:t>
            </w:r>
            <w:r>
              <w:rPr>
                <w:rFonts w:hint="eastAsia" w:ascii="宋体" w:hAnsi="宋体" w:eastAsia="宋体" w:cs="Times New Roman"/>
                <w:color w:val="auto"/>
                <w:kern w:val="0"/>
                <w:sz w:val="24"/>
              </w:rPr>
              <w:t>厂内</w:t>
            </w:r>
            <w:r>
              <w:rPr>
                <w:rFonts w:ascii="Calibri" w:hAnsi="宋体" w:eastAsia="宋体" w:cs="Times New Roman"/>
                <w:color w:val="auto"/>
                <w:kern w:val="0"/>
                <w:sz w:val="24"/>
              </w:rPr>
              <w:t>设置环境管理部门及环境管理人员，提高环境管理人员的环保素质和意识；加强环境保护宣传教育，</w:t>
            </w:r>
            <w:r>
              <w:rPr>
                <w:rFonts w:hint="eastAsia" w:ascii="Calibri" w:hAnsi="宋体" w:eastAsia="宋体" w:cs="Times New Roman"/>
                <w:color w:val="auto"/>
                <w:kern w:val="0"/>
                <w:sz w:val="24"/>
                <w:lang w:eastAsia="zh-CN"/>
              </w:rPr>
              <w:t>增强</w:t>
            </w:r>
            <w:r>
              <w:rPr>
                <w:rFonts w:ascii="Calibri" w:hAnsi="宋体" w:eastAsia="宋体" w:cs="Times New Roman"/>
                <w:color w:val="auto"/>
                <w:kern w:val="0"/>
                <w:sz w:val="24"/>
              </w:rPr>
              <w:t>职工环保意识。</w:t>
            </w:r>
          </w:p>
          <w:p w14:paraId="4683DF8E">
            <w:pPr>
              <w:keepNext w:val="0"/>
              <w:keepLines w:val="0"/>
              <w:suppressLineNumbers w:val="0"/>
              <w:autoSpaceDE w:val="0"/>
              <w:autoSpaceDN w:val="0"/>
              <w:spacing w:before="0" w:beforeAutospacing="0" w:after="0" w:afterAutospacing="0" w:line="360" w:lineRule="auto"/>
              <w:ind w:left="0" w:right="0" w:firstLine="480"/>
              <w:jc w:val="left"/>
              <w:rPr>
                <w:rFonts w:ascii="Calibri" w:hAnsi="Calibri" w:eastAsia="宋体" w:cs="Times New Roman"/>
                <w:color w:val="auto"/>
                <w:kern w:val="0"/>
                <w:sz w:val="24"/>
              </w:rPr>
            </w:pPr>
            <w:r>
              <w:rPr>
                <w:rFonts w:ascii="宋体" w:hAnsi="宋体" w:eastAsia="宋体" w:cs="Times New Roman"/>
                <w:color w:val="auto"/>
                <w:kern w:val="0"/>
                <w:sz w:val="24"/>
              </w:rPr>
              <w:t>②</w:t>
            </w:r>
            <w:r>
              <w:rPr>
                <w:rFonts w:ascii="Calibri" w:hAnsi="宋体" w:eastAsia="宋体" w:cs="Times New Roman"/>
                <w:color w:val="auto"/>
                <w:kern w:val="0"/>
                <w:sz w:val="24"/>
              </w:rPr>
              <w:t>严格执行环境影响评价制度和</w:t>
            </w:r>
            <w:r>
              <w:rPr>
                <w:rFonts w:ascii="Calibri" w:hAnsi="Calibri" w:eastAsia="宋体" w:cs="Times New Roman"/>
                <w:color w:val="auto"/>
                <w:kern w:val="0"/>
                <w:sz w:val="24"/>
              </w:rPr>
              <w:t>“</w:t>
            </w:r>
            <w:r>
              <w:rPr>
                <w:rFonts w:ascii="Calibri" w:hAnsi="宋体" w:eastAsia="宋体" w:cs="Times New Roman"/>
                <w:color w:val="auto"/>
                <w:kern w:val="0"/>
                <w:sz w:val="24"/>
              </w:rPr>
              <w:t>三同时</w:t>
            </w:r>
            <w:r>
              <w:rPr>
                <w:rFonts w:ascii="Calibri" w:hAnsi="Calibri" w:eastAsia="宋体" w:cs="Times New Roman"/>
                <w:color w:val="auto"/>
                <w:kern w:val="0"/>
                <w:sz w:val="24"/>
              </w:rPr>
              <w:t>”</w:t>
            </w:r>
            <w:r>
              <w:rPr>
                <w:rFonts w:ascii="Calibri" w:hAnsi="宋体" w:eastAsia="宋体" w:cs="Times New Roman"/>
                <w:color w:val="auto"/>
                <w:kern w:val="0"/>
                <w:sz w:val="24"/>
              </w:rPr>
              <w:t>制度，确保污染得到有效预防及控制。</w:t>
            </w:r>
          </w:p>
          <w:p w14:paraId="18B3AC39">
            <w:pPr>
              <w:keepNext w:val="0"/>
              <w:keepLines w:val="0"/>
              <w:suppressLineNumbers w:val="0"/>
              <w:autoSpaceDE w:val="0"/>
              <w:autoSpaceDN w:val="0"/>
              <w:spacing w:before="0" w:beforeAutospacing="0" w:after="0" w:afterAutospacing="0" w:line="360" w:lineRule="auto"/>
              <w:ind w:left="0" w:right="0" w:firstLine="480"/>
              <w:jc w:val="left"/>
              <w:rPr>
                <w:rFonts w:ascii="Calibri" w:hAnsi="Calibri" w:eastAsia="宋体" w:cs="Times New Roman"/>
                <w:color w:val="auto"/>
                <w:kern w:val="0"/>
                <w:sz w:val="24"/>
              </w:rPr>
            </w:pPr>
            <w:r>
              <w:rPr>
                <w:rFonts w:ascii="宋体" w:hAnsi="宋体" w:eastAsia="宋体" w:cs="Times New Roman"/>
                <w:color w:val="auto"/>
                <w:kern w:val="0"/>
                <w:sz w:val="24"/>
              </w:rPr>
              <w:t>③</w:t>
            </w:r>
            <w:r>
              <w:rPr>
                <w:rFonts w:ascii="Calibri" w:hAnsi="宋体" w:eastAsia="宋体" w:cs="Times New Roman"/>
                <w:color w:val="auto"/>
                <w:kern w:val="0"/>
                <w:sz w:val="24"/>
              </w:rPr>
              <w:t>实行环境管理制度，对各项污染防治措施进行有效监督管理，明确各项污染物达标情况。</w:t>
            </w:r>
          </w:p>
          <w:p w14:paraId="0BE2B799">
            <w:pPr>
              <w:keepNext w:val="0"/>
              <w:keepLines w:val="0"/>
              <w:suppressLineNumbers w:val="0"/>
              <w:autoSpaceDE w:val="0"/>
              <w:autoSpaceDN w:val="0"/>
              <w:spacing w:before="0" w:beforeAutospacing="0" w:after="0" w:afterAutospacing="0" w:line="360" w:lineRule="auto"/>
              <w:ind w:left="0" w:right="0" w:firstLine="480"/>
              <w:jc w:val="left"/>
              <w:rPr>
                <w:rFonts w:hint="eastAsia" w:ascii="Calibri" w:hAnsi="宋体" w:eastAsia="宋体" w:cs="Times New Roman"/>
                <w:color w:val="auto"/>
                <w:kern w:val="0"/>
                <w:sz w:val="24"/>
              </w:rPr>
            </w:pPr>
            <w:r>
              <w:rPr>
                <w:rFonts w:ascii="宋体" w:hAnsi="宋体" w:eastAsia="宋体" w:cs="Times New Roman"/>
                <w:color w:val="auto"/>
                <w:kern w:val="0"/>
                <w:sz w:val="24"/>
              </w:rPr>
              <w:t>④</w:t>
            </w:r>
            <w:r>
              <w:rPr>
                <w:rFonts w:ascii="Calibri" w:hAnsi="宋体" w:eastAsia="宋体" w:cs="Times New Roman"/>
                <w:color w:val="auto"/>
                <w:kern w:val="0"/>
                <w:sz w:val="24"/>
              </w:rPr>
              <w:t>建立环境保护管理台账，定期检查项目环境保护措施执行情况，定期进行环境保护信息公开。</w:t>
            </w:r>
          </w:p>
          <w:p w14:paraId="60C34D3E">
            <w:pPr>
              <w:keepNext w:val="0"/>
              <w:keepLines w:val="0"/>
              <w:suppressLineNumbers w:val="0"/>
              <w:spacing w:before="0" w:beforeAutospacing="0" w:after="0" w:afterAutospacing="0" w:line="360" w:lineRule="auto"/>
              <w:ind w:left="0" w:right="0" w:firstLine="436" w:firstLineChars="182"/>
              <w:rPr>
                <w:rFonts w:ascii="Calibri" w:hAnsi="Calibri" w:eastAsia="宋体" w:cs="Times New Roman"/>
                <w:bCs/>
                <w:color w:val="auto"/>
                <w:sz w:val="24"/>
              </w:rPr>
            </w:pPr>
            <w:r>
              <w:rPr>
                <w:rFonts w:ascii="Calibri" w:hAnsi="宋体" w:eastAsia="宋体" w:cs="Times New Roman"/>
                <w:color w:val="auto"/>
                <w:kern w:val="0"/>
                <w:sz w:val="24"/>
              </w:rPr>
              <w:t>（</w:t>
            </w:r>
            <w:r>
              <w:rPr>
                <w:rFonts w:ascii="Calibri" w:hAnsi="Calibri" w:eastAsia="宋体" w:cs="Times New Roman"/>
                <w:color w:val="auto"/>
                <w:kern w:val="0"/>
                <w:sz w:val="24"/>
              </w:rPr>
              <w:t>2</w:t>
            </w:r>
            <w:r>
              <w:rPr>
                <w:rFonts w:ascii="Calibri" w:hAnsi="宋体" w:eastAsia="宋体" w:cs="Times New Roman"/>
                <w:color w:val="auto"/>
                <w:kern w:val="0"/>
                <w:sz w:val="24"/>
              </w:rPr>
              <w:t>）</w:t>
            </w:r>
            <w:r>
              <w:rPr>
                <w:rFonts w:hint="eastAsia" w:ascii="Calibri" w:hAnsi="Calibri" w:eastAsia="宋体" w:cs="Times New Roman"/>
                <w:bCs/>
                <w:color w:val="auto"/>
                <w:sz w:val="24"/>
                <w:lang w:val="zh-CN"/>
              </w:rPr>
              <w:t>与排污许可制衔接</w:t>
            </w:r>
          </w:p>
          <w:p w14:paraId="4CDC50B9">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①建设单位按照《关于做好环境影响评价制度与排污许可制衔接相关工作的通知》（环办环评〔2017〕84 号）、《排污许可证申请与核发技术规范 总则》（HJ942-2018）要求申请排污许可证；</w:t>
            </w:r>
          </w:p>
          <w:p w14:paraId="407245E8">
            <w:pPr>
              <w:pStyle w:val="44"/>
              <w:keepNext w:val="0"/>
              <w:keepLines w:val="0"/>
              <w:suppressLineNumbers w:val="0"/>
              <w:spacing w:before="0" w:beforeAutospacing="0" w:after="0" w:afterAutospacing="0" w:line="360" w:lineRule="auto"/>
              <w:ind w:left="0" w:right="0" w:firstLine="480"/>
              <w:rPr>
                <w:rFonts w:hint="eastAsia" w:ascii="Calibri" w:hAnsi="Calibri" w:eastAsia="宋体" w:cs="Times New Roman"/>
                <w:color w:val="auto"/>
              </w:rPr>
            </w:pPr>
            <w:r>
              <w:rPr>
                <w:rFonts w:hint="eastAsia" w:ascii="Calibri" w:hAnsi="Calibri" w:eastAsia="宋体" w:cs="Times New Roman"/>
                <w:color w:val="auto"/>
              </w:rPr>
              <w:t>②建设项目实际排污行为发生变化，应当按照国家环境保护相关法律法规以及排污许可证申请与核发技术规范要求申请排污证，不得无证排污或不按证排污。</w:t>
            </w:r>
          </w:p>
          <w:p w14:paraId="7752CD24">
            <w:pPr>
              <w:pStyle w:val="16"/>
              <w:keepNext w:val="0"/>
              <w:keepLines w:val="0"/>
              <w:suppressLineNumbers w:val="0"/>
              <w:spacing w:before="0" w:beforeAutospacing="0" w:after="0" w:afterAutospacing="0"/>
              <w:ind w:left="0" w:right="0"/>
              <w:rPr>
                <w:rFonts w:ascii="宋体" w:hAnsi="宋体" w:eastAsia="宋体" w:cs="宋体"/>
                <w:bCs/>
                <w:color w:val="auto"/>
                <w:spacing w:val="-10"/>
                <w:sz w:val="24"/>
                <w:szCs w:val="24"/>
              </w:rPr>
            </w:pPr>
          </w:p>
        </w:tc>
      </w:tr>
    </w:tbl>
    <w:p w14:paraId="1C5E5F2D">
      <w:pPr>
        <w:pStyle w:val="43"/>
        <w:rPr>
          <w:rFonts w:hint="eastAsia"/>
          <w:color w:val="auto"/>
        </w:rPr>
        <w:sectPr>
          <w:pgSz w:w="11905" w:h="16838"/>
          <w:pgMar w:top="1417" w:right="1417" w:bottom="1417" w:left="1417" w:header="851" w:footer="1077" w:gutter="0"/>
          <w:cols w:space="720" w:num="1"/>
          <w:docGrid w:linePitch="312" w:charSpace="0"/>
        </w:sectPr>
      </w:pPr>
    </w:p>
    <w:p w14:paraId="69848927">
      <w:pPr>
        <w:pStyle w:val="22"/>
        <w:spacing w:before="0" w:beforeAutospacing="0" w:after="0" w:afterAutospacing="0"/>
        <w:jc w:val="center"/>
        <w:outlineLvl w:val="0"/>
        <w:rPr>
          <w:rFonts w:ascii="黑体" w:hAnsi="黑体" w:eastAsia="黑体"/>
          <w:snapToGrid w:val="0"/>
          <w:color w:val="auto"/>
          <w:sz w:val="30"/>
          <w:szCs w:val="30"/>
        </w:rPr>
      </w:pPr>
      <w:bookmarkStart w:id="29" w:name="_Toc15125"/>
      <w:r>
        <w:rPr>
          <w:rFonts w:hint="eastAsia" w:ascii="黑体" w:hAnsi="黑体" w:eastAsia="黑体"/>
          <w:snapToGrid w:val="0"/>
          <w:color w:val="auto"/>
          <w:sz w:val="30"/>
          <w:szCs w:val="30"/>
        </w:rPr>
        <w:t>五、</w:t>
      </w:r>
      <w:bookmarkStart w:id="30" w:name="_Hlk54167917"/>
      <w:r>
        <w:rPr>
          <w:rFonts w:hint="eastAsia" w:ascii="黑体" w:hAnsi="黑体" w:eastAsia="黑体"/>
          <w:snapToGrid w:val="0"/>
          <w:color w:val="auto"/>
          <w:sz w:val="30"/>
          <w:szCs w:val="30"/>
        </w:rPr>
        <w:t>环境保护措施监督检查清单</w:t>
      </w:r>
      <w:bookmarkEnd w:id="29"/>
      <w:bookmarkEnd w:id="30"/>
    </w:p>
    <w:tbl>
      <w:tblPr>
        <w:tblStyle w:val="26"/>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385"/>
        <w:gridCol w:w="1392"/>
        <w:gridCol w:w="2215"/>
        <w:gridCol w:w="3135"/>
      </w:tblGrid>
      <w:tr w14:paraId="31C8E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621" w:type="pct"/>
            <w:tcBorders>
              <w:tl2br w:val="single" w:color="auto" w:sz="4" w:space="0"/>
            </w:tcBorders>
            <w:noWrap w:val="0"/>
            <w:vAlign w:val="top"/>
          </w:tcPr>
          <w:p w14:paraId="39EE8612">
            <w:pPr>
              <w:keepNext w:val="0"/>
              <w:keepLines w:val="0"/>
              <w:suppressLineNumbers w:val="0"/>
              <w:adjustRightInd w:val="0"/>
              <w:snapToGrid w:val="0"/>
              <w:spacing w:before="0" w:beforeAutospacing="0" w:after="0" w:afterAutospacing="0"/>
              <w:ind w:left="0" w:right="0" w:firstLine="211" w:firstLineChars="100"/>
              <w:rPr>
                <w:rFonts w:hint="eastAsia" w:ascii="宋体" w:hAnsi="宋体" w:eastAsia="宋体" w:cs="宋体"/>
                <w:b/>
                <w:bCs/>
                <w:color w:val="auto"/>
                <w:szCs w:val="21"/>
              </w:rPr>
            </w:pPr>
            <w:r>
              <w:rPr>
                <w:rFonts w:hint="eastAsia" w:ascii="宋体" w:hAnsi="宋体" w:eastAsia="宋体" w:cs="宋体"/>
                <w:b/>
                <w:bCs/>
                <w:color w:val="auto"/>
                <w:szCs w:val="21"/>
              </w:rPr>
              <w:t>内容</w:t>
            </w:r>
          </w:p>
          <w:p w14:paraId="28AB1951">
            <w:pPr>
              <w:keepNext w:val="0"/>
              <w:keepLines w:val="0"/>
              <w:suppressLineNumbers w:val="0"/>
              <w:adjustRightInd w:val="0"/>
              <w:snapToGrid w:val="0"/>
              <w:spacing w:before="0" w:beforeAutospacing="0" w:after="0" w:afterAutospacing="0"/>
              <w:ind w:left="0" w:right="0"/>
              <w:rPr>
                <w:rFonts w:hint="eastAsia" w:ascii="宋体" w:hAnsi="宋体" w:eastAsia="宋体" w:cs="宋体"/>
                <w:b/>
                <w:bCs/>
                <w:color w:val="auto"/>
                <w:szCs w:val="21"/>
              </w:rPr>
            </w:pPr>
          </w:p>
          <w:p w14:paraId="2FFC1D7E">
            <w:pPr>
              <w:keepNext w:val="0"/>
              <w:keepLines w:val="0"/>
              <w:suppressLineNumbers w:val="0"/>
              <w:adjustRightInd w:val="0"/>
              <w:snapToGrid w:val="0"/>
              <w:spacing w:before="0" w:beforeAutospacing="0" w:after="0" w:afterAutospacing="0"/>
              <w:ind w:left="0" w:right="0"/>
              <w:rPr>
                <w:rFonts w:hint="eastAsia" w:ascii="宋体" w:hAnsi="宋体" w:eastAsia="宋体" w:cs="宋体"/>
                <w:b/>
                <w:bCs/>
                <w:color w:val="auto"/>
                <w:szCs w:val="21"/>
              </w:rPr>
            </w:pPr>
            <w:r>
              <w:rPr>
                <w:rFonts w:hint="eastAsia" w:ascii="宋体" w:hAnsi="宋体" w:eastAsia="宋体" w:cs="宋体"/>
                <w:b/>
                <w:bCs/>
                <w:color w:val="auto"/>
                <w:szCs w:val="21"/>
              </w:rPr>
              <w:t>要素</w:t>
            </w:r>
          </w:p>
        </w:tc>
        <w:tc>
          <w:tcPr>
            <w:tcW w:w="746" w:type="pct"/>
            <w:noWrap w:val="0"/>
            <w:vAlign w:val="center"/>
          </w:tcPr>
          <w:p w14:paraId="107870D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排放口(编号、</w:t>
            </w:r>
          </w:p>
          <w:p w14:paraId="444FB05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名称)/污染源</w:t>
            </w:r>
          </w:p>
        </w:tc>
        <w:tc>
          <w:tcPr>
            <w:tcW w:w="750" w:type="pct"/>
            <w:noWrap w:val="0"/>
            <w:vAlign w:val="center"/>
          </w:tcPr>
          <w:p w14:paraId="1C8805F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污染物项目</w:t>
            </w:r>
          </w:p>
        </w:tc>
        <w:tc>
          <w:tcPr>
            <w:tcW w:w="1193" w:type="pct"/>
            <w:noWrap w:val="0"/>
            <w:vAlign w:val="center"/>
          </w:tcPr>
          <w:p w14:paraId="5C07C03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环境保护措施</w:t>
            </w:r>
          </w:p>
        </w:tc>
        <w:tc>
          <w:tcPr>
            <w:tcW w:w="1688" w:type="pct"/>
            <w:noWrap w:val="0"/>
            <w:vAlign w:val="center"/>
          </w:tcPr>
          <w:p w14:paraId="0BCFCAC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rPr>
            </w:pPr>
            <w:r>
              <w:rPr>
                <w:rFonts w:hint="eastAsia" w:ascii="宋体" w:hAnsi="宋体" w:eastAsia="宋体" w:cs="宋体"/>
                <w:b/>
                <w:bCs/>
                <w:color w:val="auto"/>
                <w:szCs w:val="21"/>
              </w:rPr>
              <w:t>执行标准</w:t>
            </w:r>
          </w:p>
        </w:tc>
      </w:tr>
      <w:tr w14:paraId="321B2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21" w:type="pct"/>
            <w:vMerge w:val="restart"/>
            <w:noWrap w:val="0"/>
            <w:vAlign w:val="center"/>
          </w:tcPr>
          <w:p w14:paraId="1C26CE9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大气</w:t>
            </w:r>
          </w:p>
          <w:p w14:paraId="5E65BF1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环境</w:t>
            </w:r>
          </w:p>
        </w:tc>
        <w:tc>
          <w:tcPr>
            <w:tcW w:w="746" w:type="pct"/>
            <w:noWrap w:val="0"/>
            <w:vAlign w:val="center"/>
          </w:tcPr>
          <w:p w14:paraId="1C52B934">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DA001</w:t>
            </w:r>
          </w:p>
        </w:tc>
        <w:tc>
          <w:tcPr>
            <w:tcW w:w="750" w:type="pct"/>
            <w:noWrap w:val="0"/>
            <w:vAlign w:val="center"/>
          </w:tcPr>
          <w:p w14:paraId="54532210">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NH</w:t>
            </w:r>
            <w:r>
              <w:rPr>
                <w:rFonts w:hint="eastAsia" w:ascii="Times New Roman" w:hAnsi="Times New Roman" w:eastAsia="宋体" w:cs="Times New Roman"/>
                <w:color w:val="auto"/>
                <w:szCs w:val="21"/>
                <w:vertAlign w:val="subscript"/>
              </w:rPr>
              <w:t>3</w:t>
            </w:r>
            <w:r>
              <w:rPr>
                <w:rFonts w:hint="eastAsia" w:ascii="Times New Roman" w:hAnsi="Times New Roman" w:eastAsia="宋体" w:cs="Times New Roman"/>
                <w:color w:val="auto"/>
                <w:szCs w:val="21"/>
              </w:rPr>
              <w:t>、H</w:t>
            </w:r>
            <w:r>
              <w:rPr>
                <w:rFonts w:hint="eastAsia" w:ascii="Times New Roman" w:hAnsi="Times New Roman" w:eastAsia="宋体" w:cs="Times New Roman"/>
                <w:color w:val="auto"/>
                <w:szCs w:val="21"/>
                <w:vertAlign w:val="subscript"/>
              </w:rPr>
              <w:t>2</w:t>
            </w:r>
            <w:r>
              <w:rPr>
                <w:rFonts w:hint="eastAsia" w:ascii="Times New Roman" w:hAnsi="Times New Roman" w:eastAsia="宋体" w:cs="Times New Roman"/>
                <w:color w:val="auto"/>
                <w:szCs w:val="21"/>
              </w:rPr>
              <w:t>S</w:t>
            </w:r>
          </w:p>
        </w:tc>
        <w:tc>
          <w:tcPr>
            <w:tcW w:w="1193" w:type="pct"/>
            <w:noWrap w:val="0"/>
            <w:vAlign w:val="center"/>
          </w:tcPr>
          <w:p w14:paraId="3AF4DC59">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bidi="ar"/>
              </w:rPr>
              <w:t>微负压收集+生物除臭塔处理+15m排气筒DA001排放</w:t>
            </w:r>
          </w:p>
        </w:tc>
        <w:tc>
          <w:tcPr>
            <w:tcW w:w="1688" w:type="pct"/>
            <w:noWrap w:val="0"/>
            <w:vAlign w:val="center"/>
          </w:tcPr>
          <w:p w14:paraId="3048D783">
            <w:pPr>
              <w:keepNext w:val="0"/>
              <w:keepLines w:val="0"/>
              <w:suppressLineNumbers w:val="0"/>
              <w:adjustRightInd w:val="0"/>
              <w:snapToGrid w:val="0"/>
              <w:spacing w:before="0" w:beforeAutospacing="0" w:after="0" w:afterAutospacing="0" w:line="360" w:lineRule="exact"/>
              <w:ind w:left="0" w:right="0"/>
              <w:jc w:val="center"/>
              <w:rPr>
                <w:rFonts w:ascii="宋体" w:hAnsi="宋体" w:eastAsia="宋体" w:cs="宋体"/>
                <w:color w:val="auto"/>
                <w:szCs w:val="21"/>
              </w:rPr>
            </w:pPr>
            <w:r>
              <w:rPr>
                <w:rFonts w:hint="eastAsia" w:ascii="宋体" w:hAnsi="宋体" w:eastAsia="宋体" w:cs="宋体"/>
                <w:color w:val="auto"/>
                <w:szCs w:val="21"/>
              </w:rPr>
              <w:t>《恶臭污染物排放标准》（GB14554-93）表2恶臭污染物排放限值</w:t>
            </w:r>
          </w:p>
        </w:tc>
      </w:tr>
      <w:tr w14:paraId="7DFCF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21" w:type="pct"/>
            <w:vMerge w:val="continue"/>
            <w:noWrap w:val="0"/>
            <w:vAlign w:val="center"/>
          </w:tcPr>
          <w:p w14:paraId="281486A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p>
        </w:tc>
        <w:tc>
          <w:tcPr>
            <w:tcW w:w="746" w:type="pct"/>
            <w:noWrap w:val="0"/>
            <w:vAlign w:val="center"/>
          </w:tcPr>
          <w:p w14:paraId="53777106">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未能收集的无组织发酵废气</w:t>
            </w:r>
          </w:p>
        </w:tc>
        <w:tc>
          <w:tcPr>
            <w:tcW w:w="750" w:type="pct"/>
            <w:noWrap w:val="0"/>
            <w:vAlign w:val="center"/>
          </w:tcPr>
          <w:p w14:paraId="5824F6CF">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NH</w:t>
            </w:r>
            <w:r>
              <w:rPr>
                <w:rFonts w:hint="eastAsia" w:ascii="Times New Roman" w:hAnsi="Times New Roman" w:eastAsia="宋体" w:cs="Times New Roman"/>
                <w:color w:val="auto"/>
                <w:szCs w:val="21"/>
                <w:vertAlign w:val="subscript"/>
              </w:rPr>
              <w:t>3</w:t>
            </w:r>
            <w:r>
              <w:rPr>
                <w:rFonts w:hint="eastAsia" w:ascii="Times New Roman" w:hAnsi="Times New Roman" w:eastAsia="宋体" w:cs="Times New Roman"/>
                <w:color w:val="auto"/>
                <w:szCs w:val="21"/>
              </w:rPr>
              <w:t>、H</w:t>
            </w:r>
            <w:r>
              <w:rPr>
                <w:rFonts w:hint="eastAsia" w:ascii="Times New Roman" w:hAnsi="Times New Roman" w:eastAsia="宋体" w:cs="Times New Roman"/>
                <w:color w:val="auto"/>
                <w:szCs w:val="21"/>
                <w:vertAlign w:val="subscript"/>
              </w:rPr>
              <w:t>2</w:t>
            </w:r>
            <w:r>
              <w:rPr>
                <w:rFonts w:hint="eastAsia" w:ascii="Times New Roman" w:hAnsi="Times New Roman" w:eastAsia="宋体" w:cs="Times New Roman"/>
                <w:color w:val="auto"/>
                <w:szCs w:val="21"/>
              </w:rPr>
              <w:t>S</w:t>
            </w:r>
          </w:p>
        </w:tc>
        <w:tc>
          <w:tcPr>
            <w:tcW w:w="1193" w:type="pct"/>
            <w:noWrap w:val="0"/>
            <w:vAlign w:val="center"/>
          </w:tcPr>
          <w:p w14:paraId="01BFB263">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bidi="ar"/>
              </w:rPr>
              <w:t>在车间外围喷洒除臭剂</w:t>
            </w:r>
          </w:p>
        </w:tc>
        <w:tc>
          <w:tcPr>
            <w:tcW w:w="1688" w:type="pct"/>
            <w:noWrap w:val="0"/>
            <w:vAlign w:val="center"/>
          </w:tcPr>
          <w:p w14:paraId="47A7ECE8">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《恶臭污染物排放标准》（GB14554-93）表1恶臭污染物厂界标准值新扩改二级标准</w:t>
            </w:r>
          </w:p>
        </w:tc>
      </w:tr>
      <w:tr w14:paraId="7D492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1" w:type="pct"/>
            <w:vMerge w:val="restart"/>
            <w:noWrap w:val="0"/>
            <w:vAlign w:val="center"/>
          </w:tcPr>
          <w:p w14:paraId="3A7B51B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地表水环境</w:t>
            </w:r>
          </w:p>
        </w:tc>
        <w:tc>
          <w:tcPr>
            <w:tcW w:w="746" w:type="pct"/>
            <w:noWrap w:val="0"/>
            <w:vAlign w:val="center"/>
          </w:tcPr>
          <w:p w14:paraId="2F0DA4E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Cs w:val="21"/>
              </w:rPr>
            </w:pPr>
            <w:r>
              <w:rPr>
                <w:rFonts w:hint="eastAsia" w:ascii="宋体" w:hAnsi="宋体" w:eastAsia="宋体" w:cs="宋体"/>
                <w:color w:val="auto"/>
                <w:szCs w:val="21"/>
              </w:rPr>
              <w:t>生活污水</w:t>
            </w:r>
          </w:p>
        </w:tc>
        <w:tc>
          <w:tcPr>
            <w:tcW w:w="750" w:type="pct"/>
            <w:noWrap w:val="0"/>
            <w:vAlign w:val="center"/>
          </w:tcPr>
          <w:p w14:paraId="3D14C103">
            <w:pPr>
              <w:keepNext w:val="0"/>
              <w:keepLines w:val="0"/>
              <w:suppressLineNumbers w:val="0"/>
              <w:tabs>
                <w:tab w:val="left" w:pos="3225"/>
              </w:tabs>
              <w:adjustRightInd w:val="0"/>
              <w:snapToGrid w:val="0"/>
              <w:spacing w:before="0" w:beforeAutospacing="0" w:after="0" w:afterAutospacing="0" w:line="360" w:lineRule="exact"/>
              <w:ind w:left="0" w:right="0"/>
              <w:jc w:val="center"/>
              <w:rPr>
                <w:rFonts w:ascii="Calibri" w:hAnsi="Calibri" w:eastAsia="宋体" w:cs="Times New Roman"/>
                <w:color w:val="auto"/>
                <w:szCs w:val="21"/>
              </w:rPr>
            </w:pPr>
            <w:r>
              <w:rPr>
                <w:rFonts w:ascii="Calibri" w:hAnsi="Calibri" w:eastAsia="宋体" w:cs="Times New Roman"/>
                <w:color w:val="auto"/>
                <w:szCs w:val="21"/>
              </w:rPr>
              <w:t>COD、BOD</w:t>
            </w:r>
            <w:r>
              <w:rPr>
                <w:rFonts w:ascii="Calibri" w:hAnsi="Calibri" w:eastAsia="宋体" w:cs="Times New Roman"/>
                <w:color w:val="auto"/>
                <w:szCs w:val="21"/>
                <w:vertAlign w:val="subscript"/>
              </w:rPr>
              <w:t>5</w:t>
            </w:r>
            <w:r>
              <w:rPr>
                <w:rFonts w:ascii="Calibri" w:hAnsi="Calibri" w:eastAsia="宋体" w:cs="Times New Roman"/>
                <w:color w:val="auto"/>
                <w:szCs w:val="21"/>
              </w:rPr>
              <w:t>、SS、NH</w:t>
            </w:r>
            <w:r>
              <w:rPr>
                <w:rFonts w:ascii="Calibri" w:hAnsi="Calibri" w:eastAsia="宋体" w:cs="Times New Roman"/>
                <w:color w:val="auto"/>
                <w:szCs w:val="21"/>
                <w:vertAlign w:val="subscript"/>
              </w:rPr>
              <w:t>3</w:t>
            </w:r>
            <w:r>
              <w:rPr>
                <w:rFonts w:ascii="Calibri" w:hAnsi="Calibri" w:eastAsia="宋体" w:cs="Times New Roman"/>
                <w:color w:val="auto"/>
                <w:szCs w:val="21"/>
              </w:rPr>
              <w:t>-N</w:t>
            </w:r>
            <w:r>
              <w:rPr>
                <w:rFonts w:hint="eastAsia" w:ascii="Calibri" w:hAnsi="Calibri" w:eastAsia="宋体" w:cs="Times New Roman"/>
                <w:color w:val="auto"/>
                <w:szCs w:val="21"/>
              </w:rPr>
              <w:t>、TP</w:t>
            </w:r>
          </w:p>
        </w:tc>
        <w:tc>
          <w:tcPr>
            <w:tcW w:w="1193" w:type="pct"/>
            <w:noWrap w:val="0"/>
            <w:vAlign w:val="center"/>
          </w:tcPr>
          <w:p w14:paraId="534C7936">
            <w:pPr>
              <w:keepNext w:val="0"/>
              <w:keepLines w:val="0"/>
              <w:suppressLineNumbers w:val="0"/>
              <w:tabs>
                <w:tab w:val="left" w:pos="3225"/>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经防渗旱厕处理后用于周边林木施肥。</w:t>
            </w:r>
          </w:p>
        </w:tc>
        <w:tc>
          <w:tcPr>
            <w:tcW w:w="1688" w:type="pct"/>
            <w:noWrap w:val="0"/>
            <w:vAlign w:val="center"/>
          </w:tcPr>
          <w:p w14:paraId="182B7C6D">
            <w:pPr>
              <w:pStyle w:val="3"/>
              <w:suppressLineNumbers w:val="0"/>
              <w:spacing w:before="0" w:beforeAutospacing="0" w:after="0" w:afterAutospacing="0"/>
              <w:ind w:left="0" w:right="0"/>
              <w:jc w:val="center"/>
              <w:outlineLvl w:val="1"/>
              <w:rPr>
                <w:rFonts w:ascii="Calibri" w:hAnsi="Calibri" w:eastAsia="宋体" w:cs="Times New Roman"/>
                <w:color w:val="auto"/>
              </w:rPr>
            </w:pPr>
            <w:r>
              <w:rPr>
                <w:rFonts w:hint="eastAsia" w:ascii="Calibri" w:hAnsi="Calibri" w:eastAsia="宋体" w:cs="Times New Roman"/>
                <w:color w:val="auto"/>
                <w:szCs w:val="21"/>
              </w:rPr>
              <w:t>/</w:t>
            </w:r>
          </w:p>
        </w:tc>
      </w:tr>
      <w:tr w14:paraId="55484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621" w:type="pct"/>
            <w:vMerge w:val="continue"/>
            <w:noWrap w:val="0"/>
            <w:vAlign w:val="center"/>
          </w:tcPr>
          <w:p w14:paraId="219ABC1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p>
        </w:tc>
        <w:tc>
          <w:tcPr>
            <w:tcW w:w="746" w:type="pct"/>
            <w:noWrap w:val="0"/>
            <w:vAlign w:val="center"/>
          </w:tcPr>
          <w:p w14:paraId="11ADFC71">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Cs w:val="21"/>
              </w:rPr>
            </w:pPr>
            <w:r>
              <w:rPr>
                <w:rFonts w:hint="eastAsia" w:ascii="Times New Roman" w:hAnsi="Times New Roman" w:eastAsia="宋体" w:cs="Times New Roman"/>
                <w:color w:val="auto"/>
                <w:szCs w:val="21"/>
                <w:lang w:bidi="ar"/>
              </w:rPr>
              <w:t>生物除臭塔</w:t>
            </w:r>
            <w:r>
              <w:rPr>
                <w:rFonts w:hint="eastAsia" w:ascii="宋体" w:hAnsi="宋体" w:eastAsia="宋体" w:cs="宋体"/>
                <w:color w:val="auto"/>
                <w:szCs w:val="21"/>
              </w:rPr>
              <w:t>除臭用水</w:t>
            </w:r>
          </w:p>
        </w:tc>
        <w:tc>
          <w:tcPr>
            <w:tcW w:w="750" w:type="pct"/>
            <w:noWrap w:val="0"/>
            <w:vAlign w:val="center"/>
          </w:tcPr>
          <w:p w14:paraId="5EB76FC3">
            <w:pPr>
              <w:keepNext w:val="0"/>
              <w:keepLines w:val="0"/>
              <w:suppressLineNumbers w:val="0"/>
              <w:tabs>
                <w:tab w:val="left" w:pos="3225"/>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w:t>
            </w:r>
          </w:p>
        </w:tc>
        <w:tc>
          <w:tcPr>
            <w:tcW w:w="1193" w:type="pct"/>
            <w:noWrap w:val="0"/>
            <w:vAlign w:val="center"/>
          </w:tcPr>
          <w:p w14:paraId="24E14957">
            <w:pPr>
              <w:keepNext w:val="0"/>
              <w:keepLines w:val="0"/>
              <w:suppressLineNumbers w:val="0"/>
              <w:tabs>
                <w:tab w:val="left" w:pos="3225"/>
              </w:tabs>
              <w:adjustRightInd w:val="0"/>
              <w:snapToGrid w:val="0"/>
              <w:spacing w:before="0" w:beforeAutospacing="0" w:after="0" w:afterAutospacing="0" w:line="360" w:lineRule="exact"/>
              <w:ind w:left="0" w:right="0"/>
              <w:jc w:val="center"/>
              <w:rPr>
                <w:rFonts w:ascii="Calibri" w:hAnsi="Calibri" w:eastAsia="宋体" w:cs="Times New Roman"/>
                <w:color w:val="auto"/>
                <w:szCs w:val="21"/>
              </w:rPr>
            </w:pPr>
            <w:r>
              <w:rPr>
                <w:rFonts w:hint="eastAsia" w:ascii="Calibri" w:hAnsi="Calibri" w:eastAsia="宋体" w:cs="Times New Roman"/>
                <w:color w:val="auto"/>
                <w:szCs w:val="21"/>
              </w:rPr>
              <w:t>循环使用，不外排。</w:t>
            </w:r>
          </w:p>
        </w:tc>
        <w:tc>
          <w:tcPr>
            <w:tcW w:w="1688" w:type="pct"/>
            <w:noWrap w:val="0"/>
            <w:vAlign w:val="center"/>
          </w:tcPr>
          <w:p w14:paraId="5BA3FBC3">
            <w:pPr>
              <w:keepNext w:val="0"/>
              <w:keepLines w:val="0"/>
              <w:suppressLineNumbers w:val="0"/>
              <w:tabs>
                <w:tab w:val="left" w:pos="3225"/>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w:t>
            </w:r>
          </w:p>
        </w:tc>
      </w:tr>
      <w:tr w14:paraId="555F8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621" w:type="pct"/>
            <w:vMerge w:val="continue"/>
            <w:noWrap w:val="0"/>
            <w:vAlign w:val="center"/>
          </w:tcPr>
          <w:p w14:paraId="6431A9B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p>
        </w:tc>
        <w:tc>
          <w:tcPr>
            <w:tcW w:w="746" w:type="pct"/>
            <w:noWrap w:val="0"/>
            <w:vAlign w:val="center"/>
          </w:tcPr>
          <w:p w14:paraId="015A58CA">
            <w:pPr>
              <w:keepNext w:val="0"/>
              <w:keepLines w:val="0"/>
              <w:suppressLineNumbers w:val="0"/>
              <w:adjustRightInd w:val="0"/>
              <w:snapToGrid w:val="0"/>
              <w:spacing w:before="0" w:beforeAutospacing="0" w:after="0" w:afterAutospacing="0" w:line="360" w:lineRule="exact"/>
              <w:ind w:left="0" w:right="0"/>
              <w:jc w:val="center"/>
              <w:rPr>
                <w:rFonts w:ascii="宋体" w:hAnsi="宋体" w:eastAsia="宋体" w:cs="宋体"/>
                <w:color w:val="auto"/>
                <w:szCs w:val="21"/>
              </w:rPr>
            </w:pPr>
            <w:r>
              <w:rPr>
                <w:rFonts w:hint="eastAsia" w:ascii="宋体" w:hAnsi="宋体" w:eastAsia="宋体" w:cs="宋体"/>
                <w:color w:val="auto"/>
                <w:szCs w:val="21"/>
              </w:rPr>
              <w:t>初期雨水</w:t>
            </w:r>
          </w:p>
        </w:tc>
        <w:tc>
          <w:tcPr>
            <w:tcW w:w="750" w:type="pct"/>
            <w:noWrap w:val="0"/>
            <w:vAlign w:val="center"/>
          </w:tcPr>
          <w:p w14:paraId="056F3823">
            <w:pPr>
              <w:keepNext w:val="0"/>
              <w:keepLines w:val="0"/>
              <w:suppressLineNumbers w:val="0"/>
              <w:tabs>
                <w:tab w:val="left" w:pos="3225"/>
              </w:tabs>
              <w:adjustRightInd w:val="0"/>
              <w:snapToGrid w:val="0"/>
              <w:spacing w:before="0" w:beforeAutospacing="0" w:after="0" w:afterAutospacing="0" w:line="360" w:lineRule="exact"/>
              <w:ind w:left="0" w:right="0"/>
              <w:jc w:val="center"/>
              <w:rPr>
                <w:rFonts w:ascii="Calibri" w:hAnsi="Calibri" w:eastAsia="宋体" w:cs="Times New Roman"/>
                <w:color w:val="auto"/>
                <w:szCs w:val="21"/>
              </w:rPr>
            </w:pPr>
            <w:r>
              <w:rPr>
                <w:rFonts w:ascii="Calibri" w:hAnsi="Calibri" w:eastAsia="宋体" w:cs="Times New Roman"/>
                <w:color w:val="auto"/>
                <w:szCs w:val="21"/>
              </w:rPr>
              <w:t>COD、</w:t>
            </w:r>
            <w:r>
              <w:rPr>
                <w:rFonts w:hint="eastAsia" w:ascii="Calibri" w:hAnsi="Calibri" w:eastAsia="宋体" w:cs="Times New Roman"/>
                <w:color w:val="auto"/>
                <w:szCs w:val="21"/>
              </w:rPr>
              <w:t>SS</w:t>
            </w:r>
          </w:p>
        </w:tc>
        <w:tc>
          <w:tcPr>
            <w:tcW w:w="1193" w:type="pct"/>
            <w:noWrap w:val="0"/>
            <w:vAlign w:val="center"/>
          </w:tcPr>
          <w:p w14:paraId="6E56BAEA">
            <w:pPr>
              <w:keepNext w:val="0"/>
              <w:keepLines w:val="0"/>
              <w:suppressLineNumbers w:val="0"/>
              <w:tabs>
                <w:tab w:val="left" w:pos="3225"/>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rPr>
              <w:t>15分钟前初期雨水经初期雨水沉淀池处理后批次进入防渗旱厕，15分钟后雨水排入南面坑塘。</w:t>
            </w:r>
          </w:p>
        </w:tc>
        <w:tc>
          <w:tcPr>
            <w:tcW w:w="1688" w:type="pct"/>
            <w:noWrap w:val="0"/>
            <w:vAlign w:val="center"/>
          </w:tcPr>
          <w:p w14:paraId="1A9FEACC">
            <w:pPr>
              <w:keepNext w:val="0"/>
              <w:keepLines w:val="0"/>
              <w:suppressLineNumbers w:val="0"/>
              <w:tabs>
                <w:tab w:val="left" w:pos="3225"/>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w:t>
            </w:r>
          </w:p>
        </w:tc>
      </w:tr>
      <w:tr w14:paraId="0EC8D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21" w:type="pct"/>
            <w:noWrap w:val="0"/>
            <w:vAlign w:val="center"/>
          </w:tcPr>
          <w:p w14:paraId="1456E4B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声环境</w:t>
            </w:r>
          </w:p>
        </w:tc>
        <w:tc>
          <w:tcPr>
            <w:tcW w:w="746" w:type="pct"/>
            <w:noWrap w:val="0"/>
            <w:vAlign w:val="center"/>
          </w:tcPr>
          <w:p w14:paraId="626AC081">
            <w:pPr>
              <w:keepNext w:val="0"/>
              <w:keepLines w:val="0"/>
              <w:suppressLineNumbers w:val="0"/>
              <w:tabs>
                <w:tab w:val="left" w:pos="1872"/>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设备</w:t>
            </w:r>
          </w:p>
        </w:tc>
        <w:tc>
          <w:tcPr>
            <w:tcW w:w="750" w:type="pct"/>
            <w:noWrap w:val="0"/>
            <w:vAlign w:val="center"/>
          </w:tcPr>
          <w:p w14:paraId="20B19C59">
            <w:pPr>
              <w:keepNext w:val="0"/>
              <w:keepLines w:val="0"/>
              <w:suppressLineNumbers w:val="0"/>
              <w:tabs>
                <w:tab w:val="left" w:pos="1872"/>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噪声</w:t>
            </w:r>
          </w:p>
        </w:tc>
        <w:tc>
          <w:tcPr>
            <w:tcW w:w="1193" w:type="pct"/>
            <w:noWrap w:val="0"/>
            <w:vAlign w:val="center"/>
          </w:tcPr>
          <w:p w14:paraId="54ECD15E">
            <w:pPr>
              <w:keepNext w:val="0"/>
              <w:keepLines w:val="0"/>
              <w:suppressLineNumbers w:val="0"/>
              <w:tabs>
                <w:tab w:val="left" w:pos="1872"/>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选用低噪设备、加装基础减振装置、厂房隔声</w:t>
            </w:r>
          </w:p>
        </w:tc>
        <w:tc>
          <w:tcPr>
            <w:tcW w:w="1688" w:type="pct"/>
            <w:noWrap w:val="0"/>
            <w:vAlign w:val="center"/>
          </w:tcPr>
          <w:p w14:paraId="248D96C5">
            <w:pPr>
              <w:keepNext w:val="0"/>
              <w:keepLines w:val="0"/>
              <w:suppressLineNumbers w:val="0"/>
              <w:tabs>
                <w:tab w:val="left" w:pos="1872"/>
              </w:tabs>
              <w:adjustRightInd w:val="0"/>
              <w:snapToGrid w:val="0"/>
              <w:spacing w:before="0" w:beforeAutospacing="0" w:after="0" w:afterAutospacing="0" w:line="360" w:lineRule="exact"/>
              <w:ind w:left="0" w:right="0"/>
              <w:jc w:val="center"/>
              <w:rPr>
                <w:rFonts w:hint="eastAsia" w:ascii="Calibri" w:hAnsi="Calibri" w:eastAsia="宋体" w:cs="Times New Roman"/>
                <w:color w:val="auto"/>
                <w:szCs w:val="21"/>
              </w:rPr>
            </w:pPr>
            <w:r>
              <w:rPr>
                <w:rFonts w:hint="eastAsia" w:ascii="Calibri" w:hAnsi="Calibri" w:eastAsia="宋体" w:cs="Times New Roman"/>
                <w:color w:val="auto"/>
                <w:szCs w:val="21"/>
              </w:rPr>
              <w:t>《工业企业厂界环境噪声排放标准》（GB12348-2008）中2类</w:t>
            </w:r>
          </w:p>
        </w:tc>
      </w:tr>
      <w:tr w14:paraId="65BC7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21" w:type="pct"/>
            <w:noWrap w:val="0"/>
            <w:vAlign w:val="center"/>
          </w:tcPr>
          <w:p w14:paraId="34C7858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电磁辐射</w:t>
            </w:r>
          </w:p>
        </w:tc>
        <w:tc>
          <w:tcPr>
            <w:tcW w:w="4378" w:type="pct"/>
            <w:gridSpan w:val="4"/>
            <w:noWrap w:val="0"/>
            <w:vAlign w:val="center"/>
          </w:tcPr>
          <w:p w14:paraId="5460098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无</w:t>
            </w:r>
          </w:p>
        </w:tc>
      </w:tr>
      <w:tr w14:paraId="00B8B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1" w:type="pct"/>
            <w:noWrap w:val="0"/>
            <w:vAlign w:val="center"/>
          </w:tcPr>
          <w:p w14:paraId="1D23C42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固体废物</w:t>
            </w:r>
          </w:p>
        </w:tc>
        <w:tc>
          <w:tcPr>
            <w:tcW w:w="4378" w:type="pct"/>
            <w:gridSpan w:val="4"/>
            <w:noWrap w:val="0"/>
            <w:vAlign w:val="center"/>
          </w:tcPr>
          <w:p w14:paraId="55BFED8B">
            <w:pPr>
              <w:keepNext w:val="0"/>
              <w:keepLines w:val="0"/>
              <w:suppressLineNumbers w:val="0"/>
              <w:adjustRightInd w:val="0"/>
              <w:snapToGrid w:val="0"/>
              <w:spacing w:before="0" w:beforeAutospacing="0" w:after="0" w:afterAutospacing="0"/>
              <w:ind w:left="0" w:right="0" w:firstLine="420" w:firstLineChars="200"/>
              <w:rPr>
                <w:rFonts w:hint="eastAsia" w:ascii="宋体" w:hAnsi="宋体" w:eastAsia="宋体" w:cs="宋体"/>
                <w:color w:val="auto"/>
                <w:szCs w:val="21"/>
              </w:rPr>
            </w:pPr>
            <w:r>
              <w:rPr>
                <w:rFonts w:hint="eastAsia" w:ascii="宋体" w:hAnsi="宋体" w:eastAsia="宋体" w:cs="宋体"/>
                <w:color w:val="auto"/>
                <w:szCs w:val="21"/>
              </w:rPr>
              <w:t>分拣的木块收集后外售</w:t>
            </w:r>
            <w:r>
              <w:rPr>
                <w:rFonts w:hint="eastAsia" w:ascii="Calibri" w:hAnsi="Calibri" w:eastAsia="宋体" w:cs="宋体"/>
                <w:color w:val="auto"/>
                <w:lang w:bidi="ar"/>
              </w:rPr>
              <w:t>生物质颗粒厂作为原料，</w:t>
            </w:r>
            <w:r>
              <w:rPr>
                <w:rFonts w:hint="eastAsia" w:ascii="宋体" w:hAnsi="宋体" w:eastAsia="宋体" w:cs="宋体"/>
                <w:color w:val="auto"/>
                <w:szCs w:val="21"/>
              </w:rPr>
              <w:t>分拣的</w:t>
            </w:r>
            <w:r>
              <w:rPr>
                <w:rFonts w:hint="eastAsia" w:ascii="Calibri" w:hAnsi="Calibri" w:eastAsia="宋体" w:cs="宋体"/>
                <w:color w:val="auto"/>
                <w:lang w:bidi="ar"/>
              </w:rPr>
              <w:t>玻璃、</w:t>
            </w:r>
            <w:r>
              <w:rPr>
                <w:rFonts w:hint="eastAsia" w:ascii="宋体" w:hAnsi="宋体" w:eastAsia="宋体" w:cs="宋体"/>
                <w:color w:val="auto"/>
                <w:szCs w:val="21"/>
              </w:rPr>
              <w:t>生活垃圾统一清运至环卫部门指定的地方处理；废机油、含油抹布、废机油桶等委托具有危废资质单位处理。</w:t>
            </w:r>
          </w:p>
        </w:tc>
      </w:tr>
      <w:tr w14:paraId="08FEA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621" w:type="pct"/>
            <w:noWrap w:val="0"/>
            <w:vAlign w:val="center"/>
          </w:tcPr>
          <w:p w14:paraId="46E142C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土壤及地下水污染防治措施</w:t>
            </w:r>
          </w:p>
        </w:tc>
        <w:tc>
          <w:tcPr>
            <w:tcW w:w="4378" w:type="pct"/>
            <w:gridSpan w:val="4"/>
            <w:noWrap w:val="0"/>
            <w:vAlign w:val="center"/>
          </w:tcPr>
          <w:p w14:paraId="0739B3C1">
            <w:pPr>
              <w:keepNext w:val="0"/>
              <w:keepLines w:val="0"/>
              <w:suppressLineNumbers w:val="0"/>
              <w:adjustRightInd w:val="0"/>
              <w:snapToGrid w:val="0"/>
              <w:spacing w:before="0" w:beforeAutospacing="0" w:after="0" w:afterAutospacing="0"/>
              <w:ind w:left="0" w:right="0"/>
              <w:jc w:val="center"/>
              <w:rPr>
                <w:rFonts w:ascii="宋体" w:hAnsi="宋体" w:eastAsia="宋体" w:cs="宋体"/>
                <w:color w:val="auto"/>
                <w:szCs w:val="21"/>
              </w:rPr>
            </w:pPr>
            <w:r>
              <w:rPr>
                <w:rFonts w:ascii="宋体" w:hAnsi="宋体" w:eastAsia="宋体" w:cs="宋体"/>
                <w:color w:val="auto"/>
                <w:szCs w:val="21"/>
              </w:rPr>
              <w:t>办公区、厂区地面做简单防渗，采用水泥硬化；</w:t>
            </w:r>
            <w:r>
              <w:rPr>
                <w:rFonts w:hint="eastAsia" w:ascii="宋体" w:hAnsi="宋体" w:eastAsia="宋体" w:cs="宋体"/>
                <w:color w:val="auto"/>
                <w:szCs w:val="21"/>
              </w:rPr>
              <w:t>原料库、产品堆场、发酵间地面采用一般防渗，</w:t>
            </w:r>
            <w:r>
              <w:rPr>
                <w:rFonts w:ascii="宋体" w:hAnsi="宋体" w:eastAsia="宋体" w:cs="宋体"/>
                <w:color w:val="auto"/>
                <w:szCs w:val="21"/>
              </w:rPr>
              <w:t>防渗性能等效黏土防渗层</w:t>
            </w:r>
            <w:r>
              <w:rPr>
                <w:rFonts w:ascii="Times New Roman" w:hAnsi="Times New Roman" w:eastAsia="宋体" w:cs="Times New Roman"/>
                <w:color w:val="auto"/>
                <w:szCs w:val="21"/>
              </w:rPr>
              <w:t>Mb≥1.5m，K≤1×10</w:t>
            </w:r>
            <w:r>
              <w:rPr>
                <w:rFonts w:ascii="Times New Roman" w:hAnsi="Times New Roman" w:eastAsia="宋体" w:cs="Times New Roman"/>
                <w:color w:val="auto"/>
                <w:szCs w:val="21"/>
                <w:vertAlign w:val="superscript"/>
              </w:rPr>
              <w:t>-7</w:t>
            </w:r>
            <w:r>
              <w:rPr>
                <w:rFonts w:ascii="Times New Roman" w:hAnsi="Times New Roman" w:eastAsia="宋体" w:cs="Times New Roman"/>
                <w:color w:val="auto"/>
                <w:szCs w:val="21"/>
              </w:rPr>
              <w:t>cm/s；</w:t>
            </w:r>
            <w:r>
              <w:rPr>
                <w:rFonts w:ascii="宋体" w:hAnsi="宋体" w:eastAsia="宋体" w:cs="宋体"/>
                <w:color w:val="auto"/>
                <w:szCs w:val="21"/>
              </w:rPr>
              <w:t>危废贮存点做重点防渗，采用防渗水泥硬化，内表面涂覆</w:t>
            </w:r>
            <w:r>
              <w:rPr>
                <w:rFonts w:ascii="Times New Roman" w:hAnsi="Times New Roman" w:eastAsia="宋体" w:cs="Times New Roman"/>
                <w:color w:val="auto"/>
                <w:szCs w:val="21"/>
              </w:rPr>
              <w:t>防渗涂料，防渗性能等效黏土防渗层Mb≥6.0m，K≤1×10</w:t>
            </w:r>
            <w:r>
              <w:rPr>
                <w:rFonts w:ascii="Times New Roman" w:hAnsi="Times New Roman" w:eastAsia="宋体" w:cs="Times New Roman"/>
                <w:color w:val="auto"/>
                <w:szCs w:val="21"/>
                <w:vertAlign w:val="superscript"/>
              </w:rPr>
              <w:t>-7</w:t>
            </w:r>
            <w:r>
              <w:rPr>
                <w:rFonts w:ascii="Times New Roman" w:hAnsi="Times New Roman" w:eastAsia="宋体" w:cs="Times New Roman"/>
                <w:color w:val="auto"/>
                <w:szCs w:val="21"/>
              </w:rPr>
              <w:t>cm/s。</w:t>
            </w:r>
          </w:p>
        </w:tc>
      </w:tr>
      <w:tr w14:paraId="7BDB5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21" w:type="pct"/>
            <w:noWrap w:val="0"/>
            <w:vAlign w:val="center"/>
          </w:tcPr>
          <w:p w14:paraId="52A6858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rPr>
            </w:pPr>
            <w:r>
              <w:rPr>
                <w:rFonts w:hint="eastAsia" w:ascii="宋体" w:hAnsi="宋体" w:eastAsia="宋体" w:cs="宋体"/>
                <w:color w:val="auto"/>
                <w:szCs w:val="21"/>
              </w:rPr>
              <w:t>生态保护措施</w:t>
            </w:r>
          </w:p>
        </w:tc>
        <w:tc>
          <w:tcPr>
            <w:tcW w:w="4378" w:type="pct"/>
            <w:gridSpan w:val="4"/>
            <w:noWrap w:val="0"/>
            <w:vAlign w:val="center"/>
          </w:tcPr>
          <w:p w14:paraId="2351B15F">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Cs w:val="21"/>
              </w:rPr>
            </w:pPr>
            <w:r>
              <w:rPr>
                <w:rFonts w:hint="eastAsia" w:ascii="Calibri" w:hAnsi="Calibri" w:eastAsia="宋体" w:cs="Times New Roman"/>
                <w:color w:val="auto"/>
                <w:szCs w:val="21"/>
              </w:rPr>
              <w:t>无</w:t>
            </w:r>
          </w:p>
        </w:tc>
      </w:tr>
      <w:tr w14:paraId="2A723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1" w:type="pct"/>
            <w:noWrap w:val="0"/>
            <w:vAlign w:val="center"/>
          </w:tcPr>
          <w:p w14:paraId="7135220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pacing w:val="-8"/>
                <w:szCs w:val="21"/>
              </w:rPr>
            </w:pPr>
            <w:r>
              <w:rPr>
                <w:rFonts w:hint="eastAsia" w:ascii="宋体" w:hAnsi="宋体" w:eastAsia="宋体" w:cs="宋体"/>
                <w:color w:val="auto"/>
                <w:spacing w:val="-8"/>
                <w:szCs w:val="21"/>
              </w:rPr>
              <w:t>环境风险防范措施</w:t>
            </w:r>
          </w:p>
        </w:tc>
        <w:tc>
          <w:tcPr>
            <w:tcW w:w="4378" w:type="pct"/>
            <w:gridSpan w:val="4"/>
            <w:noWrap w:val="0"/>
            <w:vAlign w:val="center"/>
          </w:tcPr>
          <w:p w14:paraId="26C9207E">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①加强废机油的管理，远离火种、热源；配备相应品种和数量的消防器材。</w:t>
            </w:r>
          </w:p>
          <w:p w14:paraId="6C641682">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②设定专门的危废贮存点，并按照《危险废物贮存污染控制标准》（GB18597-2023）的相关要求采取相应的防晒、防渗、防淋等措施，避免产生二次污染。危废不得与其他垃圾混存，委托具有危废处理资质的单位回收进行处置，禁止私自处理。</w:t>
            </w:r>
          </w:p>
          <w:p w14:paraId="1DD055C1">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③当发生机油泄漏时，应及时采用木糠拦截、桶装收集、抹布清理，送至危险废物贮存点贮存，避免对大气环境、地下水环境和土壤环境造成污染。</w:t>
            </w:r>
          </w:p>
          <w:p w14:paraId="0A510103">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④当发生废机油火灾时，迅速撤离泄漏污染区人员至上风处，并立即进行隔离。尽可能切断泄漏源及采取灭火措施；合理通风，加速扩散；危废贮存点附近配备干粉灭火器等应急救援物资。</w:t>
            </w:r>
          </w:p>
        </w:tc>
      </w:tr>
      <w:tr w14:paraId="33219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1" w:type="pct"/>
            <w:noWrap w:val="0"/>
            <w:vAlign w:val="center"/>
          </w:tcPr>
          <w:p w14:paraId="2A780280">
            <w:pPr>
              <w:keepNext w:val="0"/>
              <w:keepLines w:val="0"/>
              <w:suppressLineNumbers w:val="0"/>
              <w:adjustRightInd w:val="0"/>
              <w:snapToGrid w:val="0"/>
              <w:spacing w:before="0" w:beforeAutospacing="0" w:after="0" w:afterAutospacing="0" w:line="360" w:lineRule="exact"/>
              <w:ind w:left="0" w:right="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其他环境管理要求</w:t>
            </w:r>
          </w:p>
        </w:tc>
        <w:tc>
          <w:tcPr>
            <w:tcW w:w="4378" w:type="pct"/>
            <w:gridSpan w:val="4"/>
            <w:noWrap w:val="0"/>
            <w:vAlign w:val="center"/>
          </w:tcPr>
          <w:p w14:paraId="2431503F">
            <w:pPr>
              <w:pStyle w:val="44"/>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sz w:val="21"/>
                <w:szCs w:val="21"/>
              </w:rPr>
            </w:pPr>
            <w:r>
              <w:rPr>
                <w:rFonts w:hint="eastAsia" w:ascii="Calibri" w:hAnsi="Calibri" w:eastAsia="宋体" w:cs="Times New Roman"/>
                <w:color w:val="auto"/>
                <w:sz w:val="21"/>
                <w:szCs w:val="21"/>
              </w:rPr>
              <w:t>按照相关环境保护要求，进行排污申报；评价建议企业在运行过程中设立环境管理台账。记录内容包括基本信息、生产设施运行管理信息、污染治理设施运行管理信息、监测记录信息及其他环境管理信息等。</w:t>
            </w:r>
          </w:p>
        </w:tc>
      </w:tr>
    </w:tbl>
    <w:p w14:paraId="07CA657D">
      <w:pPr>
        <w:pStyle w:val="22"/>
        <w:spacing w:before="0" w:beforeAutospacing="0" w:after="0" w:afterAutospacing="0"/>
        <w:jc w:val="center"/>
        <w:outlineLvl w:val="0"/>
        <w:rPr>
          <w:rFonts w:ascii="黑体" w:hAnsi="黑体" w:eastAsia="黑体"/>
          <w:snapToGrid w:val="0"/>
          <w:color w:val="auto"/>
          <w:sz w:val="30"/>
          <w:szCs w:val="30"/>
        </w:rPr>
      </w:pPr>
      <w:r>
        <w:rPr>
          <w:snapToGrid w:val="0"/>
          <w:color w:val="auto"/>
        </w:rPr>
        <w:br w:type="page"/>
      </w:r>
      <w:bookmarkStart w:id="31" w:name="_Toc2842"/>
      <w:r>
        <w:rPr>
          <w:rFonts w:hint="eastAsia" w:ascii="黑体" w:hAnsi="黑体" w:eastAsia="黑体"/>
          <w:snapToGrid w:val="0"/>
          <w:color w:val="auto"/>
          <w:sz w:val="30"/>
          <w:szCs w:val="30"/>
        </w:rPr>
        <w:t>六、结论</w:t>
      </w:r>
      <w:bookmarkEnd w:id="31"/>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B1CA3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641" w:hRule="atLeast"/>
          <w:jc w:val="center"/>
        </w:trPr>
        <w:tc>
          <w:tcPr>
            <w:tcW w:w="8865" w:type="dxa"/>
            <w:noWrap w:val="0"/>
            <w:vAlign w:val="center"/>
          </w:tcPr>
          <w:p w14:paraId="67980445">
            <w:pPr>
              <w:keepNext w:val="0"/>
              <w:keepLines w:val="0"/>
              <w:suppressLineNumbers w:val="0"/>
              <w:tabs>
                <w:tab w:val="left" w:pos="624"/>
              </w:tabs>
              <w:adjustRightInd w:val="0"/>
              <w:snapToGrid w:val="0"/>
              <w:spacing w:before="120" w:beforeLines="50" w:beforeAutospacing="0" w:after="0" w:afterAutospacing="0" w:line="360" w:lineRule="auto"/>
              <w:ind w:left="0" w:right="0" w:firstLine="480" w:firstLineChars="200"/>
              <w:rPr>
                <w:rFonts w:ascii="Calibri" w:hAnsi="Calibri" w:eastAsia="宋体" w:cs="Times New Roman"/>
                <w:color w:val="auto"/>
                <w:sz w:val="24"/>
              </w:rPr>
            </w:pPr>
            <w:r>
              <w:rPr>
                <w:rFonts w:ascii="Calibri" w:hAnsi="Calibri" w:eastAsia="宋体" w:cs="Times New Roman"/>
                <w:color w:val="auto"/>
                <w:sz w:val="24"/>
              </w:rPr>
              <w:t>项目所采用的工艺、设备和规模均不属于国家</w:t>
            </w:r>
            <w:r>
              <w:rPr>
                <w:rFonts w:hint="eastAsia" w:ascii="Calibri" w:hAnsi="Calibri" w:eastAsia="宋体" w:cs="Times New Roman"/>
                <w:color w:val="auto"/>
                <w:sz w:val="24"/>
                <w:lang w:eastAsia="zh-CN"/>
              </w:rPr>
              <w:t>发展和改革委员会</w:t>
            </w:r>
            <w:r>
              <w:rPr>
                <w:rFonts w:ascii="Calibri" w:hAnsi="Calibri" w:eastAsia="宋体" w:cs="Times New Roman"/>
                <w:color w:val="auto"/>
                <w:sz w:val="24"/>
              </w:rPr>
              <w:t>《产业结构调整指导目录（20</w:t>
            </w:r>
            <w:r>
              <w:rPr>
                <w:rFonts w:hint="eastAsia" w:ascii="Calibri" w:hAnsi="Calibri" w:eastAsia="宋体" w:cs="Times New Roman"/>
                <w:color w:val="auto"/>
                <w:sz w:val="24"/>
              </w:rPr>
              <w:t>24</w:t>
            </w:r>
            <w:r>
              <w:rPr>
                <w:rFonts w:ascii="Calibri" w:hAnsi="Calibri" w:eastAsia="宋体" w:cs="Times New Roman"/>
                <w:color w:val="auto"/>
                <w:sz w:val="24"/>
              </w:rPr>
              <w:t>年本）》的限制、淘汰类产业，因此项目的建设符合国家产业政策。另外，项目选址基本合理。本项目所带来的不利环境影响，可以通过采取相应的预防措施和治理措施进行有效控制，从而为环境所接受。因此，在严格执行有关环保</w:t>
            </w:r>
            <w:r>
              <w:rPr>
                <w:rFonts w:hint="eastAsia" w:ascii="Calibri" w:hAnsi="Calibri" w:eastAsia="宋体" w:cs="Times New Roman"/>
                <w:color w:val="auto"/>
                <w:sz w:val="24"/>
              </w:rPr>
              <w:t>法规和“三同时”制</w:t>
            </w:r>
            <w:r>
              <w:rPr>
                <w:rFonts w:ascii="Calibri" w:hAnsi="Calibri" w:eastAsia="宋体" w:cs="Times New Roman"/>
                <w:color w:val="auto"/>
                <w:sz w:val="24"/>
              </w:rPr>
              <w:t>度，</w:t>
            </w:r>
            <w:r>
              <w:rPr>
                <w:rFonts w:hint="eastAsia" w:ascii="Calibri" w:hAnsi="Calibri" w:eastAsia="宋体" w:cs="Times New Roman"/>
                <w:color w:val="auto"/>
                <w:sz w:val="24"/>
              </w:rPr>
              <w:t>在</w:t>
            </w:r>
            <w:r>
              <w:rPr>
                <w:rFonts w:ascii="Calibri" w:hAnsi="Calibri" w:eastAsia="宋体" w:cs="Times New Roman"/>
                <w:color w:val="auto"/>
                <w:sz w:val="24"/>
              </w:rPr>
              <w:t>认真落实本报告</w:t>
            </w:r>
            <w:r>
              <w:rPr>
                <w:rFonts w:hint="eastAsia" w:ascii="Calibri" w:hAnsi="Calibri" w:eastAsia="宋体" w:cs="Times New Roman"/>
                <w:color w:val="auto"/>
                <w:sz w:val="24"/>
              </w:rPr>
              <w:t>中</w:t>
            </w:r>
            <w:r>
              <w:rPr>
                <w:rFonts w:ascii="Calibri" w:hAnsi="Calibri" w:eastAsia="宋体" w:cs="Times New Roman"/>
                <w:color w:val="auto"/>
                <w:sz w:val="24"/>
              </w:rPr>
              <w:t>的各项污染防治措施的基础上，该项目能够实现社会效益、经济效益和环境效益的协调发展。从环境保护角度分析，该项目建设对环境的影响是可接受的，项目的建设也是可行的。</w:t>
            </w:r>
          </w:p>
          <w:p w14:paraId="5B5E8C29">
            <w:pPr>
              <w:keepNext w:val="0"/>
              <w:keepLines w:val="0"/>
              <w:suppressLineNumbers w:val="0"/>
              <w:tabs>
                <w:tab w:val="left" w:pos="3225"/>
              </w:tabs>
              <w:adjustRightInd w:val="0"/>
              <w:snapToGrid w:val="0"/>
              <w:spacing w:before="0" w:beforeAutospacing="0" w:after="0" w:afterAutospacing="0" w:line="360" w:lineRule="auto"/>
              <w:ind w:left="0" w:right="0" w:firstLine="480" w:firstLineChars="200"/>
              <w:rPr>
                <w:rFonts w:hint="eastAsia" w:ascii="Calibri" w:hAnsi="Calibri" w:eastAsia="宋体" w:cs="Times New Roman"/>
                <w:color w:val="auto"/>
                <w:sz w:val="24"/>
              </w:rPr>
            </w:pPr>
          </w:p>
          <w:p w14:paraId="09F4B1AA">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4E6EEA4E">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680F9970">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6017A2F4">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0983F790">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465FA9C2">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344D346E">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5A00A0B4">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2E04B1E0">
            <w:pPr>
              <w:keepNext w:val="0"/>
              <w:keepLines w:val="0"/>
              <w:suppressLineNumbers w:val="0"/>
              <w:tabs>
                <w:tab w:val="left" w:pos="3225"/>
              </w:tabs>
              <w:adjustRightInd w:val="0"/>
              <w:snapToGrid w:val="0"/>
              <w:spacing w:before="0" w:beforeAutospacing="0" w:after="0" w:afterAutospacing="0" w:line="360" w:lineRule="auto"/>
              <w:ind w:left="0" w:right="0" w:firstLine="420" w:firstLineChars="200"/>
              <w:rPr>
                <w:rFonts w:hint="eastAsia" w:ascii="Calibri" w:hAnsi="Calibri" w:eastAsia="宋体" w:cs="Times New Roman"/>
                <w:color w:val="auto"/>
              </w:rPr>
            </w:pPr>
          </w:p>
          <w:p w14:paraId="7298DF05">
            <w:pPr>
              <w:keepNext w:val="0"/>
              <w:keepLines w:val="0"/>
              <w:suppressLineNumbers w:val="0"/>
              <w:tabs>
                <w:tab w:val="left" w:pos="3225"/>
              </w:tabs>
              <w:adjustRightInd w:val="0"/>
              <w:snapToGrid w:val="0"/>
              <w:spacing w:before="0" w:beforeAutospacing="0" w:after="0" w:afterAutospacing="0" w:line="360" w:lineRule="auto"/>
              <w:ind w:left="0" w:right="0"/>
              <w:rPr>
                <w:rFonts w:ascii="Calibri" w:hAnsi="Calibri" w:eastAsia="宋体" w:cs="Times New Roman"/>
                <w:color w:val="auto"/>
              </w:rPr>
            </w:pPr>
          </w:p>
          <w:p w14:paraId="0C1DE2A2">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6A61F29E">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0B8405F4">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5C8DCDCA">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002FFC26">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65F9720F">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632591A4">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21FA7DA3">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59830F18">
            <w:pPr>
              <w:pStyle w:val="44"/>
              <w:keepNext w:val="0"/>
              <w:keepLines w:val="0"/>
              <w:suppressLineNumbers w:val="0"/>
              <w:spacing w:before="0" w:beforeAutospacing="0" w:after="0" w:afterAutospacing="0"/>
              <w:ind w:left="0" w:right="0" w:firstLine="480"/>
              <w:rPr>
                <w:rFonts w:ascii="宋体" w:hAnsi="Calibri" w:eastAsia="宋体" w:cs="宋体"/>
                <w:color w:val="auto"/>
              </w:rPr>
            </w:pPr>
          </w:p>
          <w:p w14:paraId="5118EEDD">
            <w:pPr>
              <w:pStyle w:val="44"/>
              <w:keepNext w:val="0"/>
              <w:keepLines w:val="0"/>
              <w:suppressLineNumbers w:val="0"/>
              <w:spacing w:before="0" w:beforeAutospacing="0" w:after="0" w:afterAutospacing="0"/>
              <w:ind w:left="0" w:right="0" w:firstLine="480"/>
              <w:rPr>
                <w:rFonts w:ascii="宋体" w:hAnsi="Calibri" w:eastAsia="宋体" w:cs="宋体"/>
                <w:color w:val="auto"/>
              </w:rPr>
            </w:pPr>
          </w:p>
        </w:tc>
      </w:tr>
    </w:tbl>
    <w:p w14:paraId="1F4D6ADC">
      <w:pPr>
        <w:rPr>
          <w:rFonts w:ascii="宋体"/>
          <w:color w:val="auto"/>
        </w:rPr>
        <w:sectPr>
          <w:pgSz w:w="11905" w:h="16838"/>
          <w:pgMar w:top="1417" w:right="1417" w:bottom="1417" w:left="1417" w:header="851" w:footer="1077" w:gutter="0"/>
          <w:cols w:space="720" w:num="1"/>
          <w:docGrid w:linePitch="312" w:charSpace="0"/>
        </w:sectPr>
      </w:pPr>
    </w:p>
    <w:p w14:paraId="59C9148A">
      <w:pPr>
        <w:pStyle w:val="22"/>
        <w:adjustRightInd w:val="0"/>
        <w:snapToGrid w:val="0"/>
        <w:spacing w:before="0" w:beforeAutospacing="0" w:after="0" w:afterAutospacing="0"/>
        <w:outlineLvl w:val="0"/>
        <w:rPr>
          <w:rFonts w:hint="eastAsia" w:ascii="黑体" w:hAnsi="黑体" w:eastAsia="黑体"/>
          <w:snapToGrid w:val="0"/>
          <w:color w:val="auto"/>
          <w:kern w:val="21"/>
          <w:sz w:val="21"/>
          <w:szCs w:val="21"/>
        </w:rPr>
      </w:pPr>
      <w:r>
        <w:rPr>
          <w:rFonts w:hint="eastAsia" w:ascii="黑体" w:hAnsi="黑体" w:eastAsia="黑体"/>
          <w:snapToGrid w:val="0"/>
          <w:color w:val="auto"/>
          <w:kern w:val="21"/>
          <w:sz w:val="21"/>
          <w:szCs w:val="21"/>
        </w:rPr>
        <w:t>附表</w:t>
      </w:r>
    </w:p>
    <w:p w14:paraId="6DDC4006">
      <w:pPr>
        <w:pStyle w:val="22"/>
        <w:adjustRightInd w:val="0"/>
        <w:snapToGrid w:val="0"/>
        <w:spacing w:before="0" w:beforeAutospacing="0" w:after="0" w:afterAutospacing="0"/>
        <w:jc w:val="center"/>
        <w:outlineLvl w:val="0"/>
        <w:rPr>
          <w:rFonts w:hint="eastAsia" w:ascii="方正小标宋_GBK" w:hAnsi="黑体" w:eastAsia="方正小标宋_GBK"/>
          <w:snapToGrid w:val="0"/>
          <w:color w:val="auto"/>
          <w:kern w:val="21"/>
          <w:sz w:val="28"/>
          <w:szCs w:val="28"/>
        </w:rPr>
      </w:pPr>
      <w:r>
        <w:rPr>
          <w:rFonts w:hint="eastAsia" w:ascii="方正小标宋_GBK" w:hAnsi="黑体" w:eastAsia="方正小标宋_GBK"/>
          <w:snapToGrid w:val="0"/>
          <w:color w:val="auto"/>
          <w:kern w:val="21"/>
          <w:sz w:val="28"/>
          <w:szCs w:val="28"/>
        </w:rPr>
        <w:t>建设项目污染物排放量汇总表</w:t>
      </w:r>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855"/>
        <w:gridCol w:w="854"/>
        <w:gridCol w:w="1589"/>
        <w:gridCol w:w="1276"/>
        <w:gridCol w:w="1701"/>
        <w:gridCol w:w="1576"/>
        <w:gridCol w:w="1231"/>
        <w:gridCol w:w="1845"/>
        <w:gridCol w:w="1453"/>
      </w:tblGrid>
      <w:tr w14:paraId="046A0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tcBorders>
              <w:tl2br w:val="single" w:color="auto" w:sz="4" w:space="0"/>
            </w:tcBorders>
            <w:noWrap w:val="0"/>
            <w:tcMar>
              <w:left w:w="28" w:type="dxa"/>
              <w:right w:w="28" w:type="dxa"/>
            </w:tcMar>
            <w:vAlign w:val="center"/>
          </w:tcPr>
          <w:p w14:paraId="0FE144A5">
            <w:pPr>
              <w:pStyle w:val="60"/>
              <w:keepNext w:val="0"/>
              <w:keepLines w:val="0"/>
              <w:suppressLineNumbers w:val="0"/>
              <w:spacing w:before="0" w:beforeLines="0" w:beforeAutospacing="0" w:after="0" w:afterLines="0" w:afterAutospacing="0" w:line="240" w:lineRule="auto"/>
              <w:ind w:left="0" w:right="0"/>
              <w:jc w:val="right"/>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项目</w:t>
            </w:r>
          </w:p>
          <w:p w14:paraId="1C3B63AF">
            <w:pPr>
              <w:pStyle w:val="60"/>
              <w:keepNext w:val="0"/>
              <w:keepLines w:val="0"/>
              <w:suppressLineNumbers w:val="0"/>
              <w:spacing w:before="0" w:beforeLines="0" w:beforeAutospacing="0" w:after="0" w:afterLines="0" w:afterAutospacing="0" w:line="240" w:lineRule="auto"/>
              <w:ind w:left="0" w:right="0"/>
              <w:jc w:val="both"/>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分类</w:t>
            </w:r>
          </w:p>
        </w:tc>
        <w:tc>
          <w:tcPr>
            <w:tcW w:w="1709" w:type="dxa"/>
            <w:gridSpan w:val="2"/>
            <w:noWrap w:val="0"/>
            <w:tcMar>
              <w:left w:w="28" w:type="dxa"/>
              <w:right w:w="28" w:type="dxa"/>
            </w:tcMar>
            <w:vAlign w:val="center"/>
          </w:tcPr>
          <w:p w14:paraId="27D5291E">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污染物名称</w:t>
            </w:r>
          </w:p>
        </w:tc>
        <w:tc>
          <w:tcPr>
            <w:tcW w:w="1589" w:type="dxa"/>
            <w:noWrap w:val="0"/>
            <w:tcMar>
              <w:left w:w="28" w:type="dxa"/>
              <w:right w:w="28" w:type="dxa"/>
            </w:tcMar>
            <w:vAlign w:val="center"/>
          </w:tcPr>
          <w:p w14:paraId="168E6755">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现有工程</w:t>
            </w:r>
          </w:p>
          <w:p w14:paraId="5682F552">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排放量（固体废物产生量）</w:t>
            </w:r>
            <w:r>
              <w:rPr>
                <w:rFonts w:hint="eastAsia" w:hAnsi="宋体" w:eastAsia="宋体" w:cs="宋体"/>
                <w:b/>
                <w:bCs/>
                <w:snapToGrid w:val="0"/>
                <w:color w:val="auto"/>
                <w:kern w:val="21"/>
                <w:szCs w:val="21"/>
              </w:rPr>
              <w:fldChar w:fldCharType="begin"/>
            </w:r>
            <w:r>
              <w:rPr>
                <w:rFonts w:hint="eastAsia" w:hAnsi="宋体" w:eastAsia="宋体" w:cs="宋体"/>
                <w:b/>
                <w:bCs/>
                <w:snapToGrid w:val="0"/>
                <w:color w:val="auto"/>
                <w:kern w:val="21"/>
                <w:szCs w:val="21"/>
              </w:rPr>
              <w:instrText xml:space="preserve"> = 1 \* GB3 \* MERGEFORMAT </w:instrText>
            </w:r>
            <w:r>
              <w:rPr>
                <w:rFonts w:hint="eastAsia" w:hAnsi="宋体" w:eastAsia="宋体" w:cs="宋体"/>
                <w:b/>
                <w:bCs/>
                <w:snapToGrid w:val="0"/>
                <w:color w:val="auto"/>
                <w:kern w:val="21"/>
                <w:szCs w:val="21"/>
              </w:rPr>
              <w:fldChar w:fldCharType="separate"/>
            </w:r>
            <w:r>
              <w:rPr>
                <w:rFonts w:hint="eastAsia" w:hAnsi="宋体" w:eastAsia="宋体" w:cs="宋体"/>
                <w:b/>
                <w:bCs/>
                <w:color w:val="auto"/>
                <w:kern w:val="21"/>
                <w:szCs w:val="21"/>
              </w:rPr>
              <w:t>①</w:t>
            </w:r>
            <w:r>
              <w:rPr>
                <w:rFonts w:hint="eastAsia" w:hAnsi="宋体" w:eastAsia="宋体" w:cs="宋体"/>
                <w:b/>
                <w:bCs/>
                <w:snapToGrid w:val="0"/>
                <w:color w:val="auto"/>
                <w:kern w:val="21"/>
                <w:szCs w:val="21"/>
              </w:rPr>
              <w:fldChar w:fldCharType="end"/>
            </w:r>
          </w:p>
        </w:tc>
        <w:tc>
          <w:tcPr>
            <w:tcW w:w="1276" w:type="dxa"/>
            <w:noWrap w:val="0"/>
            <w:tcMar>
              <w:left w:w="28" w:type="dxa"/>
              <w:right w:w="28" w:type="dxa"/>
            </w:tcMar>
            <w:vAlign w:val="center"/>
          </w:tcPr>
          <w:p w14:paraId="6FE30C99">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现有工程</w:t>
            </w:r>
          </w:p>
          <w:p w14:paraId="53814396">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许可排放量</w:t>
            </w:r>
          </w:p>
          <w:p w14:paraId="6F1B2DCA">
            <w:pPr>
              <w:pStyle w:val="60"/>
              <w:keepNext w:val="0"/>
              <w:keepLines w:val="0"/>
              <w:suppressLineNumbers w:val="0"/>
              <w:spacing w:before="0" w:beforeLines="0" w:beforeAutospacing="0" w:after="0" w:afterLines="0" w:afterAutospacing="0"/>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fldChar w:fldCharType="begin"/>
            </w:r>
            <w:r>
              <w:rPr>
                <w:rFonts w:hint="eastAsia" w:hAnsi="宋体" w:eastAsia="宋体" w:cs="宋体"/>
                <w:b/>
                <w:bCs/>
                <w:snapToGrid w:val="0"/>
                <w:color w:val="auto"/>
                <w:kern w:val="21"/>
                <w:szCs w:val="21"/>
              </w:rPr>
              <w:instrText xml:space="preserve"> = 2 \* GB3 \* MERGEFORMAT </w:instrText>
            </w:r>
            <w:r>
              <w:rPr>
                <w:rFonts w:hint="eastAsia" w:hAnsi="宋体" w:eastAsia="宋体" w:cs="宋体"/>
                <w:b/>
                <w:bCs/>
                <w:snapToGrid w:val="0"/>
                <w:color w:val="auto"/>
                <w:kern w:val="21"/>
                <w:szCs w:val="21"/>
              </w:rPr>
              <w:fldChar w:fldCharType="separate"/>
            </w:r>
            <w:r>
              <w:rPr>
                <w:rFonts w:hint="eastAsia" w:hAnsi="宋体" w:eastAsia="宋体" w:cs="宋体"/>
                <w:b/>
                <w:bCs/>
                <w:snapToGrid w:val="0"/>
                <w:color w:val="auto"/>
                <w:kern w:val="21"/>
                <w:szCs w:val="21"/>
              </w:rPr>
              <w:t>②</w:t>
            </w:r>
            <w:r>
              <w:rPr>
                <w:rFonts w:hint="eastAsia" w:hAnsi="宋体" w:eastAsia="宋体" w:cs="宋体"/>
                <w:b/>
                <w:bCs/>
                <w:snapToGrid w:val="0"/>
                <w:color w:val="auto"/>
                <w:kern w:val="21"/>
                <w:szCs w:val="21"/>
              </w:rPr>
              <w:fldChar w:fldCharType="end"/>
            </w:r>
          </w:p>
        </w:tc>
        <w:tc>
          <w:tcPr>
            <w:tcW w:w="1701" w:type="dxa"/>
            <w:noWrap w:val="0"/>
            <w:tcMar>
              <w:left w:w="28" w:type="dxa"/>
              <w:right w:w="28" w:type="dxa"/>
            </w:tcMar>
            <w:vAlign w:val="center"/>
          </w:tcPr>
          <w:p w14:paraId="4535CC36">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在建工程</w:t>
            </w:r>
          </w:p>
          <w:p w14:paraId="19D07B04">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排放量（固体废物产生量）</w:t>
            </w:r>
            <w:r>
              <w:rPr>
                <w:rFonts w:hint="eastAsia" w:hAnsi="宋体" w:eastAsia="宋体" w:cs="宋体"/>
                <w:b/>
                <w:bCs/>
                <w:snapToGrid w:val="0"/>
                <w:color w:val="auto"/>
                <w:kern w:val="21"/>
                <w:szCs w:val="21"/>
              </w:rPr>
              <w:fldChar w:fldCharType="begin"/>
            </w:r>
            <w:r>
              <w:rPr>
                <w:rFonts w:hint="eastAsia" w:hAnsi="宋体" w:eastAsia="宋体" w:cs="宋体"/>
                <w:b/>
                <w:bCs/>
                <w:snapToGrid w:val="0"/>
                <w:color w:val="auto"/>
                <w:kern w:val="21"/>
                <w:szCs w:val="21"/>
              </w:rPr>
              <w:instrText xml:space="preserve"> = 3 \* GB3 \* MERGEFORMAT </w:instrText>
            </w:r>
            <w:r>
              <w:rPr>
                <w:rFonts w:hint="eastAsia" w:hAnsi="宋体" w:eastAsia="宋体" w:cs="宋体"/>
                <w:b/>
                <w:bCs/>
                <w:snapToGrid w:val="0"/>
                <w:color w:val="auto"/>
                <w:kern w:val="21"/>
                <w:szCs w:val="21"/>
              </w:rPr>
              <w:fldChar w:fldCharType="separate"/>
            </w:r>
            <w:r>
              <w:rPr>
                <w:rFonts w:hint="eastAsia" w:hAnsi="宋体" w:eastAsia="宋体" w:cs="宋体"/>
                <w:b/>
                <w:bCs/>
                <w:color w:val="auto"/>
                <w:kern w:val="21"/>
                <w:szCs w:val="21"/>
              </w:rPr>
              <w:t>③</w:t>
            </w:r>
            <w:r>
              <w:rPr>
                <w:rFonts w:hint="eastAsia" w:hAnsi="宋体" w:eastAsia="宋体" w:cs="宋体"/>
                <w:b/>
                <w:bCs/>
                <w:snapToGrid w:val="0"/>
                <w:color w:val="auto"/>
                <w:kern w:val="21"/>
                <w:szCs w:val="21"/>
              </w:rPr>
              <w:fldChar w:fldCharType="end"/>
            </w:r>
          </w:p>
        </w:tc>
        <w:tc>
          <w:tcPr>
            <w:tcW w:w="1576" w:type="dxa"/>
            <w:noWrap w:val="0"/>
            <w:tcMar>
              <w:left w:w="28" w:type="dxa"/>
              <w:right w:w="28" w:type="dxa"/>
            </w:tcMar>
            <w:vAlign w:val="center"/>
          </w:tcPr>
          <w:p w14:paraId="674B0971">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本项目</w:t>
            </w:r>
          </w:p>
          <w:p w14:paraId="56E3D2FF">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排放量（固体废物产生量）</w:t>
            </w:r>
            <w:r>
              <w:rPr>
                <w:rFonts w:hint="eastAsia" w:hAnsi="宋体" w:eastAsia="宋体" w:cs="宋体"/>
                <w:b/>
                <w:bCs/>
                <w:snapToGrid w:val="0"/>
                <w:color w:val="auto"/>
                <w:kern w:val="21"/>
                <w:szCs w:val="21"/>
              </w:rPr>
              <w:fldChar w:fldCharType="begin"/>
            </w:r>
            <w:r>
              <w:rPr>
                <w:rFonts w:hint="eastAsia" w:hAnsi="宋体" w:eastAsia="宋体" w:cs="宋体"/>
                <w:b/>
                <w:bCs/>
                <w:snapToGrid w:val="0"/>
                <w:color w:val="auto"/>
                <w:kern w:val="21"/>
                <w:szCs w:val="21"/>
              </w:rPr>
              <w:instrText xml:space="preserve"> = 4 \* GB3 \* MERGEFORMAT </w:instrText>
            </w:r>
            <w:r>
              <w:rPr>
                <w:rFonts w:hint="eastAsia" w:hAnsi="宋体" w:eastAsia="宋体" w:cs="宋体"/>
                <w:b/>
                <w:bCs/>
                <w:snapToGrid w:val="0"/>
                <w:color w:val="auto"/>
                <w:kern w:val="21"/>
                <w:szCs w:val="21"/>
              </w:rPr>
              <w:fldChar w:fldCharType="separate"/>
            </w:r>
            <w:r>
              <w:rPr>
                <w:rFonts w:hint="eastAsia" w:hAnsi="宋体" w:eastAsia="宋体" w:cs="宋体"/>
                <w:b/>
                <w:bCs/>
                <w:color w:val="auto"/>
                <w:kern w:val="21"/>
                <w:szCs w:val="21"/>
              </w:rPr>
              <w:t>④</w:t>
            </w:r>
            <w:r>
              <w:rPr>
                <w:rFonts w:hint="eastAsia" w:hAnsi="宋体" w:eastAsia="宋体" w:cs="宋体"/>
                <w:b/>
                <w:bCs/>
                <w:snapToGrid w:val="0"/>
                <w:color w:val="auto"/>
                <w:kern w:val="21"/>
                <w:szCs w:val="21"/>
              </w:rPr>
              <w:fldChar w:fldCharType="end"/>
            </w:r>
          </w:p>
        </w:tc>
        <w:tc>
          <w:tcPr>
            <w:tcW w:w="1231" w:type="dxa"/>
            <w:noWrap w:val="0"/>
            <w:tcMar>
              <w:left w:w="28" w:type="dxa"/>
              <w:right w:w="28" w:type="dxa"/>
            </w:tcMar>
            <w:vAlign w:val="center"/>
          </w:tcPr>
          <w:p w14:paraId="7C00E332">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以新带老削减量</w:t>
            </w:r>
          </w:p>
          <w:p w14:paraId="46866CA7">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（新建项目不填）</w:t>
            </w:r>
            <w:r>
              <w:rPr>
                <w:rFonts w:hint="eastAsia" w:hAnsi="宋体" w:eastAsia="宋体" w:cs="宋体"/>
                <w:b/>
                <w:bCs/>
                <w:snapToGrid w:val="0"/>
                <w:color w:val="auto"/>
                <w:kern w:val="21"/>
                <w:szCs w:val="21"/>
              </w:rPr>
              <w:fldChar w:fldCharType="begin"/>
            </w:r>
            <w:r>
              <w:rPr>
                <w:rFonts w:hint="eastAsia" w:hAnsi="宋体" w:eastAsia="宋体" w:cs="宋体"/>
                <w:b/>
                <w:bCs/>
                <w:snapToGrid w:val="0"/>
                <w:color w:val="auto"/>
                <w:kern w:val="21"/>
                <w:szCs w:val="21"/>
              </w:rPr>
              <w:instrText xml:space="preserve"> = 5 \* GB3 \* MERGEFORMAT </w:instrText>
            </w:r>
            <w:r>
              <w:rPr>
                <w:rFonts w:hint="eastAsia" w:hAnsi="宋体" w:eastAsia="宋体" w:cs="宋体"/>
                <w:b/>
                <w:bCs/>
                <w:snapToGrid w:val="0"/>
                <w:color w:val="auto"/>
                <w:kern w:val="21"/>
                <w:szCs w:val="21"/>
              </w:rPr>
              <w:fldChar w:fldCharType="separate"/>
            </w:r>
            <w:r>
              <w:rPr>
                <w:rFonts w:hint="eastAsia" w:hAnsi="宋体" w:eastAsia="宋体" w:cs="宋体"/>
                <w:b/>
                <w:bCs/>
                <w:color w:val="auto"/>
                <w:kern w:val="21"/>
                <w:szCs w:val="21"/>
              </w:rPr>
              <w:t>⑤</w:t>
            </w:r>
            <w:r>
              <w:rPr>
                <w:rFonts w:hint="eastAsia" w:hAnsi="宋体" w:eastAsia="宋体" w:cs="宋体"/>
                <w:b/>
                <w:bCs/>
                <w:snapToGrid w:val="0"/>
                <w:color w:val="auto"/>
                <w:kern w:val="21"/>
                <w:szCs w:val="21"/>
              </w:rPr>
              <w:fldChar w:fldCharType="end"/>
            </w:r>
          </w:p>
        </w:tc>
        <w:tc>
          <w:tcPr>
            <w:tcW w:w="1845" w:type="dxa"/>
            <w:noWrap w:val="0"/>
            <w:tcMar>
              <w:left w:w="28" w:type="dxa"/>
              <w:right w:w="28" w:type="dxa"/>
            </w:tcMar>
            <w:vAlign w:val="center"/>
          </w:tcPr>
          <w:p w14:paraId="41763D81">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本项目建成后</w:t>
            </w:r>
          </w:p>
          <w:p w14:paraId="662F3C5C">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全厂排放量（固体废物产生量）</w:t>
            </w:r>
            <w:r>
              <w:rPr>
                <w:rFonts w:hint="eastAsia" w:hAnsi="宋体" w:eastAsia="宋体" w:cs="宋体"/>
                <w:b/>
                <w:bCs/>
                <w:snapToGrid w:val="0"/>
                <w:color w:val="auto"/>
                <w:kern w:val="21"/>
                <w:szCs w:val="21"/>
              </w:rPr>
              <w:fldChar w:fldCharType="begin"/>
            </w:r>
            <w:r>
              <w:rPr>
                <w:rFonts w:hint="eastAsia" w:hAnsi="宋体" w:eastAsia="宋体" w:cs="宋体"/>
                <w:b/>
                <w:bCs/>
                <w:snapToGrid w:val="0"/>
                <w:color w:val="auto"/>
                <w:kern w:val="21"/>
                <w:szCs w:val="21"/>
              </w:rPr>
              <w:instrText xml:space="preserve"> = 6 \* GB3 \* MERGEFORMAT </w:instrText>
            </w:r>
            <w:r>
              <w:rPr>
                <w:rFonts w:hint="eastAsia" w:hAnsi="宋体" w:eastAsia="宋体" w:cs="宋体"/>
                <w:b/>
                <w:bCs/>
                <w:snapToGrid w:val="0"/>
                <w:color w:val="auto"/>
                <w:kern w:val="21"/>
                <w:szCs w:val="21"/>
              </w:rPr>
              <w:fldChar w:fldCharType="separate"/>
            </w:r>
            <w:r>
              <w:rPr>
                <w:rFonts w:hint="eastAsia" w:hAnsi="宋体" w:eastAsia="宋体" w:cs="宋体"/>
                <w:b/>
                <w:bCs/>
                <w:color w:val="auto"/>
                <w:kern w:val="21"/>
                <w:szCs w:val="21"/>
              </w:rPr>
              <w:t>⑥</w:t>
            </w:r>
            <w:r>
              <w:rPr>
                <w:rFonts w:hint="eastAsia" w:hAnsi="宋体" w:eastAsia="宋体" w:cs="宋体"/>
                <w:b/>
                <w:bCs/>
                <w:snapToGrid w:val="0"/>
                <w:color w:val="auto"/>
                <w:kern w:val="21"/>
                <w:szCs w:val="21"/>
              </w:rPr>
              <w:fldChar w:fldCharType="end"/>
            </w:r>
          </w:p>
        </w:tc>
        <w:tc>
          <w:tcPr>
            <w:tcW w:w="1453" w:type="dxa"/>
            <w:noWrap w:val="0"/>
            <w:tcMar>
              <w:left w:w="28" w:type="dxa"/>
              <w:right w:w="28" w:type="dxa"/>
            </w:tcMar>
            <w:vAlign w:val="center"/>
          </w:tcPr>
          <w:p w14:paraId="61711E94">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t>变化量</w:t>
            </w:r>
          </w:p>
          <w:p w14:paraId="23A0F60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b/>
                <w:bCs/>
                <w:snapToGrid w:val="0"/>
                <w:color w:val="auto"/>
                <w:kern w:val="21"/>
                <w:szCs w:val="21"/>
              </w:rPr>
            </w:pPr>
            <w:r>
              <w:rPr>
                <w:rFonts w:hint="eastAsia" w:hAnsi="宋体" w:eastAsia="宋体" w:cs="宋体"/>
                <w:b/>
                <w:bCs/>
                <w:snapToGrid w:val="0"/>
                <w:color w:val="auto"/>
                <w:kern w:val="21"/>
                <w:szCs w:val="21"/>
              </w:rPr>
              <w:fldChar w:fldCharType="begin"/>
            </w:r>
            <w:r>
              <w:rPr>
                <w:rFonts w:hint="eastAsia" w:hAnsi="宋体" w:eastAsia="宋体" w:cs="宋体"/>
                <w:b/>
                <w:bCs/>
                <w:snapToGrid w:val="0"/>
                <w:color w:val="auto"/>
                <w:kern w:val="21"/>
                <w:szCs w:val="21"/>
              </w:rPr>
              <w:instrText xml:space="preserve"> = 7 \* GB3 \* MERGEFORMAT </w:instrText>
            </w:r>
            <w:r>
              <w:rPr>
                <w:rFonts w:hint="eastAsia" w:hAnsi="宋体" w:eastAsia="宋体" w:cs="宋体"/>
                <w:b/>
                <w:bCs/>
                <w:snapToGrid w:val="0"/>
                <w:color w:val="auto"/>
                <w:kern w:val="21"/>
                <w:szCs w:val="21"/>
              </w:rPr>
              <w:fldChar w:fldCharType="separate"/>
            </w:r>
            <w:r>
              <w:rPr>
                <w:rFonts w:hint="eastAsia" w:hAnsi="宋体" w:eastAsia="宋体" w:cs="宋体"/>
                <w:b/>
                <w:bCs/>
                <w:color w:val="auto"/>
                <w:kern w:val="21"/>
                <w:szCs w:val="21"/>
              </w:rPr>
              <w:t>⑦</w:t>
            </w:r>
            <w:r>
              <w:rPr>
                <w:rFonts w:hint="eastAsia" w:hAnsi="宋体" w:eastAsia="宋体" w:cs="宋体"/>
                <w:b/>
                <w:bCs/>
                <w:snapToGrid w:val="0"/>
                <w:color w:val="auto"/>
                <w:kern w:val="21"/>
                <w:szCs w:val="21"/>
              </w:rPr>
              <w:fldChar w:fldCharType="end"/>
            </w:r>
          </w:p>
        </w:tc>
      </w:tr>
      <w:tr w14:paraId="2731E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restart"/>
            <w:noWrap w:val="0"/>
            <w:vAlign w:val="center"/>
          </w:tcPr>
          <w:p w14:paraId="17591B3B">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废气</w:t>
            </w:r>
          </w:p>
        </w:tc>
        <w:tc>
          <w:tcPr>
            <w:tcW w:w="855" w:type="dxa"/>
            <w:vMerge w:val="restart"/>
            <w:tcBorders>
              <w:right w:val="single" w:color="000000" w:sz="2" w:space="0"/>
            </w:tcBorders>
            <w:noWrap w:val="0"/>
            <w:vAlign w:val="center"/>
          </w:tcPr>
          <w:p w14:paraId="0BEE8C61">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DA001</w:t>
            </w:r>
          </w:p>
        </w:tc>
        <w:tc>
          <w:tcPr>
            <w:tcW w:w="854" w:type="dxa"/>
            <w:tcBorders>
              <w:left w:val="single" w:color="000000" w:sz="2" w:space="0"/>
            </w:tcBorders>
            <w:noWrap w:val="0"/>
            <w:vAlign w:val="center"/>
          </w:tcPr>
          <w:p w14:paraId="429CBCE8">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46E2FE20">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5B2ABBD2">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3AD63D9F">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5A0172E8">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0.175</w:t>
            </w:r>
          </w:p>
        </w:tc>
        <w:tc>
          <w:tcPr>
            <w:tcW w:w="1231" w:type="dxa"/>
            <w:noWrap w:val="0"/>
            <w:vAlign w:val="center"/>
          </w:tcPr>
          <w:p w14:paraId="2913B66F">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6B784B16">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0.175</w:t>
            </w:r>
          </w:p>
        </w:tc>
        <w:tc>
          <w:tcPr>
            <w:tcW w:w="1453" w:type="dxa"/>
            <w:noWrap w:val="0"/>
            <w:vAlign w:val="center"/>
          </w:tcPr>
          <w:p w14:paraId="3D47F1BE">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+0.175</w:t>
            </w:r>
          </w:p>
        </w:tc>
      </w:tr>
      <w:tr w14:paraId="3AC45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619D0501">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855" w:type="dxa"/>
            <w:vMerge w:val="continue"/>
            <w:tcBorders>
              <w:right w:val="single" w:color="000000" w:sz="2" w:space="0"/>
            </w:tcBorders>
            <w:noWrap w:val="0"/>
            <w:vAlign w:val="center"/>
          </w:tcPr>
          <w:p w14:paraId="4020D5ED">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854" w:type="dxa"/>
            <w:tcBorders>
              <w:left w:val="single" w:color="000000" w:sz="2" w:space="0"/>
            </w:tcBorders>
            <w:noWrap w:val="0"/>
            <w:vAlign w:val="center"/>
          </w:tcPr>
          <w:p w14:paraId="1D84CAD6">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6F167923">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6D72CAE6">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2F75D051">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246D015C">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0.018</w:t>
            </w:r>
          </w:p>
        </w:tc>
        <w:tc>
          <w:tcPr>
            <w:tcW w:w="1231" w:type="dxa"/>
            <w:noWrap w:val="0"/>
            <w:vAlign w:val="center"/>
          </w:tcPr>
          <w:p w14:paraId="69472726">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7C9C7B4A">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0.018</w:t>
            </w:r>
          </w:p>
        </w:tc>
        <w:tc>
          <w:tcPr>
            <w:tcW w:w="1453" w:type="dxa"/>
            <w:noWrap w:val="0"/>
            <w:vAlign w:val="center"/>
          </w:tcPr>
          <w:p w14:paraId="2FD3FCFA">
            <w:pPr>
              <w:pStyle w:val="4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+0.018</w:t>
            </w:r>
          </w:p>
        </w:tc>
      </w:tr>
      <w:tr w14:paraId="1943F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287942F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855" w:type="dxa"/>
            <w:vMerge w:val="restart"/>
            <w:tcBorders>
              <w:right w:val="single" w:color="000000" w:sz="2" w:space="0"/>
            </w:tcBorders>
            <w:noWrap w:val="0"/>
            <w:vAlign w:val="center"/>
          </w:tcPr>
          <w:p w14:paraId="171EE0F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无组织</w:t>
            </w:r>
          </w:p>
        </w:tc>
        <w:tc>
          <w:tcPr>
            <w:tcW w:w="854" w:type="dxa"/>
            <w:tcBorders>
              <w:left w:val="single" w:color="000000" w:sz="2" w:space="0"/>
            </w:tcBorders>
            <w:noWrap w:val="0"/>
            <w:vAlign w:val="center"/>
          </w:tcPr>
          <w:p w14:paraId="220731C0">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ascii="Times New Roman" w:hAnsi="Times New Roman" w:eastAsia="宋体" w:cs="Times New Roman"/>
                <w:color w:val="auto"/>
                <w:szCs w:val="21"/>
              </w:rPr>
              <w:t>NH</w:t>
            </w:r>
            <w:r>
              <w:rPr>
                <w:rFonts w:ascii="Times New Roman" w:hAnsi="Times New Roman" w:eastAsia="宋体" w:cs="Times New Roman"/>
                <w:color w:val="auto"/>
                <w:szCs w:val="21"/>
                <w:vertAlign w:val="subscript"/>
              </w:rPr>
              <w:t>3</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027E9EAB">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6C58CE58">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773FC189">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18A042E3">
            <w:pPr>
              <w:pStyle w:val="60"/>
              <w:keepNext w:val="0"/>
              <w:keepLines w:val="0"/>
              <w:suppressLineNumbers w:val="0"/>
              <w:spacing w:before="24" w:beforeAutospacing="0" w:after="24" w:afterAutospacing="0"/>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0.024</w:t>
            </w:r>
          </w:p>
        </w:tc>
        <w:tc>
          <w:tcPr>
            <w:tcW w:w="1231" w:type="dxa"/>
            <w:noWrap w:val="0"/>
            <w:vAlign w:val="center"/>
          </w:tcPr>
          <w:p w14:paraId="1E67A73A">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52F87206">
            <w:pPr>
              <w:pStyle w:val="60"/>
              <w:keepNext w:val="0"/>
              <w:keepLines w:val="0"/>
              <w:suppressLineNumbers w:val="0"/>
              <w:spacing w:before="24" w:beforeAutospacing="0" w:after="24" w:afterAutospacing="0"/>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0.024</w:t>
            </w:r>
          </w:p>
        </w:tc>
        <w:tc>
          <w:tcPr>
            <w:tcW w:w="1453" w:type="dxa"/>
            <w:noWrap w:val="0"/>
            <w:vAlign w:val="center"/>
          </w:tcPr>
          <w:p w14:paraId="022E01A7">
            <w:pPr>
              <w:pStyle w:val="60"/>
              <w:keepNext w:val="0"/>
              <w:keepLines w:val="0"/>
              <w:suppressLineNumbers w:val="0"/>
              <w:spacing w:before="24" w:beforeAutospacing="0" w:after="24" w:afterAutospacing="0"/>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+0.024</w:t>
            </w:r>
          </w:p>
        </w:tc>
      </w:tr>
      <w:tr w14:paraId="68E2E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1A3D7DDD">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855" w:type="dxa"/>
            <w:vMerge w:val="continue"/>
            <w:tcBorders>
              <w:right w:val="single" w:color="000000" w:sz="2" w:space="0"/>
            </w:tcBorders>
            <w:noWrap w:val="0"/>
            <w:vAlign w:val="center"/>
          </w:tcPr>
          <w:p w14:paraId="0F04EA65">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854" w:type="dxa"/>
            <w:tcBorders>
              <w:left w:val="single" w:color="000000" w:sz="2" w:space="0"/>
            </w:tcBorders>
            <w:noWrap w:val="0"/>
            <w:vAlign w:val="center"/>
          </w:tcPr>
          <w:p w14:paraId="3F3E8826">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ascii="Times New Roman" w:hAnsi="Times New Roman" w:eastAsia="宋体" w:cs="Times New Roman"/>
                <w:color w:val="auto"/>
                <w:szCs w:val="21"/>
              </w:rPr>
              <w:t>H</w:t>
            </w:r>
            <w:r>
              <w:rPr>
                <w:rFonts w:ascii="Times New Roman" w:hAnsi="Times New Roman" w:eastAsia="宋体" w:cs="Times New Roman"/>
                <w:color w:val="auto"/>
                <w:szCs w:val="21"/>
                <w:vertAlign w:val="subscript"/>
              </w:rPr>
              <w:t>2</w:t>
            </w:r>
            <w:r>
              <w:rPr>
                <w:rFonts w:ascii="Times New Roman" w:hAnsi="Times New Roman" w:eastAsia="宋体" w:cs="Times New Roman"/>
                <w:color w:val="auto"/>
                <w:szCs w:val="21"/>
              </w:rPr>
              <w:t>S</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1A60FC8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60A5C8AE">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3A925C53">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5D2A329E">
            <w:pPr>
              <w:pStyle w:val="60"/>
              <w:keepNext w:val="0"/>
              <w:keepLines w:val="0"/>
              <w:suppressLineNumbers w:val="0"/>
              <w:spacing w:before="24" w:beforeAutospacing="0" w:after="24" w:afterAutospacing="0"/>
              <w:ind w:left="0" w:right="0"/>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0.002</w:t>
            </w:r>
          </w:p>
        </w:tc>
        <w:tc>
          <w:tcPr>
            <w:tcW w:w="1231" w:type="dxa"/>
            <w:noWrap w:val="0"/>
            <w:vAlign w:val="center"/>
          </w:tcPr>
          <w:p w14:paraId="291DBE64">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69D9EE9A">
            <w:pPr>
              <w:pStyle w:val="60"/>
              <w:keepNext w:val="0"/>
              <w:keepLines w:val="0"/>
              <w:suppressLineNumbers w:val="0"/>
              <w:spacing w:before="24" w:beforeAutospacing="0" w:after="24" w:afterAutospacing="0"/>
              <w:ind w:left="0" w:right="0"/>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0.002</w:t>
            </w:r>
          </w:p>
        </w:tc>
        <w:tc>
          <w:tcPr>
            <w:tcW w:w="1453" w:type="dxa"/>
            <w:noWrap w:val="0"/>
            <w:vAlign w:val="center"/>
          </w:tcPr>
          <w:p w14:paraId="5BB712E7">
            <w:pPr>
              <w:pStyle w:val="60"/>
              <w:keepNext w:val="0"/>
              <w:keepLines w:val="0"/>
              <w:suppressLineNumbers w:val="0"/>
              <w:spacing w:before="24" w:beforeAutospacing="0" w:after="24" w:afterAutospacing="0"/>
              <w:ind w:left="0" w:right="0"/>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+0.002</w:t>
            </w:r>
          </w:p>
        </w:tc>
      </w:tr>
      <w:tr w14:paraId="77C9E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restart"/>
            <w:noWrap w:val="0"/>
            <w:vAlign w:val="center"/>
          </w:tcPr>
          <w:p w14:paraId="7C6197CC">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废水</w:t>
            </w:r>
          </w:p>
        </w:tc>
        <w:tc>
          <w:tcPr>
            <w:tcW w:w="1709" w:type="dxa"/>
            <w:gridSpan w:val="2"/>
            <w:noWrap w:val="0"/>
            <w:vAlign w:val="center"/>
          </w:tcPr>
          <w:p w14:paraId="14BB06B7">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生活污水</w:t>
            </w:r>
            <w:r>
              <w:rPr>
                <w:rFonts w:hint="eastAsia" w:ascii="Times New Roman" w:hAnsi="Times New Roman" w:eastAsia="宋体" w:cs="Times New Roman"/>
                <w:snapToGrid w:val="0"/>
                <w:color w:val="auto"/>
                <w:kern w:val="21"/>
                <w:szCs w:val="21"/>
              </w:rPr>
              <w:t>（</w:t>
            </w:r>
            <w:r>
              <w:rPr>
                <w:rFonts w:ascii="Times New Roman" w:hAnsi="Times New Roman" w:eastAsia="宋体" w:cs="Times New Roman"/>
                <w:color w:val="auto"/>
                <w:szCs w:val="21"/>
                <w:lang w:bidi="ar"/>
              </w:rPr>
              <w:t>m</w:t>
            </w:r>
            <w:r>
              <w:rPr>
                <w:rFonts w:ascii="Times New Roman" w:hAnsi="Times New Roman" w:eastAsia="宋体" w:cs="Times New Roman"/>
                <w:color w:val="auto"/>
                <w:szCs w:val="21"/>
                <w:vertAlign w:val="superscript"/>
                <w:lang w:bidi="ar"/>
              </w:rPr>
              <w:t>3</w:t>
            </w:r>
            <w:r>
              <w:rPr>
                <w:rFonts w:ascii="Times New Roman" w:hAnsi="Times New Roman" w:eastAsia="宋体" w:cs="Times New Roman"/>
                <w:color w:val="auto"/>
                <w:szCs w:val="21"/>
                <w:lang w:bidi="ar"/>
              </w:rPr>
              <w:t>/a</w:t>
            </w:r>
            <w:r>
              <w:rPr>
                <w:rFonts w:hint="eastAsia" w:ascii="Times New Roman" w:hAnsi="Times New Roman" w:eastAsia="宋体" w:cs="Times New Roman"/>
                <w:snapToGrid w:val="0"/>
                <w:color w:val="auto"/>
                <w:kern w:val="21"/>
                <w:szCs w:val="21"/>
              </w:rPr>
              <w:t>）</w:t>
            </w:r>
          </w:p>
        </w:tc>
        <w:tc>
          <w:tcPr>
            <w:tcW w:w="1589" w:type="dxa"/>
            <w:noWrap w:val="0"/>
            <w:vAlign w:val="center"/>
          </w:tcPr>
          <w:p w14:paraId="57011365">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296A7762">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4C54FD8E">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7D5871B2">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360</w:t>
            </w:r>
          </w:p>
        </w:tc>
        <w:tc>
          <w:tcPr>
            <w:tcW w:w="1231" w:type="dxa"/>
            <w:noWrap w:val="0"/>
            <w:vAlign w:val="center"/>
          </w:tcPr>
          <w:p w14:paraId="3C87F523">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1696537F">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360</w:t>
            </w:r>
          </w:p>
        </w:tc>
        <w:tc>
          <w:tcPr>
            <w:tcW w:w="1453" w:type="dxa"/>
            <w:noWrap w:val="0"/>
            <w:vAlign w:val="center"/>
          </w:tcPr>
          <w:p w14:paraId="6FDFABAA">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+360</w:t>
            </w:r>
          </w:p>
        </w:tc>
      </w:tr>
      <w:tr w14:paraId="6CBCB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783FDC64">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1709" w:type="dxa"/>
            <w:gridSpan w:val="2"/>
            <w:noWrap w:val="0"/>
            <w:vAlign w:val="center"/>
          </w:tcPr>
          <w:p w14:paraId="1401501A">
            <w:pPr>
              <w:pStyle w:val="60"/>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rPr>
            </w:pPr>
            <w:r>
              <w:rPr>
                <w:rFonts w:ascii="Times New Roman" w:hAnsi="Times New Roman" w:eastAsia="宋体" w:cs="Times New Roman"/>
                <w:color w:val="auto"/>
                <w:szCs w:val="21"/>
                <w:lang w:bidi="ar"/>
              </w:rPr>
              <w:t>COD</w:t>
            </w:r>
            <w:r>
              <w:rPr>
                <w:rFonts w:ascii="Times New Roman" w:hAnsi="Times New Roman" w:eastAsia="宋体" w:cs="Times New Roman"/>
                <w:color w:val="auto"/>
                <w:szCs w:val="21"/>
                <w:vertAlign w:val="subscript"/>
                <w:lang w:bidi="ar"/>
              </w:rPr>
              <w:t>Cr</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5C0F17C7">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0019D23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79205DD2">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61A41CDE">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rPr>
              <w:t>65</w:t>
            </w:r>
          </w:p>
        </w:tc>
        <w:tc>
          <w:tcPr>
            <w:tcW w:w="1231" w:type="dxa"/>
            <w:noWrap w:val="0"/>
            <w:vAlign w:val="center"/>
          </w:tcPr>
          <w:p w14:paraId="59800A2E">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4282E0ED">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rPr>
              <w:t>65</w:t>
            </w:r>
          </w:p>
        </w:tc>
        <w:tc>
          <w:tcPr>
            <w:tcW w:w="1453" w:type="dxa"/>
            <w:noWrap w:val="0"/>
            <w:vAlign w:val="center"/>
          </w:tcPr>
          <w:p w14:paraId="3C8A9E49">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w:t>
            </w:r>
            <w:r>
              <w:rPr>
                <w:rFonts w:ascii="Times New Roman" w:hAnsi="Times New Roman" w:eastAsia="宋体" w:cs="Times New Roman"/>
                <w:color w:val="auto"/>
              </w:rPr>
              <w:t>0.0</w:t>
            </w:r>
            <w:r>
              <w:rPr>
                <w:rFonts w:hint="eastAsia" w:ascii="Times New Roman" w:hAnsi="Times New Roman" w:eastAsia="宋体" w:cs="Times New Roman"/>
                <w:color w:val="auto"/>
              </w:rPr>
              <w:t>65</w:t>
            </w:r>
          </w:p>
        </w:tc>
      </w:tr>
      <w:tr w14:paraId="1A036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377A59AC">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1709" w:type="dxa"/>
            <w:gridSpan w:val="2"/>
            <w:noWrap w:val="0"/>
            <w:vAlign w:val="center"/>
          </w:tcPr>
          <w:p w14:paraId="4BD47F32">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ascii="Times New Roman" w:hAnsi="Times New Roman" w:eastAsia="宋体" w:cs="Times New Roman"/>
                <w:color w:val="auto"/>
                <w:szCs w:val="21"/>
                <w:lang w:bidi="ar"/>
              </w:rPr>
              <w:t>BOD</w:t>
            </w:r>
            <w:r>
              <w:rPr>
                <w:rFonts w:ascii="Times New Roman" w:hAnsi="Times New Roman" w:eastAsia="宋体" w:cs="Times New Roman"/>
                <w:color w:val="auto"/>
                <w:szCs w:val="21"/>
                <w:vertAlign w:val="subscript"/>
                <w:lang w:bidi="ar"/>
              </w:rPr>
              <w:t>5</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5E722D1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759233CD">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7DABE0C5">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47926FF2">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rPr>
              <w:t>36</w:t>
            </w:r>
          </w:p>
        </w:tc>
        <w:tc>
          <w:tcPr>
            <w:tcW w:w="1231" w:type="dxa"/>
            <w:noWrap w:val="0"/>
            <w:vAlign w:val="center"/>
          </w:tcPr>
          <w:p w14:paraId="53C57F25">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4654D7CD">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rPr>
              <w:t>36</w:t>
            </w:r>
          </w:p>
        </w:tc>
        <w:tc>
          <w:tcPr>
            <w:tcW w:w="1453" w:type="dxa"/>
            <w:noWrap w:val="0"/>
            <w:vAlign w:val="center"/>
          </w:tcPr>
          <w:p w14:paraId="3D6AA422">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w:t>
            </w:r>
            <w:r>
              <w:rPr>
                <w:rFonts w:ascii="Times New Roman" w:hAnsi="Times New Roman" w:eastAsia="宋体" w:cs="Times New Roman"/>
                <w:color w:val="auto"/>
              </w:rPr>
              <w:t>0.0</w:t>
            </w:r>
            <w:r>
              <w:rPr>
                <w:rFonts w:hint="eastAsia" w:ascii="Times New Roman" w:hAnsi="Times New Roman" w:eastAsia="宋体" w:cs="Times New Roman"/>
                <w:color w:val="auto"/>
              </w:rPr>
              <w:t>36</w:t>
            </w:r>
          </w:p>
        </w:tc>
      </w:tr>
      <w:tr w14:paraId="56F48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1466AE0B">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1709" w:type="dxa"/>
            <w:gridSpan w:val="2"/>
            <w:noWrap w:val="0"/>
            <w:vAlign w:val="center"/>
          </w:tcPr>
          <w:p w14:paraId="442BC6E0">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SS</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3CCA50E7">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05E661FC">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6C9730F5">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41510BAF">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rPr>
              <w:t>36</w:t>
            </w:r>
          </w:p>
        </w:tc>
        <w:tc>
          <w:tcPr>
            <w:tcW w:w="1231" w:type="dxa"/>
            <w:noWrap w:val="0"/>
            <w:vAlign w:val="center"/>
          </w:tcPr>
          <w:p w14:paraId="5E6ADAD0">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4F8F78F1">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rPr>
              <w:t>36</w:t>
            </w:r>
          </w:p>
        </w:tc>
        <w:tc>
          <w:tcPr>
            <w:tcW w:w="1453" w:type="dxa"/>
            <w:noWrap w:val="0"/>
            <w:vAlign w:val="center"/>
          </w:tcPr>
          <w:p w14:paraId="7A7DE7BD">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w:t>
            </w:r>
            <w:r>
              <w:rPr>
                <w:rFonts w:ascii="Times New Roman" w:hAnsi="Times New Roman" w:eastAsia="宋体" w:cs="Times New Roman"/>
                <w:color w:val="auto"/>
              </w:rPr>
              <w:t>0.0</w:t>
            </w:r>
            <w:r>
              <w:rPr>
                <w:rFonts w:hint="eastAsia" w:ascii="Times New Roman" w:hAnsi="Times New Roman" w:eastAsia="宋体" w:cs="Times New Roman"/>
                <w:color w:val="auto"/>
              </w:rPr>
              <w:t>36</w:t>
            </w:r>
          </w:p>
        </w:tc>
      </w:tr>
      <w:tr w14:paraId="6003A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408" w:type="dxa"/>
            <w:vMerge w:val="continue"/>
            <w:noWrap w:val="0"/>
            <w:vAlign w:val="center"/>
          </w:tcPr>
          <w:p w14:paraId="0EA34628">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1709" w:type="dxa"/>
            <w:gridSpan w:val="2"/>
            <w:noWrap w:val="0"/>
            <w:vAlign w:val="center"/>
          </w:tcPr>
          <w:p w14:paraId="2614F629">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ascii="Times New Roman" w:hAnsi="Times New Roman" w:eastAsia="宋体" w:cs="Times New Roman"/>
                <w:color w:val="auto"/>
                <w:szCs w:val="21"/>
                <w:lang w:bidi="ar"/>
              </w:rPr>
              <w:t>NH</w:t>
            </w:r>
            <w:r>
              <w:rPr>
                <w:rFonts w:ascii="Times New Roman" w:hAnsi="Times New Roman" w:eastAsia="宋体" w:cs="Times New Roman"/>
                <w:color w:val="auto"/>
                <w:szCs w:val="21"/>
                <w:vertAlign w:val="subscript"/>
                <w:lang w:bidi="ar"/>
              </w:rPr>
              <w:t>3</w:t>
            </w:r>
            <w:r>
              <w:rPr>
                <w:rFonts w:ascii="Times New Roman" w:hAnsi="Times New Roman" w:eastAsia="宋体" w:cs="Times New Roman"/>
                <w:color w:val="auto"/>
                <w:szCs w:val="21"/>
                <w:lang w:bidi="ar"/>
              </w:rPr>
              <w:t>-N</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0EC316B7">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643A1AC2">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65D469E7">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29A6DBA6">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rPr>
              <w:t>09</w:t>
            </w:r>
          </w:p>
        </w:tc>
        <w:tc>
          <w:tcPr>
            <w:tcW w:w="1231" w:type="dxa"/>
            <w:noWrap w:val="0"/>
            <w:vAlign w:val="center"/>
          </w:tcPr>
          <w:p w14:paraId="7AA97E5B">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1C665445">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rPr>
              <w:t>09</w:t>
            </w:r>
          </w:p>
        </w:tc>
        <w:tc>
          <w:tcPr>
            <w:tcW w:w="1453" w:type="dxa"/>
            <w:noWrap w:val="0"/>
            <w:vAlign w:val="center"/>
          </w:tcPr>
          <w:p w14:paraId="422E883F">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w:t>
            </w:r>
            <w:r>
              <w:rPr>
                <w:rFonts w:ascii="Times New Roman" w:hAnsi="Times New Roman" w:eastAsia="宋体" w:cs="Times New Roman"/>
                <w:color w:val="auto"/>
              </w:rPr>
              <w:t>0.0</w:t>
            </w:r>
            <w:r>
              <w:rPr>
                <w:rFonts w:hint="eastAsia" w:ascii="Times New Roman" w:hAnsi="Times New Roman" w:eastAsia="宋体" w:cs="Times New Roman"/>
                <w:color w:val="auto"/>
              </w:rPr>
              <w:t>09</w:t>
            </w:r>
          </w:p>
        </w:tc>
      </w:tr>
      <w:tr w14:paraId="43CA9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00DB2C0D">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1709" w:type="dxa"/>
            <w:gridSpan w:val="2"/>
            <w:noWrap w:val="0"/>
            <w:vAlign w:val="center"/>
          </w:tcPr>
          <w:p w14:paraId="31A9A4C3">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ascii="Times New Roman" w:hAnsi="Times New Roman" w:eastAsia="宋体" w:cs="Times New Roman"/>
                <w:color w:val="auto"/>
                <w:szCs w:val="21"/>
                <w:lang w:bidi="ar"/>
              </w:rPr>
              <w:t>TP</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6F3407C9">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2814A823">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361E556E">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256463F5">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snapToGrid w:val="0"/>
                <w:color w:val="auto"/>
                <w:kern w:val="21"/>
                <w:szCs w:val="21"/>
              </w:rPr>
            </w:pPr>
            <w:r>
              <w:rPr>
                <w:rFonts w:ascii="Times New Roman" w:hAnsi="Times New Roman" w:eastAsia="宋体" w:cs="Times New Roman"/>
                <w:color w:val="auto"/>
              </w:rPr>
              <w:t>0.00</w:t>
            </w:r>
            <w:r>
              <w:rPr>
                <w:rFonts w:hint="eastAsia" w:ascii="Times New Roman" w:hAnsi="Times New Roman" w:eastAsia="宋体" w:cs="Times New Roman"/>
                <w:color w:val="auto"/>
              </w:rPr>
              <w:t>1</w:t>
            </w:r>
          </w:p>
        </w:tc>
        <w:tc>
          <w:tcPr>
            <w:tcW w:w="1231" w:type="dxa"/>
            <w:noWrap w:val="0"/>
            <w:vAlign w:val="center"/>
          </w:tcPr>
          <w:p w14:paraId="44202858">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66BB1AEE">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rPr>
              <w:t>0.00</w:t>
            </w:r>
            <w:r>
              <w:rPr>
                <w:rFonts w:hint="eastAsia" w:ascii="Times New Roman" w:hAnsi="Times New Roman" w:eastAsia="宋体" w:cs="Times New Roman"/>
                <w:color w:val="auto"/>
              </w:rPr>
              <w:t>1</w:t>
            </w:r>
          </w:p>
        </w:tc>
        <w:tc>
          <w:tcPr>
            <w:tcW w:w="1453" w:type="dxa"/>
            <w:noWrap w:val="0"/>
            <w:vAlign w:val="center"/>
          </w:tcPr>
          <w:p w14:paraId="2A3CE7D0">
            <w:pPr>
              <w:keepNext w:val="0"/>
              <w:keepLines w:val="0"/>
              <w:suppressLineNumbers w:val="0"/>
              <w:spacing w:before="0" w:beforeAutospacing="0" w:after="0" w:afterAutospacing="0" w:line="240" w:lineRule="exact"/>
              <w:ind w:left="0" w:right="0"/>
              <w:jc w:val="center"/>
              <w:rPr>
                <w:rFonts w:ascii="Times New Roman" w:hAnsi="Times New Roman" w:eastAsia="宋体" w:cs="Times New Roman"/>
                <w:snapToGrid w:val="0"/>
                <w:color w:val="auto"/>
                <w:kern w:val="21"/>
                <w:szCs w:val="21"/>
              </w:rPr>
            </w:pPr>
            <w:r>
              <w:rPr>
                <w:rFonts w:hint="eastAsia" w:ascii="Times New Roman" w:hAnsi="Times New Roman" w:eastAsia="宋体" w:cs="Times New Roman"/>
                <w:color w:val="auto"/>
              </w:rPr>
              <w:t>+</w:t>
            </w:r>
            <w:r>
              <w:rPr>
                <w:rFonts w:ascii="Times New Roman" w:hAnsi="Times New Roman" w:eastAsia="宋体" w:cs="Times New Roman"/>
                <w:color w:val="auto"/>
              </w:rPr>
              <w:t>0.00</w:t>
            </w:r>
            <w:r>
              <w:rPr>
                <w:rFonts w:hint="eastAsia" w:ascii="Times New Roman" w:hAnsi="Times New Roman" w:eastAsia="宋体" w:cs="Times New Roman"/>
                <w:color w:val="auto"/>
              </w:rPr>
              <w:t>1</w:t>
            </w:r>
          </w:p>
        </w:tc>
      </w:tr>
      <w:tr w14:paraId="7D350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restart"/>
            <w:noWrap w:val="0"/>
            <w:vAlign w:val="center"/>
          </w:tcPr>
          <w:p w14:paraId="3A0E702D">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一般工业</w:t>
            </w:r>
          </w:p>
          <w:p w14:paraId="6E2F41C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固体废物</w:t>
            </w:r>
          </w:p>
        </w:tc>
        <w:tc>
          <w:tcPr>
            <w:tcW w:w="1709" w:type="dxa"/>
            <w:gridSpan w:val="2"/>
            <w:noWrap w:val="0"/>
            <w:vAlign w:val="center"/>
          </w:tcPr>
          <w:p w14:paraId="35428BA0">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ascii="Times New Roman" w:hAnsi="Times New Roman" w:eastAsia="宋体" w:cs="Times New Roman"/>
                <w:color w:val="auto"/>
                <w:szCs w:val="21"/>
                <w:lang w:bidi="ar"/>
              </w:rPr>
              <w:t>木块、玻璃等非金属固废（</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58B01B7E">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6DAA3864">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1F2E9D91">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3F6A9EF5">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1000</w:t>
            </w:r>
          </w:p>
        </w:tc>
        <w:tc>
          <w:tcPr>
            <w:tcW w:w="1231" w:type="dxa"/>
            <w:noWrap w:val="0"/>
            <w:vAlign w:val="center"/>
          </w:tcPr>
          <w:p w14:paraId="22E8617C">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66CF4B33">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1000</w:t>
            </w:r>
          </w:p>
        </w:tc>
        <w:tc>
          <w:tcPr>
            <w:tcW w:w="1453" w:type="dxa"/>
            <w:noWrap w:val="0"/>
            <w:vAlign w:val="center"/>
          </w:tcPr>
          <w:p w14:paraId="3F490425">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+1000</w:t>
            </w:r>
          </w:p>
        </w:tc>
      </w:tr>
      <w:tr w14:paraId="68D58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75C16706">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1709" w:type="dxa"/>
            <w:gridSpan w:val="2"/>
            <w:noWrap w:val="0"/>
            <w:vAlign w:val="center"/>
          </w:tcPr>
          <w:p w14:paraId="7CB14063">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废弃包装物（</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5068F3A4">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3B5912F2">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1F3B85DD">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1CA36CEB">
            <w:pPr>
              <w:pStyle w:val="60"/>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w:t>
            </w:r>
          </w:p>
        </w:tc>
        <w:tc>
          <w:tcPr>
            <w:tcW w:w="1231" w:type="dxa"/>
            <w:noWrap w:val="0"/>
            <w:vAlign w:val="center"/>
          </w:tcPr>
          <w:p w14:paraId="3A4CAFF9">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4A0694BE">
            <w:pPr>
              <w:pStyle w:val="60"/>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w:t>
            </w:r>
          </w:p>
        </w:tc>
        <w:tc>
          <w:tcPr>
            <w:tcW w:w="1453" w:type="dxa"/>
            <w:noWrap w:val="0"/>
            <w:vAlign w:val="center"/>
          </w:tcPr>
          <w:p w14:paraId="6CFCD646">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w:t>
            </w:r>
          </w:p>
        </w:tc>
      </w:tr>
      <w:tr w14:paraId="65E68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6B759A33">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p>
        </w:tc>
        <w:tc>
          <w:tcPr>
            <w:tcW w:w="1709" w:type="dxa"/>
            <w:gridSpan w:val="2"/>
            <w:noWrap w:val="0"/>
            <w:vAlign w:val="center"/>
          </w:tcPr>
          <w:p w14:paraId="5670308F">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ascii="Times New Roman" w:hAnsi="Times New Roman" w:eastAsia="宋体" w:cs="Times New Roman"/>
                <w:color w:val="auto"/>
                <w:szCs w:val="21"/>
              </w:rPr>
              <w:t>生活垃圾</w:t>
            </w:r>
            <w:r>
              <w:rPr>
                <w:rFonts w:hint="eastAsia" w:ascii="Times New Roman" w:hAnsi="Times New Roman" w:eastAsia="宋体" w:cs="Times New Roman"/>
                <w:color w:val="auto"/>
                <w:szCs w:val="21"/>
                <w:lang w:bidi="ar"/>
              </w:rPr>
              <w:t>（</w:t>
            </w:r>
            <w:r>
              <w:rPr>
                <w:rFonts w:ascii="Times New Roman" w:hAnsi="Times New Roman" w:eastAsia="宋体" w:cs="Times New Roman"/>
                <w:color w:val="auto"/>
                <w:szCs w:val="21"/>
              </w:rPr>
              <w:t>t</w:t>
            </w:r>
            <w:r>
              <w:rPr>
                <w:rFonts w:ascii="Times New Roman" w:hAnsi="Times New Roman" w:eastAsia="宋体" w:cs="Times New Roman"/>
                <w:snapToGrid w:val="0"/>
                <w:color w:val="auto"/>
                <w:kern w:val="21"/>
                <w:szCs w:val="21"/>
              </w:rPr>
              <w:t>/a</w:t>
            </w:r>
            <w:r>
              <w:rPr>
                <w:rFonts w:hint="eastAsia" w:ascii="Times New Roman" w:hAnsi="Times New Roman" w:eastAsia="宋体" w:cs="Times New Roman"/>
                <w:color w:val="auto"/>
                <w:szCs w:val="21"/>
                <w:lang w:bidi="ar"/>
              </w:rPr>
              <w:t>）</w:t>
            </w:r>
          </w:p>
        </w:tc>
        <w:tc>
          <w:tcPr>
            <w:tcW w:w="1589" w:type="dxa"/>
            <w:noWrap w:val="0"/>
            <w:vAlign w:val="center"/>
          </w:tcPr>
          <w:p w14:paraId="536FDAFC">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276" w:type="dxa"/>
            <w:noWrap w:val="0"/>
            <w:vAlign w:val="center"/>
          </w:tcPr>
          <w:p w14:paraId="0B85740F">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701" w:type="dxa"/>
            <w:noWrap w:val="0"/>
            <w:vAlign w:val="center"/>
          </w:tcPr>
          <w:p w14:paraId="31CEE715">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576" w:type="dxa"/>
            <w:noWrap w:val="0"/>
            <w:vAlign w:val="center"/>
          </w:tcPr>
          <w:p w14:paraId="4229FDA8">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1.5</w:t>
            </w:r>
          </w:p>
        </w:tc>
        <w:tc>
          <w:tcPr>
            <w:tcW w:w="1231" w:type="dxa"/>
            <w:noWrap w:val="0"/>
            <w:vAlign w:val="center"/>
          </w:tcPr>
          <w:p w14:paraId="75B733FF">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3A9388E0">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1.5</w:t>
            </w:r>
          </w:p>
        </w:tc>
        <w:tc>
          <w:tcPr>
            <w:tcW w:w="1453" w:type="dxa"/>
            <w:noWrap w:val="0"/>
            <w:vAlign w:val="center"/>
          </w:tcPr>
          <w:p w14:paraId="4312ADC4">
            <w:pPr>
              <w:pStyle w:val="60"/>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auto"/>
                <w:kern w:val="21"/>
                <w:szCs w:val="21"/>
              </w:rPr>
            </w:pPr>
            <w:r>
              <w:rPr>
                <w:rFonts w:hint="eastAsia" w:ascii="Times New Roman" w:hAnsi="Times New Roman" w:eastAsia="宋体" w:cs="Times New Roman"/>
                <w:snapToGrid w:val="0"/>
                <w:color w:val="auto"/>
                <w:kern w:val="21"/>
                <w:szCs w:val="21"/>
              </w:rPr>
              <w:t>+1.5</w:t>
            </w:r>
          </w:p>
        </w:tc>
      </w:tr>
      <w:tr w14:paraId="67530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restart"/>
            <w:noWrap w:val="0"/>
            <w:vAlign w:val="center"/>
          </w:tcPr>
          <w:p w14:paraId="02BE1906">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危险废物</w:t>
            </w:r>
          </w:p>
        </w:tc>
        <w:tc>
          <w:tcPr>
            <w:tcW w:w="1709" w:type="dxa"/>
            <w:gridSpan w:val="2"/>
            <w:noWrap w:val="0"/>
            <w:vAlign w:val="center"/>
          </w:tcPr>
          <w:p w14:paraId="42B6EAB2">
            <w:pPr>
              <w:keepNext w:val="0"/>
              <w:keepLines w:val="0"/>
              <w:suppressLineNumbers w:val="0"/>
              <w:topLinePunct/>
              <w:spacing w:before="0" w:beforeAutospacing="0" w:after="0" w:afterAutospacing="0"/>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color w:val="auto"/>
                <w:kern w:val="0"/>
                <w:szCs w:val="21"/>
              </w:rPr>
              <w:t>废机油</w:t>
            </w:r>
            <w:r>
              <w:rPr>
                <w:rStyle w:val="80"/>
                <w:rFonts w:hint="default" w:ascii="Times New Roman" w:hAnsi="Times New Roman" w:cs="Times New Roman"/>
                <w:color w:val="auto"/>
                <w:lang w:bidi="ar"/>
              </w:rPr>
              <w:t>（t/a）</w:t>
            </w:r>
          </w:p>
        </w:tc>
        <w:tc>
          <w:tcPr>
            <w:tcW w:w="1589" w:type="dxa"/>
            <w:noWrap w:val="0"/>
            <w:vAlign w:val="center"/>
          </w:tcPr>
          <w:p w14:paraId="7A94B987">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noWrap w:val="0"/>
            <w:vAlign w:val="center"/>
          </w:tcPr>
          <w:p w14:paraId="6B5C6511">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noWrap w:val="0"/>
            <w:vAlign w:val="center"/>
          </w:tcPr>
          <w:p w14:paraId="3DC443F3">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76" w:type="dxa"/>
            <w:noWrap w:val="0"/>
            <w:vAlign w:val="center"/>
          </w:tcPr>
          <w:p w14:paraId="6DC7758F">
            <w:pPr>
              <w:keepNext w:val="0"/>
              <w:keepLines w:val="0"/>
              <w:suppressLineNumbers w:val="0"/>
              <w:topLinePunct/>
              <w:adjustRightInd w:val="0"/>
              <w:snapToGrid w:val="0"/>
              <w:spacing w:before="0" w:beforeAutospacing="0" w:after="0" w:afterAutospacing="0"/>
              <w:ind w:left="0" w:right="0"/>
              <w:jc w:val="center"/>
              <w:rPr>
                <w:rFonts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0.1</w:t>
            </w:r>
          </w:p>
        </w:tc>
        <w:tc>
          <w:tcPr>
            <w:tcW w:w="1231" w:type="dxa"/>
            <w:noWrap w:val="0"/>
            <w:vAlign w:val="center"/>
          </w:tcPr>
          <w:p w14:paraId="2D3DF14E">
            <w:pPr>
              <w:pStyle w:val="60"/>
              <w:keepNext w:val="0"/>
              <w:keepLines w:val="0"/>
              <w:suppressLineNumbers w:val="0"/>
              <w:spacing w:before="0" w:beforeLines="0" w:beforeAutospacing="0" w:after="0" w:afterLines="0" w:afterAutospacing="0" w:line="240" w:lineRule="auto"/>
              <w:ind w:left="0" w:right="0"/>
              <w:rPr>
                <w:rFonts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679AC588">
            <w:pPr>
              <w:keepNext w:val="0"/>
              <w:keepLines w:val="0"/>
              <w:suppressLineNumbers w:val="0"/>
              <w:topLinePunct/>
              <w:adjustRightInd w:val="0"/>
              <w:snapToGrid w:val="0"/>
              <w:spacing w:before="0" w:beforeAutospacing="0" w:after="0" w:afterAutospacing="0"/>
              <w:ind w:left="0" w:right="0"/>
              <w:jc w:val="center"/>
              <w:rPr>
                <w:rFonts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0.1</w:t>
            </w:r>
          </w:p>
        </w:tc>
        <w:tc>
          <w:tcPr>
            <w:tcW w:w="1453" w:type="dxa"/>
            <w:noWrap w:val="0"/>
            <w:vAlign w:val="center"/>
          </w:tcPr>
          <w:p w14:paraId="263288EE">
            <w:pPr>
              <w:keepNext w:val="0"/>
              <w:keepLines w:val="0"/>
              <w:suppressLineNumbers w:val="0"/>
              <w:topLinePunct/>
              <w:adjustRightInd w:val="0"/>
              <w:snapToGrid w:val="0"/>
              <w:spacing w:before="0" w:beforeAutospacing="0" w:after="0" w:afterAutospacing="0"/>
              <w:ind w:left="0" w:right="0"/>
              <w:jc w:val="center"/>
              <w:rPr>
                <w:rFonts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+0.1</w:t>
            </w:r>
          </w:p>
        </w:tc>
      </w:tr>
      <w:tr w14:paraId="762DC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3D1E15B8">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1709" w:type="dxa"/>
            <w:gridSpan w:val="2"/>
            <w:noWrap w:val="0"/>
            <w:vAlign w:val="center"/>
          </w:tcPr>
          <w:p w14:paraId="7A0E0C9E">
            <w:pPr>
              <w:keepNext w:val="0"/>
              <w:keepLines w:val="0"/>
              <w:suppressLineNumbers w:val="0"/>
              <w:topLinePunct/>
              <w:spacing w:before="0" w:beforeAutospacing="0" w:after="0" w:afterAutospacing="0"/>
              <w:ind w:left="0" w:right="0"/>
              <w:jc w:val="center"/>
              <w:rPr>
                <w:rFonts w:ascii="Times New Roman" w:hAnsi="Times New Roman" w:eastAsia="宋体" w:cs="Times New Roman"/>
                <w:color w:val="auto"/>
                <w:szCs w:val="21"/>
              </w:rPr>
            </w:pPr>
            <w:r>
              <w:rPr>
                <w:rStyle w:val="80"/>
                <w:rFonts w:hint="default" w:ascii="Times New Roman" w:hAnsi="Times New Roman" w:cs="Times New Roman"/>
                <w:color w:val="auto"/>
                <w:lang w:bidi="ar"/>
              </w:rPr>
              <w:t>废弃的含油抹布（t/a）</w:t>
            </w:r>
          </w:p>
        </w:tc>
        <w:tc>
          <w:tcPr>
            <w:tcW w:w="1589" w:type="dxa"/>
            <w:noWrap w:val="0"/>
            <w:vAlign w:val="center"/>
          </w:tcPr>
          <w:p w14:paraId="4FDA1F65">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noWrap w:val="0"/>
            <w:vAlign w:val="center"/>
          </w:tcPr>
          <w:p w14:paraId="173D1125">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noWrap w:val="0"/>
            <w:vAlign w:val="center"/>
          </w:tcPr>
          <w:p w14:paraId="1EB79D6F">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76" w:type="dxa"/>
            <w:noWrap w:val="0"/>
            <w:vAlign w:val="center"/>
          </w:tcPr>
          <w:p w14:paraId="04D84E22">
            <w:pPr>
              <w:keepNext w:val="0"/>
              <w:keepLines w:val="0"/>
              <w:suppressLineNumbers w:val="0"/>
              <w:topLinePunct/>
              <w:adjustRightInd w:val="0"/>
              <w:snapToGrid w:val="0"/>
              <w:spacing w:before="0" w:beforeAutospacing="0" w:after="0" w:afterAutospacing="0"/>
              <w:ind w:left="0" w:right="0"/>
              <w:jc w:val="center"/>
              <w:rPr>
                <w:rFonts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0.01</w:t>
            </w:r>
          </w:p>
        </w:tc>
        <w:tc>
          <w:tcPr>
            <w:tcW w:w="1231" w:type="dxa"/>
            <w:noWrap w:val="0"/>
            <w:vAlign w:val="center"/>
          </w:tcPr>
          <w:p w14:paraId="3AE8C75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332DF9B0">
            <w:pPr>
              <w:keepNext w:val="0"/>
              <w:keepLines w:val="0"/>
              <w:suppressLineNumbers w:val="0"/>
              <w:topLinePunct/>
              <w:adjustRightInd w:val="0"/>
              <w:snapToGrid w:val="0"/>
              <w:spacing w:before="0" w:beforeAutospacing="0" w:after="0" w:afterAutospacing="0"/>
              <w:ind w:left="0" w:right="0"/>
              <w:jc w:val="center"/>
              <w:rPr>
                <w:rFonts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0.01</w:t>
            </w:r>
          </w:p>
        </w:tc>
        <w:tc>
          <w:tcPr>
            <w:tcW w:w="1453" w:type="dxa"/>
            <w:noWrap w:val="0"/>
            <w:vAlign w:val="center"/>
          </w:tcPr>
          <w:p w14:paraId="51276155">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+0.01</w:t>
            </w:r>
          </w:p>
        </w:tc>
      </w:tr>
      <w:tr w14:paraId="35E30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8" w:type="dxa"/>
            <w:vMerge w:val="continue"/>
            <w:noWrap w:val="0"/>
            <w:vAlign w:val="center"/>
          </w:tcPr>
          <w:p w14:paraId="6EB3EF9A">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p>
        </w:tc>
        <w:tc>
          <w:tcPr>
            <w:tcW w:w="1709" w:type="dxa"/>
            <w:gridSpan w:val="2"/>
            <w:noWrap w:val="0"/>
            <w:vAlign w:val="center"/>
          </w:tcPr>
          <w:p w14:paraId="34110488">
            <w:pPr>
              <w:keepNext w:val="0"/>
              <w:keepLines w:val="0"/>
              <w:suppressLineNumbers w:val="0"/>
              <w:topLinePunct/>
              <w:spacing w:before="0" w:beforeAutospacing="0" w:after="0" w:afterAutospacing="0"/>
              <w:ind w:left="0" w:right="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废机油桶</w:t>
            </w:r>
            <w:r>
              <w:rPr>
                <w:rStyle w:val="80"/>
                <w:rFonts w:hint="default" w:ascii="Times New Roman" w:hAnsi="Times New Roman" w:cs="Times New Roman"/>
                <w:color w:val="auto"/>
                <w:lang w:bidi="ar"/>
              </w:rPr>
              <w:t>（t/a）</w:t>
            </w:r>
          </w:p>
        </w:tc>
        <w:tc>
          <w:tcPr>
            <w:tcW w:w="1589" w:type="dxa"/>
            <w:noWrap w:val="0"/>
            <w:vAlign w:val="center"/>
          </w:tcPr>
          <w:p w14:paraId="5E2A8BD9">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276" w:type="dxa"/>
            <w:noWrap w:val="0"/>
            <w:vAlign w:val="center"/>
          </w:tcPr>
          <w:p w14:paraId="300A1C0D">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701" w:type="dxa"/>
            <w:noWrap w:val="0"/>
            <w:vAlign w:val="center"/>
          </w:tcPr>
          <w:p w14:paraId="60F7B4FF">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snapToGrid w:val="0"/>
                <w:color w:val="auto"/>
                <w:kern w:val="21"/>
                <w:szCs w:val="21"/>
              </w:rPr>
            </w:pPr>
            <w:r>
              <w:rPr>
                <w:rFonts w:ascii="Times New Roman" w:hAnsi="Times New Roman" w:eastAsia="宋体" w:cs="Times New Roman"/>
                <w:snapToGrid w:val="0"/>
                <w:color w:val="auto"/>
                <w:kern w:val="21"/>
                <w:szCs w:val="21"/>
              </w:rPr>
              <w:t>/</w:t>
            </w:r>
          </w:p>
        </w:tc>
        <w:tc>
          <w:tcPr>
            <w:tcW w:w="1576" w:type="dxa"/>
            <w:noWrap w:val="0"/>
            <w:vAlign w:val="center"/>
          </w:tcPr>
          <w:p w14:paraId="7C091F4B">
            <w:pPr>
              <w:keepNext w:val="0"/>
              <w:keepLines w:val="0"/>
              <w:suppressLineNumbers w:val="0"/>
              <w:topLinePunct/>
              <w:adjustRightInd w:val="0"/>
              <w:snapToGrid w:val="0"/>
              <w:spacing w:before="0" w:beforeAutospacing="0" w:after="0" w:afterAutospacing="0"/>
              <w:ind w:left="0" w:right="0"/>
              <w:jc w:val="center"/>
              <w:rPr>
                <w:rFonts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0.1</w:t>
            </w:r>
          </w:p>
        </w:tc>
        <w:tc>
          <w:tcPr>
            <w:tcW w:w="1231" w:type="dxa"/>
            <w:noWrap w:val="0"/>
            <w:vAlign w:val="center"/>
          </w:tcPr>
          <w:p w14:paraId="5C1ABEC2">
            <w:pPr>
              <w:pStyle w:val="60"/>
              <w:keepNext w:val="0"/>
              <w:keepLines w:val="0"/>
              <w:suppressLineNumbers w:val="0"/>
              <w:spacing w:before="0" w:beforeLines="0" w:beforeAutospacing="0" w:after="0" w:afterLines="0" w:afterAutospacing="0" w:line="240" w:lineRule="auto"/>
              <w:ind w:left="0" w:right="0"/>
              <w:rPr>
                <w:rFonts w:hint="eastAsia" w:hAnsi="宋体" w:eastAsia="宋体" w:cs="宋体"/>
                <w:snapToGrid w:val="0"/>
                <w:color w:val="auto"/>
                <w:kern w:val="21"/>
                <w:szCs w:val="21"/>
              </w:rPr>
            </w:pPr>
            <w:r>
              <w:rPr>
                <w:rFonts w:hint="eastAsia" w:hAnsi="宋体" w:eastAsia="宋体" w:cs="宋体"/>
                <w:snapToGrid w:val="0"/>
                <w:color w:val="auto"/>
                <w:kern w:val="21"/>
                <w:szCs w:val="21"/>
              </w:rPr>
              <w:t>/</w:t>
            </w:r>
          </w:p>
        </w:tc>
        <w:tc>
          <w:tcPr>
            <w:tcW w:w="1845" w:type="dxa"/>
            <w:noWrap w:val="0"/>
            <w:vAlign w:val="center"/>
          </w:tcPr>
          <w:p w14:paraId="40DC6E0F">
            <w:pPr>
              <w:keepNext w:val="0"/>
              <w:keepLines w:val="0"/>
              <w:suppressLineNumbers w:val="0"/>
              <w:topLinePunct/>
              <w:adjustRightInd w:val="0"/>
              <w:snapToGrid w:val="0"/>
              <w:spacing w:before="0" w:beforeAutospacing="0" w:after="0" w:afterAutospacing="0"/>
              <w:ind w:left="0" w:right="0"/>
              <w:jc w:val="center"/>
              <w:rPr>
                <w:rFonts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0.1</w:t>
            </w:r>
          </w:p>
        </w:tc>
        <w:tc>
          <w:tcPr>
            <w:tcW w:w="1453" w:type="dxa"/>
            <w:noWrap w:val="0"/>
            <w:vAlign w:val="center"/>
          </w:tcPr>
          <w:p w14:paraId="23276A1E">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21"/>
                <w:szCs w:val="21"/>
              </w:rPr>
            </w:pPr>
            <w:r>
              <w:rPr>
                <w:rFonts w:hint="eastAsia" w:ascii="Calibri" w:hAnsi="Calibri" w:eastAsia="宋体" w:cs="Times New Roman"/>
                <w:snapToGrid w:val="0"/>
                <w:color w:val="auto"/>
                <w:kern w:val="21"/>
                <w:szCs w:val="21"/>
              </w:rPr>
              <w:t>+0.1</w:t>
            </w:r>
          </w:p>
        </w:tc>
      </w:tr>
    </w:tbl>
    <w:p w14:paraId="459CDFC0">
      <w:pPr>
        <w:pStyle w:val="60"/>
        <w:spacing w:beforeLines="0" w:afterLines="0" w:line="240" w:lineRule="auto"/>
        <w:jc w:val="left"/>
        <w:rPr>
          <w:rFonts w:hint="eastAsia" w:hAnsi="宋体"/>
          <w:snapToGrid w:val="0"/>
          <w:color w:val="auto"/>
          <w:kern w:val="21"/>
          <w:szCs w:val="21"/>
        </w:rPr>
      </w:pPr>
      <w:r>
        <w:rPr>
          <w:rFonts w:hAnsi="宋体"/>
          <w:snapToGrid w:val="0"/>
          <w:color w:val="auto"/>
          <w:kern w:val="21"/>
          <w:szCs w:val="21"/>
        </w:rPr>
        <w:t>注：</w:t>
      </w:r>
      <w:r>
        <w:rPr>
          <w:rFonts w:hAnsi="宋体"/>
          <w:snapToGrid w:val="0"/>
          <w:color w:val="auto"/>
          <w:kern w:val="21"/>
          <w:szCs w:val="21"/>
        </w:rPr>
        <w:fldChar w:fldCharType="begin"/>
      </w:r>
      <w:r>
        <w:rPr>
          <w:rFonts w:hAnsi="宋体"/>
          <w:snapToGrid w:val="0"/>
          <w:color w:val="auto"/>
          <w:kern w:val="21"/>
          <w:szCs w:val="21"/>
        </w:rPr>
        <w:instrText xml:space="preserve"> = 6 \* GB3 \* MERGEFORMAT </w:instrText>
      </w:r>
      <w:r>
        <w:rPr>
          <w:rFonts w:hAnsi="宋体"/>
          <w:snapToGrid w:val="0"/>
          <w:color w:val="auto"/>
          <w:kern w:val="21"/>
          <w:szCs w:val="21"/>
        </w:rPr>
        <w:fldChar w:fldCharType="separate"/>
      </w:r>
      <w:r>
        <w:rPr>
          <w:rFonts w:hint="eastAsia" w:hAnsi="宋体"/>
          <w:color w:val="auto"/>
          <w:kern w:val="21"/>
          <w:szCs w:val="21"/>
        </w:rPr>
        <w:t>⑥</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1 \* GB3 \* MERGEFORMAT </w:instrText>
      </w:r>
      <w:r>
        <w:rPr>
          <w:rFonts w:hAnsi="宋体"/>
          <w:snapToGrid w:val="0"/>
          <w:color w:val="auto"/>
          <w:kern w:val="21"/>
          <w:szCs w:val="21"/>
        </w:rPr>
        <w:fldChar w:fldCharType="separate"/>
      </w:r>
      <w:r>
        <w:rPr>
          <w:rFonts w:hint="eastAsia" w:hAnsi="宋体"/>
          <w:color w:val="auto"/>
          <w:kern w:val="21"/>
          <w:szCs w:val="21"/>
        </w:rPr>
        <w:t>①</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3 \* GB3 \* MERGEFORMAT </w:instrText>
      </w:r>
      <w:r>
        <w:rPr>
          <w:rFonts w:hAnsi="宋体"/>
          <w:snapToGrid w:val="0"/>
          <w:color w:val="auto"/>
          <w:kern w:val="21"/>
          <w:szCs w:val="21"/>
        </w:rPr>
        <w:fldChar w:fldCharType="separate"/>
      </w:r>
      <w:r>
        <w:rPr>
          <w:rFonts w:hint="eastAsia" w:hAnsi="宋体"/>
          <w:color w:val="auto"/>
          <w:kern w:val="21"/>
          <w:szCs w:val="21"/>
        </w:rPr>
        <w:t>③</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4 \* GB3 \* MERGEFORMAT </w:instrText>
      </w:r>
      <w:r>
        <w:rPr>
          <w:rFonts w:hAnsi="宋体"/>
          <w:snapToGrid w:val="0"/>
          <w:color w:val="auto"/>
          <w:kern w:val="21"/>
          <w:szCs w:val="21"/>
        </w:rPr>
        <w:fldChar w:fldCharType="separate"/>
      </w:r>
      <w:r>
        <w:rPr>
          <w:rFonts w:hint="eastAsia" w:hAnsi="宋体"/>
          <w:color w:val="auto"/>
          <w:kern w:val="21"/>
          <w:szCs w:val="21"/>
        </w:rPr>
        <w:t>④</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5 \* GB3 \* MERGEFORMAT </w:instrText>
      </w:r>
      <w:r>
        <w:rPr>
          <w:rFonts w:hAnsi="宋体"/>
          <w:snapToGrid w:val="0"/>
          <w:color w:val="auto"/>
          <w:kern w:val="21"/>
          <w:szCs w:val="21"/>
        </w:rPr>
        <w:fldChar w:fldCharType="separate"/>
      </w:r>
      <w:r>
        <w:rPr>
          <w:rFonts w:hint="eastAsia" w:hAnsi="宋体"/>
          <w:color w:val="auto"/>
          <w:kern w:val="21"/>
          <w:szCs w:val="21"/>
        </w:rPr>
        <w:t>⑤</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7 \* GB3 \* MERGEFORMAT </w:instrText>
      </w:r>
      <w:r>
        <w:rPr>
          <w:rFonts w:hAnsi="宋体"/>
          <w:snapToGrid w:val="0"/>
          <w:color w:val="auto"/>
          <w:kern w:val="21"/>
          <w:szCs w:val="21"/>
        </w:rPr>
        <w:fldChar w:fldCharType="separate"/>
      </w:r>
      <w:r>
        <w:rPr>
          <w:rFonts w:hint="eastAsia" w:hAnsi="宋体"/>
          <w:color w:val="auto"/>
          <w:kern w:val="21"/>
          <w:szCs w:val="21"/>
        </w:rPr>
        <w:t>⑦</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6 \* GB3 \* MERGEFORMAT </w:instrText>
      </w:r>
      <w:r>
        <w:rPr>
          <w:rFonts w:hAnsi="宋体"/>
          <w:snapToGrid w:val="0"/>
          <w:color w:val="auto"/>
          <w:kern w:val="21"/>
          <w:szCs w:val="21"/>
        </w:rPr>
        <w:fldChar w:fldCharType="separate"/>
      </w:r>
      <w:r>
        <w:rPr>
          <w:rFonts w:hint="eastAsia" w:hAnsi="宋体"/>
          <w:color w:val="auto"/>
          <w:kern w:val="21"/>
          <w:szCs w:val="21"/>
        </w:rPr>
        <w:t>⑥</w:t>
      </w:r>
      <w:r>
        <w:rPr>
          <w:rFonts w:hAnsi="宋体"/>
          <w:snapToGrid w:val="0"/>
          <w:color w:val="auto"/>
          <w:kern w:val="21"/>
          <w:szCs w:val="21"/>
        </w:rPr>
        <w:fldChar w:fldCharType="end"/>
      </w:r>
      <w:r>
        <w:rPr>
          <w:rFonts w:hAnsi="宋体"/>
          <w:snapToGrid w:val="0"/>
          <w:color w:val="auto"/>
          <w:kern w:val="21"/>
          <w:szCs w:val="21"/>
        </w:rPr>
        <w:t>-</w:t>
      </w:r>
      <w:r>
        <w:rPr>
          <w:rFonts w:hAnsi="宋体"/>
          <w:snapToGrid w:val="0"/>
          <w:color w:val="auto"/>
          <w:kern w:val="21"/>
          <w:szCs w:val="21"/>
        </w:rPr>
        <w:fldChar w:fldCharType="begin"/>
      </w:r>
      <w:r>
        <w:rPr>
          <w:rFonts w:hAnsi="宋体"/>
          <w:snapToGrid w:val="0"/>
          <w:color w:val="auto"/>
          <w:kern w:val="21"/>
          <w:szCs w:val="21"/>
        </w:rPr>
        <w:instrText xml:space="preserve"> = 1 \* GB3 \* MERGEFORMAT </w:instrText>
      </w:r>
      <w:r>
        <w:rPr>
          <w:rFonts w:hAnsi="宋体"/>
          <w:snapToGrid w:val="0"/>
          <w:color w:val="auto"/>
          <w:kern w:val="21"/>
          <w:szCs w:val="21"/>
        </w:rPr>
        <w:fldChar w:fldCharType="separate"/>
      </w:r>
      <w:r>
        <w:rPr>
          <w:rFonts w:hint="eastAsia" w:hAnsi="宋体"/>
          <w:color w:val="auto"/>
          <w:kern w:val="21"/>
          <w:szCs w:val="21"/>
        </w:rPr>
        <w:t>①</w:t>
      </w:r>
      <w:r>
        <w:rPr>
          <w:rFonts w:hAnsi="宋体"/>
          <w:snapToGrid w:val="0"/>
          <w:color w:val="auto"/>
          <w:kern w:val="21"/>
          <w:szCs w:val="21"/>
        </w:rPr>
        <w:fldChar w:fldCharType="end"/>
      </w:r>
    </w:p>
    <w:sectPr>
      <w:footerReference r:id="rId8" w:type="default"/>
      <w:pgSz w:w="16838" w:h="11905" w:orient="landscape"/>
      <w:pgMar w:top="1417" w:right="1417" w:bottom="1417" w:left="1417"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A98F130-8EEF-44B1-95EA-C22255829C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F5AB332-9C4D-4DBE-903F-4A897E79A89E}"/>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楷体_GB2312">
    <w:altName w:val="楷体"/>
    <w:panose1 w:val="02010600030101010101"/>
    <w:charset w:val="86"/>
    <w:family w:val="modern"/>
    <w:pitch w:val="default"/>
    <w:sig w:usb0="00000000" w:usb1="00000000" w:usb2="00000006" w:usb3="00000000" w:csb0="00040001" w:csb1="00000000"/>
    <w:embedRegular r:id="rId3" w:fontKey="{110419D4-ED0A-46F4-894E-334DE8D6ED9E}"/>
  </w:font>
  <w:font w:name="楷体">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0030101010101"/>
    <w:charset w:val="86"/>
    <w:family w:val="modern"/>
    <w:pitch w:val="default"/>
    <w:sig w:usb0="00000000" w:usb1="00000000" w:usb2="00000006" w:usb3="00000000" w:csb0="00040001" w:csb1="00000000"/>
    <w:embedRegular r:id="rId4" w:fontKey="{059A685B-A272-4C61-B589-01586B679E45}"/>
  </w:font>
  <w:font w:name="仿宋">
    <w:panose1 w:val="02010609060101010101"/>
    <w:charset w:val="86"/>
    <w:family w:val="modern"/>
    <w:pitch w:val="default"/>
    <w:sig w:usb0="800002BF" w:usb1="38CF7CFA" w:usb2="00000016" w:usb3="00000000" w:csb0="00040001" w:csb1="00000000"/>
    <w:embedRegular r:id="rId5" w:fontKey="{D69FC2E5-AE14-491C-8014-A2C0AE92D98D}"/>
  </w:font>
  <w:font w:name="方正小标宋_GBK">
    <w:altName w:val="微软雅黑"/>
    <w:panose1 w:val="02000000000000000000"/>
    <w:charset w:val="86"/>
    <w:family w:val="script"/>
    <w:pitch w:val="default"/>
    <w:sig w:usb0="00000000" w:usb1="00000000" w:usb2="00082016" w:usb3="00000000" w:csb0="00040001" w:csb1="00000000"/>
    <w:embedRegular r:id="rId6" w:fontKey="{6315F3AA-73FD-4288-806D-A861C6EBCFE7}"/>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7" w:fontKey="{04C0433B-36FF-4C8E-9FE1-0DB2F3073412}"/>
  </w:font>
  <w:font w:name="Wingdings 2">
    <w:panose1 w:val="05020102010507070707"/>
    <w:charset w:val="02"/>
    <w:family w:val="roman"/>
    <w:pitch w:val="default"/>
    <w:sig w:usb0="00000000" w:usb1="00000000" w:usb2="00000000" w:usb3="00000000" w:csb0="80000000" w:csb1="00000000"/>
    <w:embedRegular r:id="rId8" w:fontKey="{C6F85FDF-609B-4B1E-B2FE-C034C12F7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260B1">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6EA58">
    <w:pPr>
      <w:pStyle w:val="16"/>
      <w:framePr w:wrap="around" w:vAnchor="text" w:hAnchor="margin" w:xAlign="center" w:y="1"/>
      <w:rPr>
        <w:rStyle w:val="29"/>
      </w:rPr>
    </w:pPr>
    <w:r>
      <w:fldChar w:fldCharType="begin"/>
    </w:r>
    <w:r>
      <w:rPr>
        <w:rStyle w:val="29"/>
      </w:rPr>
      <w:instrText xml:space="preserve">PAGE  </w:instrText>
    </w:r>
    <w:r>
      <w:fldChar w:fldCharType="end"/>
    </w:r>
  </w:p>
  <w:p w14:paraId="6D85C257">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7B0D6">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0790B">
    <w:pPr>
      <w:pStyle w:val="1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659115">
                          <w:pPr>
                            <w:pStyle w:val="16"/>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sz w:val="21"/>
                              <w:szCs w:val="21"/>
                            </w:rPr>
                            <w:t xml:space="preserve"> </w:t>
                          </w:r>
                          <w:r>
                            <w:rPr>
                              <w:sz w:val="21"/>
                              <w:szCs w:val="21"/>
                            </w:rPr>
                            <w:fldChar w:fldCharType="begin"/>
                          </w:r>
                          <w:r>
                            <w:rPr>
                              <w:rStyle w:val="29"/>
                              <w:sz w:val="21"/>
                              <w:szCs w:val="21"/>
                            </w:rPr>
                            <w:instrText xml:space="preserve">PAGE  </w:instrText>
                          </w:r>
                          <w:r>
                            <w:rPr>
                              <w:sz w:val="21"/>
                              <w:szCs w:val="21"/>
                            </w:rPr>
                            <w:fldChar w:fldCharType="separate"/>
                          </w:r>
                          <w:r>
                            <w:rPr>
                              <w:rStyle w:val="29"/>
                              <w:sz w:val="21"/>
                              <w:szCs w:val="21"/>
                            </w:rPr>
                            <w:t>39</w:t>
                          </w:r>
                          <w:r>
                            <w:rPr>
                              <w:sz w:val="21"/>
                              <w:szCs w:val="21"/>
                            </w:rPr>
                            <w:fldChar w:fldCharType="end"/>
                          </w:r>
                          <w:r>
                            <w:rPr>
                              <w:rStyle w:val="29"/>
                              <w:sz w:val="21"/>
                              <w:szCs w:val="21"/>
                            </w:rPr>
                            <w:t xml:space="preserve"> </w:t>
                          </w:r>
                          <w:r>
                            <w:rPr>
                              <w:rStyle w:val="29"/>
                              <w:rFonts w:hint="eastAsia" w:ascii="宋体" w:hAnsi="宋体"/>
                              <w:sz w:val="20"/>
                            </w:rPr>
                            <w:t xml:space="preserve"> </w:t>
                          </w:r>
                          <w:r>
                            <w:rPr>
                              <w:rStyle w:val="29"/>
                              <w:rFonts w:hint="eastAsia" w:ascii="宋体" w:hAnsi="宋体"/>
                              <w:sz w:val="28"/>
                              <w:szCs w:val="28"/>
                            </w:rPr>
                            <w:t>—</w:t>
                          </w:r>
                        </w:p>
                      </w:txbxContent>
                    </wps:txbx>
                    <wps:bodyPr wrap="none" lIns="0" tIns="0" rIns="0" bIns="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B0V2HzAEAAJ0DAAAOAAAAAAAAAAEAIAAAAB4BAABkcnMvZTJv&#10;RG9jLnhtbFBLBQYAAAAABgAGAFkBAABcBQAAAAA=&#10;">
              <v:fill on="f" focussize="0,0"/>
              <v:stroke on="f"/>
              <v:imagedata o:title=""/>
              <o:lock v:ext="edit" aspectratio="f"/>
              <v:textbox inset="0mm,0mm,0mm,0mm" style="mso-fit-shape-to-text:t;">
                <w:txbxContent>
                  <w:p w14:paraId="0C659115">
                    <w:pPr>
                      <w:pStyle w:val="16"/>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sz w:val="21"/>
                        <w:szCs w:val="21"/>
                      </w:rPr>
                      <w:t xml:space="preserve"> </w:t>
                    </w:r>
                    <w:r>
                      <w:rPr>
                        <w:sz w:val="21"/>
                        <w:szCs w:val="21"/>
                      </w:rPr>
                      <w:fldChar w:fldCharType="begin"/>
                    </w:r>
                    <w:r>
                      <w:rPr>
                        <w:rStyle w:val="29"/>
                        <w:sz w:val="21"/>
                        <w:szCs w:val="21"/>
                      </w:rPr>
                      <w:instrText xml:space="preserve">PAGE  </w:instrText>
                    </w:r>
                    <w:r>
                      <w:rPr>
                        <w:sz w:val="21"/>
                        <w:szCs w:val="21"/>
                      </w:rPr>
                      <w:fldChar w:fldCharType="separate"/>
                    </w:r>
                    <w:r>
                      <w:rPr>
                        <w:rStyle w:val="29"/>
                        <w:sz w:val="21"/>
                        <w:szCs w:val="21"/>
                      </w:rPr>
                      <w:t>39</w:t>
                    </w:r>
                    <w:r>
                      <w:rPr>
                        <w:sz w:val="21"/>
                        <w:szCs w:val="21"/>
                      </w:rPr>
                      <w:fldChar w:fldCharType="end"/>
                    </w:r>
                    <w:r>
                      <w:rPr>
                        <w:rStyle w:val="29"/>
                        <w:sz w:val="21"/>
                        <w:szCs w:val="21"/>
                      </w:rPr>
                      <w:t xml:space="preserve"> </w:t>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4A8E1">
    <w:pPr>
      <w:pStyle w:val="1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5E2CD4">
                          <w:pPr>
                            <w:pStyle w:val="16"/>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40</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K1gRsoBAACdAwAADgAAAAAAAAABACAAAAAeAQAAZHJzL2Uyb0Rv&#10;Yy54bWxQSwUGAAAAAAYABgBZAQAAWgUAAAAA&#10;">
              <v:fill on="f" focussize="0,0"/>
              <v:stroke on="f"/>
              <v:imagedata o:title=""/>
              <o:lock v:ext="edit" aspectratio="f"/>
              <v:textbox inset="0mm,0mm,0mm,0mm" style="mso-fit-shape-to-text:t;">
                <w:txbxContent>
                  <w:p w14:paraId="065E2CD4">
                    <w:pPr>
                      <w:pStyle w:val="16"/>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40</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378DF">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81212"/>
    <w:multiLevelType w:val="singleLevel"/>
    <w:tmpl w:val="90A81212"/>
    <w:lvl w:ilvl="0" w:tentative="0">
      <w:start w:val="2"/>
      <w:numFmt w:val="decimal"/>
      <w:suff w:val="nothing"/>
      <w:lvlText w:val="%1、"/>
      <w:lvlJc w:val="left"/>
    </w:lvl>
  </w:abstractNum>
  <w:abstractNum w:abstractNumId="1">
    <w:nsid w:val="AD499DBD"/>
    <w:multiLevelType w:val="singleLevel"/>
    <w:tmpl w:val="AD499DBD"/>
    <w:lvl w:ilvl="0" w:tentative="0">
      <w:start w:val="2"/>
      <w:numFmt w:val="decimal"/>
      <w:suff w:val="nothing"/>
      <w:lvlText w:val="（%1）"/>
      <w:lvlJc w:val="left"/>
      <w:pPr>
        <w:ind w:left="-480"/>
      </w:pPr>
    </w:lvl>
  </w:abstractNum>
  <w:abstractNum w:abstractNumId="2">
    <w:nsid w:val="E7D48684"/>
    <w:multiLevelType w:val="singleLevel"/>
    <w:tmpl w:val="E7D48684"/>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01DAB"/>
    <w:rsid w:val="002125B4"/>
    <w:rsid w:val="00213CF6"/>
    <w:rsid w:val="002155B8"/>
    <w:rsid w:val="00224839"/>
    <w:rsid w:val="002249B2"/>
    <w:rsid w:val="00226574"/>
    <w:rsid w:val="002278EC"/>
    <w:rsid w:val="0023280E"/>
    <w:rsid w:val="002377D1"/>
    <w:rsid w:val="00240414"/>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44A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4F4A40"/>
    <w:rsid w:val="004F5404"/>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42F68"/>
    <w:rsid w:val="006748B8"/>
    <w:rsid w:val="006775C3"/>
    <w:rsid w:val="0069290A"/>
    <w:rsid w:val="0069775A"/>
    <w:rsid w:val="00697813"/>
    <w:rsid w:val="006A3EE8"/>
    <w:rsid w:val="006A72BF"/>
    <w:rsid w:val="006B03F2"/>
    <w:rsid w:val="006B3153"/>
    <w:rsid w:val="006B37DC"/>
    <w:rsid w:val="006B4F68"/>
    <w:rsid w:val="006C0592"/>
    <w:rsid w:val="006C272E"/>
    <w:rsid w:val="006C5479"/>
    <w:rsid w:val="006D13B5"/>
    <w:rsid w:val="006E12FF"/>
    <w:rsid w:val="006E607E"/>
    <w:rsid w:val="00706C5D"/>
    <w:rsid w:val="00732922"/>
    <w:rsid w:val="0074771D"/>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411F"/>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110F"/>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3F61"/>
    <w:rsid w:val="00A04F1B"/>
    <w:rsid w:val="00A0501B"/>
    <w:rsid w:val="00A14947"/>
    <w:rsid w:val="00A32A83"/>
    <w:rsid w:val="00A368DB"/>
    <w:rsid w:val="00A423AA"/>
    <w:rsid w:val="00A4697C"/>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0CA3"/>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A0299"/>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B7531"/>
    <w:rsid w:val="00FD0236"/>
    <w:rsid w:val="00FD18F4"/>
    <w:rsid w:val="00FD54DB"/>
    <w:rsid w:val="00FD619F"/>
    <w:rsid w:val="011C355C"/>
    <w:rsid w:val="01290F7E"/>
    <w:rsid w:val="014E6ED5"/>
    <w:rsid w:val="015D1E09"/>
    <w:rsid w:val="016B3458"/>
    <w:rsid w:val="017B5B2E"/>
    <w:rsid w:val="017D4E59"/>
    <w:rsid w:val="01A424A4"/>
    <w:rsid w:val="01B06133"/>
    <w:rsid w:val="01DD6198"/>
    <w:rsid w:val="01F06CEA"/>
    <w:rsid w:val="020C33F5"/>
    <w:rsid w:val="0229425B"/>
    <w:rsid w:val="02697903"/>
    <w:rsid w:val="02A8425B"/>
    <w:rsid w:val="02D36C6A"/>
    <w:rsid w:val="02D60684"/>
    <w:rsid w:val="02F96569"/>
    <w:rsid w:val="032827A9"/>
    <w:rsid w:val="037A6462"/>
    <w:rsid w:val="03E37CF9"/>
    <w:rsid w:val="03EA7B21"/>
    <w:rsid w:val="041E72EC"/>
    <w:rsid w:val="04306AEF"/>
    <w:rsid w:val="04306E84"/>
    <w:rsid w:val="043E0F27"/>
    <w:rsid w:val="044539B7"/>
    <w:rsid w:val="0452328E"/>
    <w:rsid w:val="045315D0"/>
    <w:rsid w:val="0472437A"/>
    <w:rsid w:val="0494099F"/>
    <w:rsid w:val="04A324B1"/>
    <w:rsid w:val="04F271D4"/>
    <w:rsid w:val="050414F1"/>
    <w:rsid w:val="050E2CE9"/>
    <w:rsid w:val="052A53FB"/>
    <w:rsid w:val="05392C7E"/>
    <w:rsid w:val="054777F1"/>
    <w:rsid w:val="055B1455"/>
    <w:rsid w:val="05AD5EB8"/>
    <w:rsid w:val="05B600CD"/>
    <w:rsid w:val="05F51E29"/>
    <w:rsid w:val="05F83EAE"/>
    <w:rsid w:val="063E7D85"/>
    <w:rsid w:val="06470B02"/>
    <w:rsid w:val="06770305"/>
    <w:rsid w:val="06A5235F"/>
    <w:rsid w:val="06B25FC6"/>
    <w:rsid w:val="06C9032B"/>
    <w:rsid w:val="06E90FD1"/>
    <w:rsid w:val="06F05F61"/>
    <w:rsid w:val="071F04B2"/>
    <w:rsid w:val="07293586"/>
    <w:rsid w:val="07295285"/>
    <w:rsid w:val="072B3663"/>
    <w:rsid w:val="072D5559"/>
    <w:rsid w:val="072F3D89"/>
    <w:rsid w:val="07325F92"/>
    <w:rsid w:val="07455EE8"/>
    <w:rsid w:val="075065BC"/>
    <w:rsid w:val="07570EBF"/>
    <w:rsid w:val="07627DDF"/>
    <w:rsid w:val="07636392"/>
    <w:rsid w:val="07770C56"/>
    <w:rsid w:val="079F57D0"/>
    <w:rsid w:val="07AA2BA1"/>
    <w:rsid w:val="07CD3FF5"/>
    <w:rsid w:val="080E21E7"/>
    <w:rsid w:val="082E2C34"/>
    <w:rsid w:val="0836174B"/>
    <w:rsid w:val="083C094E"/>
    <w:rsid w:val="08AE4419"/>
    <w:rsid w:val="08B57532"/>
    <w:rsid w:val="08CA4EDE"/>
    <w:rsid w:val="09143080"/>
    <w:rsid w:val="092217DD"/>
    <w:rsid w:val="093769B3"/>
    <w:rsid w:val="093A7294"/>
    <w:rsid w:val="09B9339F"/>
    <w:rsid w:val="09D462FB"/>
    <w:rsid w:val="09EE06E4"/>
    <w:rsid w:val="0A042EAE"/>
    <w:rsid w:val="0A1F6C12"/>
    <w:rsid w:val="0A263993"/>
    <w:rsid w:val="0A2D3AC2"/>
    <w:rsid w:val="0A64491D"/>
    <w:rsid w:val="0A857703"/>
    <w:rsid w:val="0A921C8D"/>
    <w:rsid w:val="0A9364D3"/>
    <w:rsid w:val="0AA755DF"/>
    <w:rsid w:val="0ABB6AF5"/>
    <w:rsid w:val="0B0C5F48"/>
    <w:rsid w:val="0B120D44"/>
    <w:rsid w:val="0B230A4D"/>
    <w:rsid w:val="0B3B2FEB"/>
    <w:rsid w:val="0B4C5069"/>
    <w:rsid w:val="0B524FAB"/>
    <w:rsid w:val="0B864E60"/>
    <w:rsid w:val="0B8D4633"/>
    <w:rsid w:val="0BC8465F"/>
    <w:rsid w:val="0BD27BF6"/>
    <w:rsid w:val="0BD917AE"/>
    <w:rsid w:val="0BDA4456"/>
    <w:rsid w:val="0BEE5DDC"/>
    <w:rsid w:val="0C0701B0"/>
    <w:rsid w:val="0C1A57EA"/>
    <w:rsid w:val="0C2F27C7"/>
    <w:rsid w:val="0C3B3C7D"/>
    <w:rsid w:val="0C4024A9"/>
    <w:rsid w:val="0C5C7231"/>
    <w:rsid w:val="0C5E1E2E"/>
    <w:rsid w:val="0C76084B"/>
    <w:rsid w:val="0CAA0C4B"/>
    <w:rsid w:val="0CAB2EAE"/>
    <w:rsid w:val="0CC12078"/>
    <w:rsid w:val="0D1749A9"/>
    <w:rsid w:val="0D5F54AB"/>
    <w:rsid w:val="0D621C7D"/>
    <w:rsid w:val="0DBB283E"/>
    <w:rsid w:val="0DBF0B26"/>
    <w:rsid w:val="0DC74A35"/>
    <w:rsid w:val="0E057B45"/>
    <w:rsid w:val="0E32064A"/>
    <w:rsid w:val="0E73034D"/>
    <w:rsid w:val="0E96456E"/>
    <w:rsid w:val="0EB745DC"/>
    <w:rsid w:val="0EE40A7B"/>
    <w:rsid w:val="0EE83A0F"/>
    <w:rsid w:val="0EEA1757"/>
    <w:rsid w:val="0F017417"/>
    <w:rsid w:val="0F136D6A"/>
    <w:rsid w:val="0F13775A"/>
    <w:rsid w:val="0F450DF0"/>
    <w:rsid w:val="0F5E7390"/>
    <w:rsid w:val="0F5F45FE"/>
    <w:rsid w:val="0F681043"/>
    <w:rsid w:val="0F755023"/>
    <w:rsid w:val="0F7C3556"/>
    <w:rsid w:val="0F851E6B"/>
    <w:rsid w:val="0F9A112B"/>
    <w:rsid w:val="10097FFB"/>
    <w:rsid w:val="10221993"/>
    <w:rsid w:val="10240C99"/>
    <w:rsid w:val="106D2F64"/>
    <w:rsid w:val="10742F3F"/>
    <w:rsid w:val="10767E48"/>
    <w:rsid w:val="10781772"/>
    <w:rsid w:val="10B2351A"/>
    <w:rsid w:val="10B63710"/>
    <w:rsid w:val="10CC4A70"/>
    <w:rsid w:val="10E95ABB"/>
    <w:rsid w:val="10F10820"/>
    <w:rsid w:val="111A74E3"/>
    <w:rsid w:val="111C2F7A"/>
    <w:rsid w:val="11396984"/>
    <w:rsid w:val="114605AE"/>
    <w:rsid w:val="116606DE"/>
    <w:rsid w:val="11665CA1"/>
    <w:rsid w:val="118872EF"/>
    <w:rsid w:val="118E0DF0"/>
    <w:rsid w:val="11A27A55"/>
    <w:rsid w:val="11EF1AE1"/>
    <w:rsid w:val="11F4171F"/>
    <w:rsid w:val="12094CEB"/>
    <w:rsid w:val="123D5A40"/>
    <w:rsid w:val="12451DA0"/>
    <w:rsid w:val="12472F1C"/>
    <w:rsid w:val="1248385E"/>
    <w:rsid w:val="12484B10"/>
    <w:rsid w:val="12494C8C"/>
    <w:rsid w:val="125261C4"/>
    <w:rsid w:val="12837E7B"/>
    <w:rsid w:val="129C200F"/>
    <w:rsid w:val="12E91C3F"/>
    <w:rsid w:val="130C66B1"/>
    <w:rsid w:val="13211E97"/>
    <w:rsid w:val="132433D4"/>
    <w:rsid w:val="135D2117"/>
    <w:rsid w:val="13614BB0"/>
    <w:rsid w:val="138530C4"/>
    <w:rsid w:val="13951726"/>
    <w:rsid w:val="13C6684D"/>
    <w:rsid w:val="13E95BB3"/>
    <w:rsid w:val="140F7490"/>
    <w:rsid w:val="142A35F9"/>
    <w:rsid w:val="14396509"/>
    <w:rsid w:val="145D5EFE"/>
    <w:rsid w:val="1464783C"/>
    <w:rsid w:val="14656911"/>
    <w:rsid w:val="14697525"/>
    <w:rsid w:val="146D1670"/>
    <w:rsid w:val="149F5004"/>
    <w:rsid w:val="14B85FDD"/>
    <w:rsid w:val="14CA14E2"/>
    <w:rsid w:val="14DD2C3C"/>
    <w:rsid w:val="14F60CB3"/>
    <w:rsid w:val="150E5FD3"/>
    <w:rsid w:val="151F5960"/>
    <w:rsid w:val="15325C06"/>
    <w:rsid w:val="15473EA0"/>
    <w:rsid w:val="157B232D"/>
    <w:rsid w:val="15C56B19"/>
    <w:rsid w:val="15CC55B1"/>
    <w:rsid w:val="15FF2600"/>
    <w:rsid w:val="16084096"/>
    <w:rsid w:val="16087E1D"/>
    <w:rsid w:val="161232A4"/>
    <w:rsid w:val="161E3CD9"/>
    <w:rsid w:val="16541881"/>
    <w:rsid w:val="16563DFD"/>
    <w:rsid w:val="16834706"/>
    <w:rsid w:val="16DF4210"/>
    <w:rsid w:val="16E64EFA"/>
    <w:rsid w:val="16FC471D"/>
    <w:rsid w:val="17142C0B"/>
    <w:rsid w:val="17243153"/>
    <w:rsid w:val="1752487E"/>
    <w:rsid w:val="17701D14"/>
    <w:rsid w:val="17735226"/>
    <w:rsid w:val="17797C87"/>
    <w:rsid w:val="17E372FD"/>
    <w:rsid w:val="17F034E3"/>
    <w:rsid w:val="17F12953"/>
    <w:rsid w:val="17F540ED"/>
    <w:rsid w:val="18037248"/>
    <w:rsid w:val="180C1E64"/>
    <w:rsid w:val="181F06C4"/>
    <w:rsid w:val="182C5F75"/>
    <w:rsid w:val="182D1698"/>
    <w:rsid w:val="18504EE9"/>
    <w:rsid w:val="18797946"/>
    <w:rsid w:val="188D57C2"/>
    <w:rsid w:val="18942A5B"/>
    <w:rsid w:val="18944870"/>
    <w:rsid w:val="189F624C"/>
    <w:rsid w:val="18AB088A"/>
    <w:rsid w:val="18B77DD7"/>
    <w:rsid w:val="18BD1C85"/>
    <w:rsid w:val="19710A4A"/>
    <w:rsid w:val="1987570F"/>
    <w:rsid w:val="198D4352"/>
    <w:rsid w:val="199038BC"/>
    <w:rsid w:val="19986AA3"/>
    <w:rsid w:val="19D15674"/>
    <w:rsid w:val="1A1C66C0"/>
    <w:rsid w:val="1A324A4D"/>
    <w:rsid w:val="1A42393B"/>
    <w:rsid w:val="1A8658E9"/>
    <w:rsid w:val="1A8F780E"/>
    <w:rsid w:val="1A93402E"/>
    <w:rsid w:val="1A9413EF"/>
    <w:rsid w:val="1A972E1F"/>
    <w:rsid w:val="1AAD45DE"/>
    <w:rsid w:val="1AAE0AAD"/>
    <w:rsid w:val="1AFA4B54"/>
    <w:rsid w:val="1B046F80"/>
    <w:rsid w:val="1B1A3510"/>
    <w:rsid w:val="1B2D7903"/>
    <w:rsid w:val="1B3267B5"/>
    <w:rsid w:val="1B40161D"/>
    <w:rsid w:val="1B441859"/>
    <w:rsid w:val="1B5B171A"/>
    <w:rsid w:val="1B6606B1"/>
    <w:rsid w:val="1B8B7EE7"/>
    <w:rsid w:val="1B900626"/>
    <w:rsid w:val="1B961E96"/>
    <w:rsid w:val="1BB87923"/>
    <w:rsid w:val="1BC30F0C"/>
    <w:rsid w:val="1C1642A7"/>
    <w:rsid w:val="1C236E11"/>
    <w:rsid w:val="1C3A0B0E"/>
    <w:rsid w:val="1C3D48A5"/>
    <w:rsid w:val="1C5046D8"/>
    <w:rsid w:val="1C5E7925"/>
    <w:rsid w:val="1C64104D"/>
    <w:rsid w:val="1C64365A"/>
    <w:rsid w:val="1C705C24"/>
    <w:rsid w:val="1CA84D9D"/>
    <w:rsid w:val="1CFD070F"/>
    <w:rsid w:val="1D0E59C8"/>
    <w:rsid w:val="1D1A6E90"/>
    <w:rsid w:val="1D4A79A9"/>
    <w:rsid w:val="1D5F6196"/>
    <w:rsid w:val="1D6132A5"/>
    <w:rsid w:val="1D8E56D5"/>
    <w:rsid w:val="1D8F4718"/>
    <w:rsid w:val="1DB663B9"/>
    <w:rsid w:val="1DCC309C"/>
    <w:rsid w:val="1E237498"/>
    <w:rsid w:val="1E7A43DA"/>
    <w:rsid w:val="1EBA1146"/>
    <w:rsid w:val="1EC316F6"/>
    <w:rsid w:val="1EC40DAF"/>
    <w:rsid w:val="1ECC6074"/>
    <w:rsid w:val="1F3E1D77"/>
    <w:rsid w:val="1F470500"/>
    <w:rsid w:val="1F5369C4"/>
    <w:rsid w:val="1F556D3E"/>
    <w:rsid w:val="1FB9112B"/>
    <w:rsid w:val="1FCC40C3"/>
    <w:rsid w:val="1FD11459"/>
    <w:rsid w:val="1FD444F4"/>
    <w:rsid w:val="1FE56324"/>
    <w:rsid w:val="1FE7539E"/>
    <w:rsid w:val="1FF13A4B"/>
    <w:rsid w:val="202919B6"/>
    <w:rsid w:val="203F5AF5"/>
    <w:rsid w:val="20671BE0"/>
    <w:rsid w:val="207261AE"/>
    <w:rsid w:val="208E09BC"/>
    <w:rsid w:val="20963CB8"/>
    <w:rsid w:val="209C7AD6"/>
    <w:rsid w:val="20A2253D"/>
    <w:rsid w:val="20A81A1B"/>
    <w:rsid w:val="20B07FB6"/>
    <w:rsid w:val="20B646FB"/>
    <w:rsid w:val="20C2260F"/>
    <w:rsid w:val="20D35C31"/>
    <w:rsid w:val="20D9162C"/>
    <w:rsid w:val="20ED481B"/>
    <w:rsid w:val="21106327"/>
    <w:rsid w:val="213B74B1"/>
    <w:rsid w:val="2141579B"/>
    <w:rsid w:val="215A2310"/>
    <w:rsid w:val="21882BB4"/>
    <w:rsid w:val="21974724"/>
    <w:rsid w:val="21984B4E"/>
    <w:rsid w:val="21C56CD9"/>
    <w:rsid w:val="21CD2F3E"/>
    <w:rsid w:val="21DE318A"/>
    <w:rsid w:val="21DE525D"/>
    <w:rsid w:val="21EE3E7C"/>
    <w:rsid w:val="21EF5B80"/>
    <w:rsid w:val="22510728"/>
    <w:rsid w:val="22576990"/>
    <w:rsid w:val="22B2165A"/>
    <w:rsid w:val="22C961B5"/>
    <w:rsid w:val="22CF0F38"/>
    <w:rsid w:val="22F47480"/>
    <w:rsid w:val="22FB5322"/>
    <w:rsid w:val="230E380E"/>
    <w:rsid w:val="236C6B6C"/>
    <w:rsid w:val="23C57D6C"/>
    <w:rsid w:val="23DE1C48"/>
    <w:rsid w:val="240210CD"/>
    <w:rsid w:val="244F1808"/>
    <w:rsid w:val="245B12BB"/>
    <w:rsid w:val="245C631F"/>
    <w:rsid w:val="2462083F"/>
    <w:rsid w:val="24B044B5"/>
    <w:rsid w:val="24BF09F7"/>
    <w:rsid w:val="24EA2232"/>
    <w:rsid w:val="25145328"/>
    <w:rsid w:val="252D53FE"/>
    <w:rsid w:val="255A72C7"/>
    <w:rsid w:val="25661689"/>
    <w:rsid w:val="25756442"/>
    <w:rsid w:val="25EA40B8"/>
    <w:rsid w:val="25EC2D81"/>
    <w:rsid w:val="26497D70"/>
    <w:rsid w:val="26760D9D"/>
    <w:rsid w:val="2709044B"/>
    <w:rsid w:val="27130CA6"/>
    <w:rsid w:val="27184F12"/>
    <w:rsid w:val="271B5F63"/>
    <w:rsid w:val="2740227C"/>
    <w:rsid w:val="277057A2"/>
    <w:rsid w:val="27932534"/>
    <w:rsid w:val="27953E3C"/>
    <w:rsid w:val="27A23F77"/>
    <w:rsid w:val="27B25483"/>
    <w:rsid w:val="28270BE9"/>
    <w:rsid w:val="285103EB"/>
    <w:rsid w:val="286E47C8"/>
    <w:rsid w:val="288350C6"/>
    <w:rsid w:val="2884378D"/>
    <w:rsid w:val="2887666B"/>
    <w:rsid w:val="28CB276A"/>
    <w:rsid w:val="28ED2551"/>
    <w:rsid w:val="28F505CF"/>
    <w:rsid w:val="29127AB5"/>
    <w:rsid w:val="2916576E"/>
    <w:rsid w:val="29206EB8"/>
    <w:rsid w:val="29335D64"/>
    <w:rsid w:val="29595666"/>
    <w:rsid w:val="296B617C"/>
    <w:rsid w:val="296C6746"/>
    <w:rsid w:val="29874881"/>
    <w:rsid w:val="29A57407"/>
    <w:rsid w:val="29CC7372"/>
    <w:rsid w:val="29DE52B3"/>
    <w:rsid w:val="29E325E0"/>
    <w:rsid w:val="29F91E3E"/>
    <w:rsid w:val="2A0A03C0"/>
    <w:rsid w:val="2A2624D8"/>
    <w:rsid w:val="2A3C09D3"/>
    <w:rsid w:val="2A452503"/>
    <w:rsid w:val="2A6F7438"/>
    <w:rsid w:val="2A7E3970"/>
    <w:rsid w:val="2BA936A8"/>
    <w:rsid w:val="2BBC6A5D"/>
    <w:rsid w:val="2BEA3A5A"/>
    <w:rsid w:val="2BF568AD"/>
    <w:rsid w:val="2C242A74"/>
    <w:rsid w:val="2C315A5A"/>
    <w:rsid w:val="2C424529"/>
    <w:rsid w:val="2C4B1C25"/>
    <w:rsid w:val="2C646CB5"/>
    <w:rsid w:val="2C8A0BE5"/>
    <w:rsid w:val="2CC55B95"/>
    <w:rsid w:val="2CCD718E"/>
    <w:rsid w:val="2CD4522F"/>
    <w:rsid w:val="2CD45688"/>
    <w:rsid w:val="2CD80CCF"/>
    <w:rsid w:val="2D316F91"/>
    <w:rsid w:val="2D514427"/>
    <w:rsid w:val="2D5A7975"/>
    <w:rsid w:val="2D7C5689"/>
    <w:rsid w:val="2D9E56F5"/>
    <w:rsid w:val="2DAF5BEE"/>
    <w:rsid w:val="2DDA1739"/>
    <w:rsid w:val="2DF13843"/>
    <w:rsid w:val="2E1A6729"/>
    <w:rsid w:val="2E5D4E51"/>
    <w:rsid w:val="2E667F96"/>
    <w:rsid w:val="2E802D1F"/>
    <w:rsid w:val="2E8226AB"/>
    <w:rsid w:val="2EBF4557"/>
    <w:rsid w:val="2ECD6C74"/>
    <w:rsid w:val="2F0D76BF"/>
    <w:rsid w:val="2F1369DF"/>
    <w:rsid w:val="2F151E88"/>
    <w:rsid w:val="2F53099F"/>
    <w:rsid w:val="2F666ED9"/>
    <w:rsid w:val="2F667907"/>
    <w:rsid w:val="2F701EE9"/>
    <w:rsid w:val="2F735559"/>
    <w:rsid w:val="2F9708F6"/>
    <w:rsid w:val="2F991012"/>
    <w:rsid w:val="2F9918FF"/>
    <w:rsid w:val="2FA5364F"/>
    <w:rsid w:val="2FB91C65"/>
    <w:rsid w:val="2FD065E6"/>
    <w:rsid w:val="2FD96870"/>
    <w:rsid w:val="300428A9"/>
    <w:rsid w:val="30580BC9"/>
    <w:rsid w:val="306061DA"/>
    <w:rsid w:val="308C07A9"/>
    <w:rsid w:val="309923A3"/>
    <w:rsid w:val="30A5696A"/>
    <w:rsid w:val="30AB7856"/>
    <w:rsid w:val="30C4259E"/>
    <w:rsid w:val="311E2ED7"/>
    <w:rsid w:val="315619EE"/>
    <w:rsid w:val="315C449C"/>
    <w:rsid w:val="3191044F"/>
    <w:rsid w:val="31962CB1"/>
    <w:rsid w:val="319D1561"/>
    <w:rsid w:val="31B82709"/>
    <w:rsid w:val="31D05482"/>
    <w:rsid w:val="31DF0E4D"/>
    <w:rsid w:val="31F172F9"/>
    <w:rsid w:val="320C1CB7"/>
    <w:rsid w:val="32145E29"/>
    <w:rsid w:val="321C4C71"/>
    <w:rsid w:val="3224515D"/>
    <w:rsid w:val="32400B34"/>
    <w:rsid w:val="32470AEB"/>
    <w:rsid w:val="32815654"/>
    <w:rsid w:val="328B2817"/>
    <w:rsid w:val="329E6876"/>
    <w:rsid w:val="32BC2A2D"/>
    <w:rsid w:val="32E77251"/>
    <w:rsid w:val="331E650A"/>
    <w:rsid w:val="331E652C"/>
    <w:rsid w:val="333015F2"/>
    <w:rsid w:val="33416428"/>
    <w:rsid w:val="334740CA"/>
    <w:rsid w:val="334B6320"/>
    <w:rsid w:val="335C59CF"/>
    <w:rsid w:val="3366401C"/>
    <w:rsid w:val="33B62581"/>
    <w:rsid w:val="33D934D4"/>
    <w:rsid w:val="33FE02F2"/>
    <w:rsid w:val="33FE2F6A"/>
    <w:rsid w:val="340D67D7"/>
    <w:rsid w:val="340E07E5"/>
    <w:rsid w:val="341041CF"/>
    <w:rsid w:val="34235BF7"/>
    <w:rsid w:val="34636229"/>
    <w:rsid w:val="348F08DF"/>
    <w:rsid w:val="34947107"/>
    <w:rsid w:val="34E1235E"/>
    <w:rsid w:val="355355DF"/>
    <w:rsid w:val="35833871"/>
    <w:rsid w:val="358C5FA8"/>
    <w:rsid w:val="35B8140E"/>
    <w:rsid w:val="35C15DF1"/>
    <w:rsid w:val="35D25F88"/>
    <w:rsid w:val="35D93D71"/>
    <w:rsid w:val="36074A7F"/>
    <w:rsid w:val="360A37FB"/>
    <w:rsid w:val="362665A7"/>
    <w:rsid w:val="36923549"/>
    <w:rsid w:val="369B64F2"/>
    <w:rsid w:val="36B75FBF"/>
    <w:rsid w:val="36BD0C45"/>
    <w:rsid w:val="36C82061"/>
    <w:rsid w:val="36EE7039"/>
    <w:rsid w:val="37441A9D"/>
    <w:rsid w:val="376E7969"/>
    <w:rsid w:val="37996101"/>
    <w:rsid w:val="37AB2272"/>
    <w:rsid w:val="37B52C1E"/>
    <w:rsid w:val="37CD080C"/>
    <w:rsid w:val="37E00298"/>
    <w:rsid w:val="381B2691"/>
    <w:rsid w:val="384004B6"/>
    <w:rsid w:val="3878093C"/>
    <w:rsid w:val="387C6AB2"/>
    <w:rsid w:val="388F2993"/>
    <w:rsid w:val="38924F73"/>
    <w:rsid w:val="389424A5"/>
    <w:rsid w:val="38A04AB1"/>
    <w:rsid w:val="38B302F9"/>
    <w:rsid w:val="38CF72DD"/>
    <w:rsid w:val="38E52E0C"/>
    <w:rsid w:val="38F12CD3"/>
    <w:rsid w:val="38F94775"/>
    <w:rsid w:val="3925145A"/>
    <w:rsid w:val="392971ED"/>
    <w:rsid w:val="39325651"/>
    <w:rsid w:val="398B1B1B"/>
    <w:rsid w:val="39E906E8"/>
    <w:rsid w:val="3A35391F"/>
    <w:rsid w:val="3A471566"/>
    <w:rsid w:val="3A4C5B38"/>
    <w:rsid w:val="3A5937C2"/>
    <w:rsid w:val="3A6B3639"/>
    <w:rsid w:val="3A872856"/>
    <w:rsid w:val="3AE65990"/>
    <w:rsid w:val="3AF25BA7"/>
    <w:rsid w:val="3B3763D1"/>
    <w:rsid w:val="3B500737"/>
    <w:rsid w:val="3B6823B4"/>
    <w:rsid w:val="3B830874"/>
    <w:rsid w:val="3BB25259"/>
    <w:rsid w:val="3BCA48D1"/>
    <w:rsid w:val="3BCF7269"/>
    <w:rsid w:val="3BD82A36"/>
    <w:rsid w:val="3C130C24"/>
    <w:rsid w:val="3C1F427B"/>
    <w:rsid w:val="3C1F5591"/>
    <w:rsid w:val="3C2F6E1E"/>
    <w:rsid w:val="3C4A0C85"/>
    <w:rsid w:val="3C4F64BA"/>
    <w:rsid w:val="3C8109F6"/>
    <w:rsid w:val="3C8E08D6"/>
    <w:rsid w:val="3C9A2FD6"/>
    <w:rsid w:val="3CA85CC2"/>
    <w:rsid w:val="3CB43221"/>
    <w:rsid w:val="3CC16925"/>
    <w:rsid w:val="3CDA1EC2"/>
    <w:rsid w:val="3CDA245A"/>
    <w:rsid w:val="3CEF37BC"/>
    <w:rsid w:val="3CF477B8"/>
    <w:rsid w:val="3D1E06B7"/>
    <w:rsid w:val="3D525CD7"/>
    <w:rsid w:val="3D8E75A3"/>
    <w:rsid w:val="3D9D31B7"/>
    <w:rsid w:val="3DE57597"/>
    <w:rsid w:val="3DED7885"/>
    <w:rsid w:val="3E09759C"/>
    <w:rsid w:val="3E2F5B51"/>
    <w:rsid w:val="3E5444E0"/>
    <w:rsid w:val="3E5D3832"/>
    <w:rsid w:val="3E6D18D9"/>
    <w:rsid w:val="3E97246E"/>
    <w:rsid w:val="3EAA10AC"/>
    <w:rsid w:val="3EC02A39"/>
    <w:rsid w:val="3ECB315B"/>
    <w:rsid w:val="3EDA0523"/>
    <w:rsid w:val="3F0844AB"/>
    <w:rsid w:val="3F1D47C9"/>
    <w:rsid w:val="3F1D602F"/>
    <w:rsid w:val="3F5B72F8"/>
    <w:rsid w:val="3FAD433C"/>
    <w:rsid w:val="3FF009E0"/>
    <w:rsid w:val="3FFC66E9"/>
    <w:rsid w:val="3FFE28C0"/>
    <w:rsid w:val="401F3473"/>
    <w:rsid w:val="404C551E"/>
    <w:rsid w:val="40532375"/>
    <w:rsid w:val="407A6407"/>
    <w:rsid w:val="408C55E8"/>
    <w:rsid w:val="40913676"/>
    <w:rsid w:val="40D35D1B"/>
    <w:rsid w:val="40FD27BF"/>
    <w:rsid w:val="410D02D1"/>
    <w:rsid w:val="411923F7"/>
    <w:rsid w:val="4134048C"/>
    <w:rsid w:val="4146759A"/>
    <w:rsid w:val="416658EA"/>
    <w:rsid w:val="4172002A"/>
    <w:rsid w:val="41932F14"/>
    <w:rsid w:val="41A74866"/>
    <w:rsid w:val="41B9630E"/>
    <w:rsid w:val="4200449D"/>
    <w:rsid w:val="423A3BCC"/>
    <w:rsid w:val="42431037"/>
    <w:rsid w:val="424E57D2"/>
    <w:rsid w:val="425E1F80"/>
    <w:rsid w:val="426F5E47"/>
    <w:rsid w:val="426F60A9"/>
    <w:rsid w:val="427F1929"/>
    <w:rsid w:val="42B26C49"/>
    <w:rsid w:val="42BF78EE"/>
    <w:rsid w:val="42C341BE"/>
    <w:rsid w:val="43095949"/>
    <w:rsid w:val="433A6FE6"/>
    <w:rsid w:val="43480868"/>
    <w:rsid w:val="4350713C"/>
    <w:rsid w:val="4357545E"/>
    <w:rsid w:val="436653E0"/>
    <w:rsid w:val="43C4431A"/>
    <w:rsid w:val="440765BD"/>
    <w:rsid w:val="441046D5"/>
    <w:rsid w:val="44667A94"/>
    <w:rsid w:val="44B951CC"/>
    <w:rsid w:val="44CD14E0"/>
    <w:rsid w:val="44F20B0B"/>
    <w:rsid w:val="45030324"/>
    <w:rsid w:val="45082B90"/>
    <w:rsid w:val="45286907"/>
    <w:rsid w:val="452E5F4C"/>
    <w:rsid w:val="454C301F"/>
    <w:rsid w:val="45612018"/>
    <w:rsid w:val="45614FDD"/>
    <w:rsid w:val="45796AEA"/>
    <w:rsid w:val="45864C3F"/>
    <w:rsid w:val="458946E9"/>
    <w:rsid w:val="458F482B"/>
    <w:rsid w:val="45A47C0E"/>
    <w:rsid w:val="45C90012"/>
    <w:rsid w:val="45CA0F66"/>
    <w:rsid w:val="45E85CE9"/>
    <w:rsid w:val="45F36108"/>
    <w:rsid w:val="460F3276"/>
    <w:rsid w:val="4616246F"/>
    <w:rsid w:val="463372CA"/>
    <w:rsid w:val="46577FD6"/>
    <w:rsid w:val="46804C5B"/>
    <w:rsid w:val="46995C69"/>
    <w:rsid w:val="46A66085"/>
    <w:rsid w:val="46B70CCA"/>
    <w:rsid w:val="46C754CF"/>
    <w:rsid w:val="46D955A7"/>
    <w:rsid w:val="46E51223"/>
    <w:rsid w:val="47133957"/>
    <w:rsid w:val="47486A40"/>
    <w:rsid w:val="474A14FC"/>
    <w:rsid w:val="47780B32"/>
    <w:rsid w:val="478A7A42"/>
    <w:rsid w:val="47A07E0C"/>
    <w:rsid w:val="47A47A33"/>
    <w:rsid w:val="47D174A2"/>
    <w:rsid w:val="47DF4974"/>
    <w:rsid w:val="47E85059"/>
    <w:rsid w:val="47ED41F6"/>
    <w:rsid w:val="48223A23"/>
    <w:rsid w:val="483241C1"/>
    <w:rsid w:val="484C07B1"/>
    <w:rsid w:val="485C24A5"/>
    <w:rsid w:val="4870272E"/>
    <w:rsid w:val="487F03D5"/>
    <w:rsid w:val="48832EB1"/>
    <w:rsid w:val="4888476D"/>
    <w:rsid w:val="489E1EF1"/>
    <w:rsid w:val="48BB1493"/>
    <w:rsid w:val="490554C3"/>
    <w:rsid w:val="490F1F24"/>
    <w:rsid w:val="492745D3"/>
    <w:rsid w:val="494E49F6"/>
    <w:rsid w:val="4962179E"/>
    <w:rsid w:val="49A639A8"/>
    <w:rsid w:val="49AB7F3B"/>
    <w:rsid w:val="49D85692"/>
    <w:rsid w:val="49DC7715"/>
    <w:rsid w:val="49E25BD9"/>
    <w:rsid w:val="49EA7D13"/>
    <w:rsid w:val="4A023139"/>
    <w:rsid w:val="4A2D47E1"/>
    <w:rsid w:val="4A4621ED"/>
    <w:rsid w:val="4A7135D4"/>
    <w:rsid w:val="4A7B576F"/>
    <w:rsid w:val="4A8521B1"/>
    <w:rsid w:val="4A8606A0"/>
    <w:rsid w:val="4AC43C5B"/>
    <w:rsid w:val="4AED2232"/>
    <w:rsid w:val="4AF10782"/>
    <w:rsid w:val="4AF561A9"/>
    <w:rsid w:val="4B4E1679"/>
    <w:rsid w:val="4B5D30FC"/>
    <w:rsid w:val="4B952A16"/>
    <w:rsid w:val="4BE918B6"/>
    <w:rsid w:val="4BF9320C"/>
    <w:rsid w:val="4C1D310B"/>
    <w:rsid w:val="4C443EC1"/>
    <w:rsid w:val="4C4A0649"/>
    <w:rsid w:val="4C4C06AB"/>
    <w:rsid w:val="4C6E412B"/>
    <w:rsid w:val="4C750E2E"/>
    <w:rsid w:val="4C7E5ECA"/>
    <w:rsid w:val="4C876AA5"/>
    <w:rsid w:val="4C910588"/>
    <w:rsid w:val="4CCB6D83"/>
    <w:rsid w:val="4CE15857"/>
    <w:rsid w:val="4CF97D24"/>
    <w:rsid w:val="4D0E00FB"/>
    <w:rsid w:val="4D176606"/>
    <w:rsid w:val="4D1A2C2C"/>
    <w:rsid w:val="4D1B0D83"/>
    <w:rsid w:val="4D246250"/>
    <w:rsid w:val="4D62028F"/>
    <w:rsid w:val="4D725382"/>
    <w:rsid w:val="4D7D447A"/>
    <w:rsid w:val="4D914A7E"/>
    <w:rsid w:val="4DAB01B4"/>
    <w:rsid w:val="4DC20401"/>
    <w:rsid w:val="4DEC4FB0"/>
    <w:rsid w:val="4DFC6A84"/>
    <w:rsid w:val="4E075D8A"/>
    <w:rsid w:val="4E0C6A37"/>
    <w:rsid w:val="4E32207C"/>
    <w:rsid w:val="4E380EDF"/>
    <w:rsid w:val="4E643AFA"/>
    <w:rsid w:val="4EC00FAD"/>
    <w:rsid w:val="4EF6429B"/>
    <w:rsid w:val="4F055C02"/>
    <w:rsid w:val="4F474D5D"/>
    <w:rsid w:val="4F5641D9"/>
    <w:rsid w:val="4F9843DC"/>
    <w:rsid w:val="4F9C3BF6"/>
    <w:rsid w:val="4FC62A8C"/>
    <w:rsid w:val="4FE20F0D"/>
    <w:rsid w:val="4FE51552"/>
    <w:rsid w:val="50096774"/>
    <w:rsid w:val="502E6CD6"/>
    <w:rsid w:val="50504C4B"/>
    <w:rsid w:val="50850685"/>
    <w:rsid w:val="509C6E7C"/>
    <w:rsid w:val="510775A5"/>
    <w:rsid w:val="515C2BA6"/>
    <w:rsid w:val="5162104E"/>
    <w:rsid w:val="51754B1B"/>
    <w:rsid w:val="518005B1"/>
    <w:rsid w:val="519465A2"/>
    <w:rsid w:val="51D27593"/>
    <w:rsid w:val="5205622E"/>
    <w:rsid w:val="52512617"/>
    <w:rsid w:val="52584D8E"/>
    <w:rsid w:val="525A7E7A"/>
    <w:rsid w:val="525C63D2"/>
    <w:rsid w:val="52A32410"/>
    <w:rsid w:val="52C503ED"/>
    <w:rsid w:val="53013CF0"/>
    <w:rsid w:val="532056DA"/>
    <w:rsid w:val="53513120"/>
    <w:rsid w:val="53755E9F"/>
    <w:rsid w:val="537D13DA"/>
    <w:rsid w:val="53A039CC"/>
    <w:rsid w:val="53A1505A"/>
    <w:rsid w:val="53EC3C93"/>
    <w:rsid w:val="54063E08"/>
    <w:rsid w:val="543437E8"/>
    <w:rsid w:val="543B6FC8"/>
    <w:rsid w:val="54B46118"/>
    <w:rsid w:val="54B739C9"/>
    <w:rsid w:val="54F73313"/>
    <w:rsid w:val="54F80955"/>
    <w:rsid w:val="55012FCB"/>
    <w:rsid w:val="55103804"/>
    <w:rsid w:val="551D46A7"/>
    <w:rsid w:val="555170A7"/>
    <w:rsid w:val="556F0026"/>
    <w:rsid w:val="5587536D"/>
    <w:rsid w:val="559B174B"/>
    <w:rsid w:val="55CE0CF4"/>
    <w:rsid w:val="55FA5C31"/>
    <w:rsid w:val="562A7606"/>
    <w:rsid w:val="56574EF1"/>
    <w:rsid w:val="56587DAA"/>
    <w:rsid w:val="56813D81"/>
    <w:rsid w:val="56B22A9C"/>
    <w:rsid w:val="56D01EA7"/>
    <w:rsid w:val="56E450F8"/>
    <w:rsid w:val="56EE3BF1"/>
    <w:rsid w:val="570D46ED"/>
    <w:rsid w:val="573C2DA7"/>
    <w:rsid w:val="574E132C"/>
    <w:rsid w:val="57893C36"/>
    <w:rsid w:val="57A47640"/>
    <w:rsid w:val="57B72A76"/>
    <w:rsid w:val="57C3426C"/>
    <w:rsid w:val="57C77423"/>
    <w:rsid w:val="57CE1F93"/>
    <w:rsid w:val="581464DC"/>
    <w:rsid w:val="586D5A4F"/>
    <w:rsid w:val="587234E5"/>
    <w:rsid w:val="588307ED"/>
    <w:rsid w:val="588743D1"/>
    <w:rsid w:val="5887701A"/>
    <w:rsid w:val="58CB29B0"/>
    <w:rsid w:val="58EE3C3D"/>
    <w:rsid w:val="59C0439F"/>
    <w:rsid w:val="59C84B77"/>
    <w:rsid w:val="59D8273B"/>
    <w:rsid w:val="59E6322A"/>
    <w:rsid w:val="5A11295C"/>
    <w:rsid w:val="5A1D6807"/>
    <w:rsid w:val="5A4667C0"/>
    <w:rsid w:val="5A4D07BD"/>
    <w:rsid w:val="5A5F7A31"/>
    <w:rsid w:val="5A600767"/>
    <w:rsid w:val="5A885D61"/>
    <w:rsid w:val="5AA217F6"/>
    <w:rsid w:val="5ABE2233"/>
    <w:rsid w:val="5B325260"/>
    <w:rsid w:val="5BDF5D95"/>
    <w:rsid w:val="5BF82AB3"/>
    <w:rsid w:val="5BFE7528"/>
    <w:rsid w:val="5C2A4570"/>
    <w:rsid w:val="5C5D2BFB"/>
    <w:rsid w:val="5C78302C"/>
    <w:rsid w:val="5C9530B6"/>
    <w:rsid w:val="5CB91BDE"/>
    <w:rsid w:val="5CFD5E22"/>
    <w:rsid w:val="5D0716FF"/>
    <w:rsid w:val="5D251956"/>
    <w:rsid w:val="5D72646B"/>
    <w:rsid w:val="5DB54782"/>
    <w:rsid w:val="5DCD1C30"/>
    <w:rsid w:val="5DE00374"/>
    <w:rsid w:val="5DE77235"/>
    <w:rsid w:val="5DE80B25"/>
    <w:rsid w:val="5E0216CA"/>
    <w:rsid w:val="5E2467F1"/>
    <w:rsid w:val="5E464D53"/>
    <w:rsid w:val="5E4829A2"/>
    <w:rsid w:val="5E600037"/>
    <w:rsid w:val="5EA85CCC"/>
    <w:rsid w:val="5EC5741C"/>
    <w:rsid w:val="5ECD6401"/>
    <w:rsid w:val="5EDA66BF"/>
    <w:rsid w:val="5EF774D9"/>
    <w:rsid w:val="5F1A2B43"/>
    <w:rsid w:val="5F5A58C2"/>
    <w:rsid w:val="5F967A71"/>
    <w:rsid w:val="5FB13CCD"/>
    <w:rsid w:val="5FB837BB"/>
    <w:rsid w:val="5FCA61EE"/>
    <w:rsid w:val="5FE61FD2"/>
    <w:rsid w:val="602424A3"/>
    <w:rsid w:val="603E7000"/>
    <w:rsid w:val="603F55F5"/>
    <w:rsid w:val="606C3347"/>
    <w:rsid w:val="60792AFC"/>
    <w:rsid w:val="60AB0789"/>
    <w:rsid w:val="60CC405A"/>
    <w:rsid w:val="60EA23B3"/>
    <w:rsid w:val="60FB1959"/>
    <w:rsid w:val="619D7C4C"/>
    <w:rsid w:val="61A92F8D"/>
    <w:rsid w:val="61E215D8"/>
    <w:rsid w:val="62133E08"/>
    <w:rsid w:val="621B3775"/>
    <w:rsid w:val="62364782"/>
    <w:rsid w:val="626120AF"/>
    <w:rsid w:val="62673CC8"/>
    <w:rsid w:val="628F51C5"/>
    <w:rsid w:val="62BD743D"/>
    <w:rsid w:val="62F82F7B"/>
    <w:rsid w:val="62FD4415"/>
    <w:rsid w:val="631D1892"/>
    <w:rsid w:val="6330672F"/>
    <w:rsid w:val="635A677D"/>
    <w:rsid w:val="63770FBD"/>
    <w:rsid w:val="6394356A"/>
    <w:rsid w:val="63BB0188"/>
    <w:rsid w:val="63C45B0E"/>
    <w:rsid w:val="63C61B2C"/>
    <w:rsid w:val="63D40BE9"/>
    <w:rsid w:val="63F21CE9"/>
    <w:rsid w:val="6401033A"/>
    <w:rsid w:val="64102431"/>
    <w:rsid w:val="64170025"/>
    <w:rsid w:val="64241D1C"/>
    <w:rsid w:val="64A5243A"/>
    <w:rsid w:val="64A60285"/>
    <w:rsid w:val="64AC78B9"/>
    <w:rsid w:val="64BE2E27"/>
    <w:rsid w:val="64E66DC7"/>
    <w:rsid w:val="64F531DE"/>
    <w:rsid w:val="65190793"/>
    <w:rsid w:val="65373578"/>
    <w:rsid w:val="65416643"/>
    <w:rsid w:val="654C59CC"/>
    <w:rsid w:val="6554084E"/>
    <w:rsid w:val="65725B8C"/>
    <w:rsid w:val="658A48FE"/>
    <w:rsid w:val="65A602B8"/>
    <w:rsid w:val="65BC1FCF"/>
    <w:rsid w:val="65CC14FA"/>
    <w:rsid w:val="65D43EBA"/>
    <w:rsid w:val="65D91B34"/>
    <w:rsid w:val="65DB3C54"/>
    <w:rsid w:val="662875EE"/>
    <w:rsid w:val="66301FBB"/>
    <w:rsid w:val="664D59CD"/>
    <w:rsid w:val="665C492E"/>
    <w:rsid w:val="66670EA8"/>
    <w:rsid w:val="6692570A"/>
    <w:rsid w:val="669E278D"/>
    <w:rsid w:val="66B0340B"/>
    <w:rsid w:val="66B64577"/>
    <w:rsid w:val="66C44001"/>
    <w:rsid w:val="66DD522A"/>
    <w:rsid w:val="66E77593"/>
    <w:rsid w:val="66ED56EA"/>
    <w:rsid w:val="66F732A1"/>
    <w:rsid w:val="66FF7EAC"/>
    <w:rsid w:val="671F124A"/>
    <w:rsid w:val="674047A3"/>
    <w:rsid w:val="677A33C6"/>
    <w:rsid w:val="678F6D6B"/>
    <w:rsid w:val="67D92D14"/>
    <w:rsid w:val="67F07995"/>
    <w:rsid w:val="67F16AE0"/>
    <w:rsid w:val="680E24B2"/>
    <w:rsid w:val="681F6961"/>
    <w:rsid w:val="68421661"/>
    <w:rsid w:val="684D3FB8"/>
    <w:rsid w:val="68610A2F"/>
    <w:rsid w:val="68636E90"/>
    <w:rsid w:val="68805514"/>
    <w:rsid w:val="689D52E7"/>
    <w:rsid w:val="68A1227A"/>
    <w:rsid w:val="68B36FB0"/>
    <w:rsid w:val="68CC73BF"/>
    <w:rsid w:val="6903443B"/>
    <w:rsid w:val="690815D4"/>
    <w:rsid w:val="691F5B9D"/>
    <w:rsid w:val="692437C1"/>
    <w:rsid w:val="69316E2F"/>
    <w:rsid w:val="694C6C51"/>
    <w:rsid w:val="694E2071"/>
    <w:rsid w:val="697520D0"/>
    <w:rsid w:val="69766163"/>
    <w:rsid w:val="697A3B33"/>
    <w:rsid w:val="699A6B74"/>
    <w:rsid w:val="69B23F00"/>
    <w:rsid w:val="69D44760"/>
    <w:rsid w:val="69DB45F3"/>
    <w:rsid w:val="69E762F1"/>
    <w:rsid w:val="6A120E48"/>
    <w:rsid w:val="6A520EC7"/>
    <w:rsid w:val="6A6453EB"/>
    <w:rsid w:val="6A8F1A86"/>
    <w:rsid w:val="6A934400"/>
    <w:rsid w:val="6AB23814"/>
    <w:rsid w:val="6AD92DCB"/>
    <w:rsid w:val="6AE63A26"/>
    <w:rsid w:val="6AEA0581"/>
    <w:rsid w:val="6AEB2D12"/>
    <w:rsid w:val="6AF87E20"/>
    <w:rsid w:val="6B161D8A"/>
    <w:rsid w:val="6B322639"/>
    <w:rsid w:val="6B6712DB"/>
    <w:rsid w:val="6B850C29"/>
    <w:rsid w:val="6BE01161"/>
    <w:rsid w:val="6BEB66B8"/>
    <w:rsid w:val="6BF001AC"/>
    <w:rsid w:val="6BFB4440"/>
    <w:rsid w:val="6C07486C"/>
    <w:rsid w:val="6C1877A6"/>
    <w:rsid w:val="6C20071D"/>
    <w:rsid w:val="6C212894"/>
    <w:rsid w:val="6C636C38"/>
    <w:rsid w:val="6CA903CC"/>
    <w:rsid w:val="6CB948C0"/>
    <w:rsid w:val="6CF55C0E"/>
    <w:rsid w:val="6CF9230D"/>
    <w:rsid w:val="6D496634"/>
    <w:rsid w:val="6D504EEE"/>
    <w:rsid w:val="6D5D3CA3"/>
    <w:rsid w:val="6D9627AC"/>
    <w:rsid w:val="6DB34098"/>
    <w:rsid w:val="6DB545B6"/>
    <w:rsid w:val="6DE02FB4"/>
    <w:rsid w:val="6DE34D06"/>
    <w:rsid w:val="6DEF3809"/>
    <w:rsid w:val="6E096BBB"/>
    <w:rsid w:val="6E2369A0"/>
    <w:rsid w:val="6E407D60"/>
    <w:rsid w:val="6E514CED"/>
    <w:rsid w:val="6E601F13"/>
    <w:rsid w:val="6E617688"/>
    <w:rsid w:val="6E70484E"/>
    <w:rsid w:val="6E764B61"/>
    <w:rsid w:val="6E7C6474"/>
    <w:rsid w:val="6E8775E3"/>
    <w:rsid w:val="6EB563D5"/>
    <w:rsid w:val="6ED2244F"/>
    <w:rsid w:val="6ED92677"/>
    <w:rsid w:val="6F126F65"/>
    <w:rsid w:val="6F225983"/>
    <w:rsid w:val="6F2F5BED"/>
    <w:rsid w:val="6F353E86"/>
    <w:rsid w:val="6F4225CF"/>
    <w:rsid w:val="6F424A7F"/>
    <w:rsid w:val="6F427066"/>
    <w:rsid w:val="6FA8453C"/>
    <w:rsid w:val="6FAA5EC4"/>
    <w:rsid w:val="6FE42114"/>
    <w:rsid w:val="6FFC5590"/>
    <w:rsid w:val="6FFC7187"/>
    <w:rsid w:val="701C41AD"/>
    <w:rsid w:val="701F4BCE"/>
    <w:rsid w:val="70247957"/>
    <w:rsid w:val="705F6A24"/>
    <w:rsid w:val="706D1DD0"/>
    <w:rsid w:val="70856B87"/>
    <w:rsid w:val="70905A19"/>
    <w:rsid w:val="70A252E0"/>
    <w:rsid w:val="70BB2D49"/>
    <w:rsid w:val="70D527EE"/>
    <w:rsid w:val="70E56CBD"/>
    <w:rsid w:val="712B4749"/>
    <w:rsid w:val="713733AB"/>
    <w:rsid w:val="713F1552"/>
    <w:rsid w:val="715B5300"/>
    <w:rsid w:val="71696954"/>
    <w:rsid w:val="7178592F"/>
    <w:rsid w:val="71D27F8A"/>
    <w:rsid w:val="71D36C24"/>
    <w:rsid w:val="72553024"/>
    <w:rsid w:val="72556126"/>
    <w:rsid w:val="72595786"/>
    <w:rsid w:val="725D1395"/>
    <w:rsid w:val="72876224"/>
    <w:rsid w:val="729B073E"/>
    <w:rsid w:val="72EA2E87"/>
    <w:rsid w:val="73122968"/>
    <w:rsid w:val="731F5D5E"/>
    <w:rsid w:val="73452008"/>
    <w:rsid w:val="73470374"/>
    <w:rsid w:val="737B416E"/>
    <w:rsid w:val="73867752"/>
    <w:rsid w:val="738C1E02"/>
    <w:rsid w:val="7390054D"/>
    <w:rsid w:val="73B206DD"/>
    <w:rsid w:val="73C44A74"/>
    <w:rsid w:val="73C51AD5"/>
    <w:rsid w:val="73D24387"/>
    <w:rsid w:val="73DE1BAF"/>
    <w:rsid w:val="741E793C"/>
    <w:rsid w:val="74230A35"/>
    <w:rsid w:val="7439641D"/>
    <w:rsid w:val="7442661E"/>
    <w:rsid w:val="745E3944"/>
    <w:rsid w:val="74EA7A35"/>
    <w:rsid w:val="75332A25"/>
    <w:rsid w:val="7574612A"/>
    <w:rsid w:val="75A22D67"/>
    <w:rsid w:val="75AB20CA"/>
    <w:rsid w:val="75AF5D58"/>
    <w:rsid w:val="75CA0A5B"/>
    <w:rsid w:val="75FB66BD"/>
    <w:rsid w:val="7635099D"/>
    <w:rsid w:val="763E6DC1"/>
    <w:rsid w:val="763F1C89"/>
    <w:rsid w:val="76556072"/>
    <w:rsid w:val="7685297D"/>
    <w:rsid w:val="76AC33D2"/>
    <w:rsid w:val="76C9616B"/>
    <w:rsid w:val="76F510BA"/>
    <w:rsid w:val="76F771B9"/>
    <w:rsid w:val="76F854DD"/>
    <w:rsid w:val="77762421"/>
    <w:rsid w:val="778E3328"/>
    <w:rsid w:val="77B56B1F"/>
    <w:rsid w:val="78052107"/>
    <w:rsid w:val="780F09F4"/>
    <w:rsid w:val="781005C5"/>
    <w:rsid w:val="784711A7"/>
    <w:rsid w:val="786F18CB"/>
    <w:rsid w:val="78752C6F"/>
    <w:rsid w:val="78A606F5"/>
    <w:rsid w:val="78A90480"/>
    <w:rsid w:val="78BD7196"/>
    <w:rsid w:val="791F779D"/>
    <w:rsid w:val="799B2C40"/>
    <w:rsid w:val="79AA271F"/>
    <w:rsid w:val="79B41A4E"/>
    <w:rsid w:val="7A174BD5"/>
    <w:rsid w:val="7A364017"/>
    <w:rsid w:val="7A5B7D53"/>
    <w:rsid w:val="7A8265E1"/>
    <w:rsid w:val="7AC83448"/>
    <w:rsid w:val="7B263382"/>
    <w:rsid w:val="7B686D42"/>
    <w:rsid w:val="7B841746"/>
    <w:rsid w:val="7BA16D8A"/>
    <w:rsid w:val="7BD50AD7"/>
    <w:rsid w:val="7C330F4E"/>
    <w:rsid w:val="7C431F62"/>
    <w:rsid w:val="7C434A2C"/>
    <w:rsid w:val="7C6C5AC7"/>
    <w:rsid w:val="7C821967"/>
    <w:rsid w:val="7C8E5E24"/>
    <w:rsid w:val="7CC6544B"/>
    <w:rsid w:val="7D0239FF"/>
    <w:rsid w:val="7D25171D"/>
    <w:rsid w:val="7D2D11AA"/>
    <w:rsid w:val="7D494CE4"/>
    <w:rsid w:val="7D5E40CD"/>
    <w:rsid w:val="7D657644"/>
    <w:rsid w:val="7D8D57FE"/>
    <w:rsid w:val="7DB24240"/>
    <w:rsid w:val="7DBC1A2B"/>
    <w:rsid w:val="7DCD56F2"/>
    <w:rsid w:val="7DD016B8"/>
    <w:rsid w:val="7E37035C"/>
    <w:rsid w:val="7E443A50"/>
    <w:rsid w:val="7EA80D3A"/>
    <w:rsid w:val="7EB00945"/>
    <w:rsid w:val="7EEA03C2"/>
    <w:rsid w:val="7F001CE7"/>
    <w:rsid w:val="7F294667"/>
    <w:rsid w:val="7F2B3D99"/>
    <w:rsid w:val="7F412E8F"/>
    <w:rsid w:val="7F557319"/>
    <w:rsid w:val="7F6B7E18"/>
    <w:rsid w:val="7F7501CA"/>
    <w:rsid w:val="7FDA03B6"/>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1"/>
    <w:pPr>
      <w:keepNext/>
      <w:keepLines/>
      <w:spacing w:line="240" w:lineRule="auto"/>
      <w:outlineLvl w:val="1"/>
    </w:pPr>
    <w:rPr>
      <w:bCs/>
      <w:sz w:val="21"/>
      <w:szCs w:val="32"/>
    </w:rPr>
  </w:style>
  <w:style w:type="paragraph" w:styleId="4">
    <w:name w:val="heading 4"/>
    <w:basedOn w:val="1"/>
    <w:next w:val="1"/>
    <w:qFormat/>
    <w:locked/>
    <w:uiPriority w:val="0"/>
    <w:pPr>
      <w:keepNext/>
      <w:spacing w:before="240" w:after="60"/>
      <w:outlineLvl w:val="3"/>
    </w:pPr>
    <w:rPr>
      <w:b/>
      <w:bCs/>
      <w:sz w:val="28"/>
      <w:szCs w:val="28"/>
    </w:rPr>
  </w:style>
  <w:style w:type="character" w:default="1" w:styleId="28">
    <w:name w:val="Default Paragraph Font"/>
    <w:semiHidden/>
    <w:qFormat/>
    <w:uiPriority w:val="0"/>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5">
    <w:name w:val="Note Heading"/>
    <w:basedOn w:val="1"/>
    <w:next w:val="1"/>
    <w:qFormat/>
    <w:locked/>
    <w:uiPriority w:val="0"/>
    <w:pPr>
      <w:keepNext w:val="0"/>
      <w:keepLines w:val="0"/>
      <w:widowControl w:val="0"/>
      <w:suppressLineNumbers w:val="0"/>
      <w:spacing w:before="0" w:beforeAutospacing="0" w:after="0" w:afterAutospacing="0" w:line="500" w:lineRule="exact"/>
      <w:ind w:left="0" w:right="0" w:firstLine="200" w:firstLineChars="200"/>
      <w:jc w:val="center"/>
    </w:pPr>
    <w:rPr>
      <w:rFonts w:hint="default" w:ascii="Times New Roman" w:hAnsi="Times New Roman" w:eastAsia="宋体" w:cs="Times New Roman"/>
      <w:kern w:val="2"/>
      <w:sz w:val="24"/>
      <w:szCs w:val="24"/>
      <w:lang w:val="en-US" w:eastAsia="zh-CN" w:bidi="ar"/>
    </w:rPr>
  </w:style>
  <w:style w:type="paragraph" w:styleId="6">
    <w:name w:val="Normal Indent"/>
    <w:basedOn w:val="1"/>
    <w:qFormat/>
    <w:locked/>
    <w:uiPriority w:val="0"/>
    <w:rPr>
      <w:sz w:val="28"/>
    </w:rPr>
  </w:style>
  <w:style w:type="paragraph" w:styleId="7">
    <w:name w:val="caption"/>
    <w:basedOn w:val="1"/>
    <w:next w:val="1"/>
    <w:qFormat/>
    <w:locked/>
    <w:uiPriority w:val="99"/>
    <w:pPr>
      <w:adjustRightInd w:val="0"/>
      <w:spacing w:before="152" w:after="160" w:line="240" w:lineRule="exact"/>
      <w:jc w:val="center"/>
      <w:textAlignment w:val="baseline"/>
    </w:pPr>
    <w:rPr>
      <w:kern w:val="0"/>
      <w:sz w:val="24"/>
      <w:szCs w:val="20"/>
    </w:rPr>
  </w:style>
  <w:style w:type="paragraph" w:styleId="8">
    <w:name w:val="annotation text"/>
    <w:basedOn w:val="1"/>
    <w:link w:val="32"/>
    <w:semiHidden/>
    <w:qFormat/>
    <w:uiPriority w:val="0"/>
    <w:pPr>
      <w:jc w:val="left"/>
    </w:pPr>
    <w:rPr>
      <w:kern w:val="0"/>
      <w:sz w:val="24"/>
      <w:szCs w:val="20"/>
    </w:rPr>
  </w:style>
  <w:style w:type="paragraph" w:styleId="9">
    <w:name w:val="Body Text"/>
    <w:basedOn w:val="1"/>
    <w:link w:val="33"/>
    <w:qFormat/>
    <w:uiPriority w:val="0"/>
    <w:pPr>
      <w:widowControl/>
      <w:snapToGrid w:val="0"/>
      <w:spacing w:before="60" w:after="160" w:line="259" w:lineRule="auto"/>
      <w:ind w:right="113"/>
    </w:pPr>
    <w:rPr>
      <w:kern w:val="0"/>
      <w:sz w:val="18"/>
      <w:szCs w:val="20"/>
    </w:rPr>
  </w:style>
  <w:style w:type="paragraph" w:styleId="10">
    <w:name w:val="Body Text Indent"/>
    <w:basedOn w:val="1"/>
    <w:link w:val="34"/>
    <w:qFormat/>
    <w:uiPriority w:val="0"/>
    <w:pPr>
      <w:spacing w:after="120"/>
      <w:ind w:left="420" w:leftChars="200"/>
    </w:pPr>
    <w:rPr>
      <w:kern w:val="0"/>
      <w:sz w:val="24"/>
      <w:szCs w:val="20"/>
    </w:rPr>
  </w:style>
  <w:style w:type="paragraph" w:styleId="11">
    <w:name w:val="Plain Text"/>
    <w:basedOn w:val="1"/>
    <w:qFormat/>
    <w:locked/>
    <w:uiPriority w:val="0"/>
    <w:rPr>
      <w:rFonts w:ascii="宋体" w:hAnsi="Courier New"/>
    </w:rPr>
  </w:style>
  <w:style w:type="paragraph" w:styleId="12">
    <w:name w:val="List Bullet 5"/>
    <w:basedOn w:val="1"/>
    <w:qFormat/>
    <w:locked/>
    <w:uiPriority w:val="0"/>
    <w:pPr>
      <w:numPr>
        <w:ilvl w:val="0"/>
        <w:numId w:val="1"/>
      </w:numPr>
    </w:pPr>
  </w:style>
  <w:style w:type="paragraph" w:styleId="13">
    <w:name w:val="Date"/>
    <w:basedOn w:val="1"/>
    <w:next w:val="1"/>
    <w:link w:val="35"/>
    <w:qFormat/>
    <w:uiPriority w:val="0"/>
    <w:pPr>
      <w:ind w:left="100" w:leftChars="2500"/>
    </w:pPr>
    <w:rPr>
      <w:kern w:val="0"/>
      <w:sz w:val="24"/>
      <w:szCs w:val="20"/>
    </w:rPr>
  </w:style>
  <w:style w:type="paragraph" w:styleId="14">
    <w:name w:val="Body Text Indent 2"/>
    <w:basedOn w:val="1"/>
    <w:next w:val="1"/>
    <w:qFormat/>
    <w:locked/>
    <w:uiPriority w:val="0"/>
    <w:pPr>
      <w:spacing w:line="288" w:lineRule="auto"/>
      <w:ind w:firstLine="495"/>
    </w:pPr>
    <w:rPr>
      <w:rFonts w:ascii="宋体"/>
      <w:color w:val="FF0000"/>
      <w:sz w:val="24"/>
    </w:rPr>
  </w:style>
  <w:style w:type="paragraph" w:styleId="15">
    <w:name w:val="Balloon Text"/>
    <w:basedOn w:val="1"/>
    <w:link w:val="36"/>
    <w:semiHidden/>
    <w:qFormat/>
    <w:uiPriority w:val="0"/>
    <w:rPr>
      <w:kern w:val="0"/>
      <w:sz w:val="18"/>
      <w:szCs w:val="20"/>
    </w:rPr>
  </w:style>
  <w:style w:type="paragraph" w:styleId="16">
    <w:name w:val="footer"/>
    <w:basedOn w:val="1"/>
    <w:link w:val="37"/>
    <w:qFormat/>
    <w:uiPriority w:val="99"/>
    <w:pPr>
      <w:tabs>
        <w:tab w:val="center" w:pos="4153"/>
        <w:tab w:val="right" w:pos="8306"/>
      </w:tabs>
      <w:snapToGrid w:val="0"/>
      <w:jc w:val="left"/>
    </w:pPr>
    <w:rPr>
      <w:kern w:val="0"/>
      <w:sz w:val="18"/>
      <w:szCs w:val="20"/>
    </w:rPr>
  </w:style>
  <w:style w:type="paragraph" w:styleId="17">
    <w:name w:val="header"/>
    <w:basedOn w:val="1"/>
    <w:next w:val="16"/>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qFormat/>
    <w:locked/>
    <w:uiPriority w:val="39"/>
    <w:pPr>
      <w:spacing w:before="120" w:after="120"/>
      <w:jc w:val="left"/>
    </w:pPr>
    <w:rPr>
      <w:b/>
      <w:bCs/>
      <w:caps/>
      <w:sz w:val="20"/>
    </w:rPr>
  </w:style>
  <w:style w:type="paragraph" w:styleId="19">
    <w:name w:val="Subtitle"/>
    <w:basedOn w:val="1"/>
    <w:next w:val="1"/>
    <w:qFormat/>
    <w:locked/>
    <w:uiPriority w:val="0"/>
    <w:pPr>
      <w:spacing w:before="240" w:after="60" w:line="312" w:lineRule="auto"/>
      <w:jc w:val="center"/>
      <w:outlineLvl w:val="1"/>
    </w:pPr>
    <w:rPr>
      <w:rFonts w:ascii="Cambria" w:hAnsi="Cambria"/>
      <w:b/>
      <w:bCs/>
      <w:kern w:val="28"/>
      <w:sz w:val="32"/>
      <w:szCs w:val="32"/>
    </w:rPr>
  </w:style>
  <w:style w:type="paragraph" w:styleId="20">
    <w:name w:val="table of figures"/>
    <w:basedOn w:val="1"/>
    <w:next w:val="1"/>
    <w:qFormat/>
    <w:locked/>
    <w:uiPriority w:val="0"/>
    <w:pPr>
      <w:ind w:left="200" w:leftChars="200" w:hanging="200" w:hangingChars="200"/>
    </w:pPr>
  </w:style>
  <w:style w:type="paragraph" w:styleId="21">
    <w:name w:val="toc 2"/>
    <w:basedOn w:val="1"/>
    <w:next w:val="1"/>
    <w:qFormat/>
    <w:locked/>
    <w:uiPriority w:val="39"/>
    <w:pPr>
      <w:ind w:left="210"/>
      <w:jc w:val="left"/>
    </w:pPr>
    <w:rPr>
      <w:smallCaps/>
      <w:sz w:val="20"/>
    </w:rPr>
  </w:style>
  <w:style w:type="paragraph" w:styleId="22">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8"/>
    <w:next w:val="8"/>
    <w:link w:val="40"/>
    <w:semiHidden/>
    <w:qFormat/>
    <w:uiPriority w:val="0"/>
    <w:rPr>
      <w:b/>
      <w:sz w:val="24"/>
      <w:szCs w:val="20"/>
    </w:rPr>
  </w:style>
  <w:style w:type="paragraph" w:styleId="24">
    <w:name w:val="Body Text First Indent"/>
    <w:basedOn w:val="9"/>
    <w:qFormat/>
    <w:locked/>
    <w:uiPriority w:val="0"/>
    <w:pPr>
      <w:ind w:firstLine="420" w:firstLineChars="100"/>
    </w:pPr>
  </w:style>
  <w:style w:type="paragraph" w:styleId="25">
    <w:name w:val="Body Text First Indent 2"/>
    <w:basedOn w:val="10"/>
    <w:next w:val="1"/>
    <w:qFormat/>
    <w:locked/>
    <w:uiPriority w:val="0"/>
    <w:pPr>
      <w:spacing w:line="360" w:lineRule="auto"/>
      <w:ind w:firstLine="0"/>
      <w:jc w:val="left"/>
    </w:p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locked/>
    <w:uiPriority w:val="0"/>
  </w:style>
  <w:style w:type="character" w:styleId="30">
    <w:name w:val="Hyperlink"/>
    <w:qFormat/>
    <w:locked/>
    <w:uiPriority w:val="99"/>
    <w:rPr>
      <w:color w:val="0000FF"/>
      <w:u w:val="single"/>
    </w:rPr>
  </w:style>
  <w:style w:type="character" w:styleId="31">
    <w:name w:val="annotation reference"/>
    <w:semiHidden/>
    <w:qFormat/>
    <w:uiPriority w:val="0"/>
    <w:rPr>
      <w:sz w:val="21"/>
    </w:rPr>
  </w:style>
  <w:style w:type="character" w:customStyle="1" w:styleId="32">
    <w:name w:val="批注文字 字符"/>
    <w:link w:val="8"/>
    <w:qFormat/>
    <w:locked/>
    <w:uiPriority w:val="0"/>
    <w:rPr>
      <w:rFonts w:ascii="Times New Roman" w:hAnsi="Times New Roman" w:eastAsia="宋体"/>
      <w:sz w:val="24"/>
    </w:rPr>
  </w:style>
  <w:style w:type="character" w:customStyle="1" w:styleId="33">
    <w:name w:val="正文文本 字符"/>
    <w:link w:val="9"/>
    <w:qFormat/>
    <w:locked/>
    <w:uiPriority w:val="0"/>
    <w:rPr>
      <w:sz w:val="18"/>
    </w:rPr>
  </w:style>
  <w:style w:type="character" w:customStyle="1" w:styleId="34">
    <w:name w:val="正文文本缩进 字符"/>
    <w:link w:val="10"/>
    <w:semiHidden/>
    <w:qFormat/>
    <w:locked/>
    <w:uiPriority w:val="0"/>
    <w:rPr>
      <w:rFonts w:ascii="Times New Roman" w:hAnsi="Times New Roman" w:eastAsia="宋体"/>
      <w:sz w:val="24"/>
    </w:rPr>
  </w:style>
  <w:style w:type="character" w:customStyle="1" w:styleId="35">
    <w:name w:val="日期 字符1"/>
    <w:link w:val="13"/>
    <w:qFormat/>
    <w:locked/>
    <w:uiPriority w:val="0"/>
    <w:rPr>
      <w:rFonts w:ascii="Times New Roman" w:hAnsi="Times New Roman" w:eastAsia="宋体"/>
      <w:sz w:val="24"/>
    </w:rPr>
  </w:style>
  <w:style w:type="character" w:customStyle="1" w:styleId="36">
    <w:name w:val="批注框文本 字符"/>
    <w:link w:val="15"/>
    <w:semiHidden/>
    <w:qFormat/>
    <w:locked/>
    <w:uiPriority w:val="0"/>
    <w:rPr>
      <w:rFonts w:ascii="Times New Roman" w:hAnsi="Times New Roman" w:eastAsia="宋体"/>
      <w:sz w:val="18"/>
    </w:rPr>
  </w:style>
  <w:style w:type="character" w:customStyle="1" w:styleId="37">
    <w:name w:val="页脚 字符1"/>
    <w:link w:val="16"/>
    <w:qFormat/>
    <w:locked/>
    <w:uiPriority w:val="99"/>
    <w:rPr>
      <w:sz w:val="18"/>
    </w:rPr>
  </w:style>
  <w:style w:type="character" w:customStyle="1" w:styleId="38">
    <w:name w:val="页眉 字符"/>
    <w:link w:val="17"/>
    <w:qFormat/>
    <w:locked/>
    <w:uiPriority w:val="0"/>
    <w:rPr>
      <w:sz w:val="18"/>
    </w:rPr>
  </w:style>
  <w:style w:type="character" w:customStyle="1" w:styleId="39">
    <w:name w:val="普通(网站) 字符"/>
    <w:link w:val="22"/>
    <w:qFormat/>
    <w:locked/>
    <w:uiPriority w:val="0"/>
    <w:rPr>
      <w:rFonts w:ascii="宋体" w:hAnsi="宋体" w:eastAsia="宋体"/>
      <w:sz w:val="24"/>
    </w:rPr>
  </w:style>
  <w:style w:type="character" w:customStyle="1" w:styleId="40">
    <w:name w:val="批注主题 字符"/>
    <w:link w:val="23"/>
    <w:semiHidden/>
    <w:qFormat/>
    <w:locked/>
    <w:uiPriority w:val="0"/>
    <w:rPr>
      <w:rFonts w:ascii="Times New Roman" w:hAnsi="Times New Roman" w:eastAsia="宋体"/>
      <w:b/>
      <w:kern w:val="2"/>
      <w:sz w:val="24"/>
    </w:rPr>
  </w:style>
  <w:style w:type="paragraph" w:customStyle="1" w:styleId="41">
    <w:name w:val="Default"/>
    <w:basedOn w:val="42"/>
    <w:next w:val="1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纯文本1"/>
    <w:qFormat/>
    <w:uiPriority w:val="0"/>
    <w:pPr>
      <w:widowControl w:val="0"/>
      <w:jc w:val="both"/>
      <w:textAlignment w:val="baseline"/>
    </w:pPr>
    <w:rPr>
      <w:rFonts w:ascii="宋体" w:hAnsi="Courier New" w:eastAsia="宋体" w:cs="Times New Roman"/>
      <w:kern w:val="2"/>
      <w:sz w:val="21"/>
      <w:szCs w:val="24"/>
      <w:lang w:val="en-US" w:eastAsia="zh-CN" w:bidi="ar-SA"/>
    </w:rPr>
  </w:style>
  <w:style w:type="paragraph" w:customStyle="1" w:styleId="4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4">
    <w:name w:val="标准正文"/>
    <w:basedOn w:val="1"/>
    <w:next w:val="45"/>
    <w:qFormat/>
    <w:uiPriority w:val="0"/>
    <w:pPr>
      <w:spacing w:line="500" w:lineRule="exact"/>
      <w:ind w:firstLine="200" w:firstLineChars="200"/>
      <w:jc w:val="left"/>
    </w:pPr>
    <w:rPr>
      <w:sz w:val="24"/>
    </w:rPr>
  </w:style>
  <w:style w:type="paragraph" w:customStyle="1" w:styleId="45">
    <w:name w:val="正文 New New New New New New New New New New New"/>
    <w:next w:val="46"/>
    <w:qFormat/>
    <w:uiPriority w:val="0"/>
    <w:pPr>
      <w:widowControl w:val="0"/>
      <w:jc w:val="both"/>
    </w:pPr>
    <w:rPr>
      <w:rFonts w:ascii="Times New Roman" w:hAnsi="Times New Roman" w:eastAsia="宋体" w:cs="Times New Roman"/>
      <w:sz w:val="21"/>
      <w:lang w:val="en-US" w:eastAsia="zh-CN" w:bidi="ar-SA"/>
    </w:rPr>
  </w:style>
  <w:style w:type="paragraph" w:customStyle="1" w:styleId="46">
    <w:name w:val="样式 标题 2标题 21标题 121标题 2 Char1 Char节H2节标题 1.1节标题 1.1 Char...1"/>
    <w:basedOn w:val="3"/>
    <w:next w:val="47"/>
    <w:qFormat/>
    <w:uiPriority w:val="0"/>
    <w:pPr>
      <w:widowControl/>
    </w:pPr>
    <w:rPr>
      <w:rFonts w:ascii="黑体"/>
      <w:color w:val="000000"/>
      <w:sz w:val="28"/>
    </w:rPr>
  </w:style>
  <w:style w:type="paragraph" w:customStyle="1" w:styleId="47">
    <w:name w:val="xl41"/>
    <w:basedOn w:val="1"/>
    <w:next w:val="48"/>
    <w:qFormat/>
    <w:uiPriority w:val="0"/>
    <w:pPr>
      <w:widowControl/>
      <w:spacing w:before="280" w:after="280"/>
      <w:ind w:firstLine="0"/>
      <w:jc w:val="center"/>
    </w:pPr>
    <w:rPr>
      <w:rFonts w:ascii="Arial Unicode MS"/>
    </w:rPr>
  </w:style>
  <w:style w:type="paragraph" w:customStyle="1" w:styleId="48">
    <w:name w:val="样式 正文 + 首行缩进:  2 字符 + 宋体 四号 首行缩进:  2 字符"/>
    <w:basedOn w:val="1"/>
    <w:next w:val="49"/>
    <w:qFormat/>
    <w:uiPriority w:val="0"/>
    <w:pPr>
      <w:widowControl/>
      <w:spacing w:line="480" w:lineRule="exact"/>
    </w:pPr>
    <w:rPr>
      <w:rFonts w:ascii="宋体"/>
      <w:sz w:val="28"/>
    </w:rPr>
  </w:style>
  <w:style w:type="paragraph" w:customStyle="1" w:styleId="49">
    <w:name w:val="表标题"/>
    <w:next w:val="50"/>
    <w:qFormat/>
    <w:uiPriority w:val="0"/>
    <w:pPr>
      <w:widowControl w:val="0"/>
      <w:spacing w:before="156" w:line="300" w:lineRule="auto"/>
      <w:ind w:firstLine="7"/>
      <w:jc w:val="center"/>
    </w:pPr>
    <w:rPr>
      <w:rFonts w:ascii="Times New Roman" w:hAnsi="Times New Roman" w:eastAsia="宋体" w:cs="Times New Roman"/>
      <w:b/>
      <w:sz w:val="24"/>
      <w:lang w:val="en-US" w:eastAsia="zh-CN" w:bidi="ar-SA"/>
    </w:rPr>
  </w:style>
  <w:style w:type="paragraph" w:customStyle="1" w:styleId="50">
    <w:name w:val="自动表格内部"/>
    <w:basedOn w:val="1"/>
    <w:next w:val="51"/>
    <w:qFormat/>
    <w:uiPriority w:val="0"/>
    <w:pPr>
      <w:widowControl/>
      <w:ind w:firstLine="0"/>
      <w:jc w:val="center"/>
    </w:pPr>
    <w:rPr>
      <w:rFonts w:ascii="宋体"/>
    </w:rPr>
  </w:style>
  <w:style w:type="paragraph" w:customStyle="1" w:styleId="51">
    <w:name w:val="正文 New New New New New New New New New New New New New New New New New New New New New New New New New New New New New New"/>
    <w:next w:val="52"/>
    <w:qFormat/>
    <w:uiPriority w:val="0"/>
    <w:pPr>
      <w:widowControl w:val="0"/>
      <w:jc w:val="both"/>
    </w:pPr>
    <w:rPr>
      <w:rFonts w:ascii="Times New Roman" w:hAnsi="Times New Roman" w:eastAsia="宋体" w:cs="Times New Roman"/>
      <w:sz w:val="21"/>
      <w:lang w:val="en-US" w:eastAsia="zh-CN" w:bidi="ar-SA"/>
    </w:rPr>
  </w:style>
  <w:style w:type="paragraph" w:customStyle="1" w:styleId="52">
    <w:name w:val="自动A"/>
    <w:basedOn w:val="1"/>
    <w:next w:val="53"/>
    <w:qFormat/>
    <w:uiPriority w:val="0"/>
    <w:pPr>
      <w:spacing w:before="120" w:after="120" w:line="360" w:lineRule="auto"/>
      <w:ind w:firstLine="480" w:firstLineChars="200"/>
    </w:pPr>
    <w:rPr>
      <w:color w:val="000000"/>
      <w:kern w:val="0"/>
      <w:sz w:val="24"/>
    </w:rPr>
  </w:style>
  <w:style w:type="paragraph" w:customStyle="1" w:styleId="53">
    <w:name w:val="样式 标题 2标题 21标题 121H2SeHead wsa2标题 1.1 + 小三 非加粗 段前: 12.5..."/>
    <w:basedOn w:val="3"/>
    <w:next w:val="54"/>
    <w:qFormat/>
    <w:uiPriority w:val="0"/>
    <w:pPr>
      <w:widowControl/>
      <w:spacing w:before="120" w:line="413" w:lineRule="auto"/>
      <w:ind w:left="238"/>
    </w:pPr>
  </w:style>
  <w:style w:type="paragraph" w:customStyle="1" w:styleId="54">
    <w:name w:val="my table header"/>
    <w:next w:val="55"/>
    <w:qFormat/>
    <w:uiPriority w:val="0"/>
    <w:pPr>
      <w:autoSpaceDE w:val="0"/>
      <w:autoSpaceDN w:val="0"/>
      <w:spacing w:line="312" w:lineRule="auto"/>
      <w:ind w:firstLine="480"/>
    </w:pPr>
    <w:rPr>
      <w:rFonts w:ascii="黑体" w:hAnsi="Times New Roman" w:eastAsia="黑体" w:cs="Times New Roman"/>
      <w:sz w:val="24"/>
      <w:lang w:val="en-US" w:eastAsia="zh-CN" w:bidi="ar-SA"/>
    </w:rPr>
  </w:style>
  <w:style w:type="paragraph" w:customStyle="1" w:styleId="55">
    <w:name w:val="表头名称"/>
    <w:basedOn w:val="6"/>
    <w:next w:val="13"/>
    <w:qFormat/>
    <w:uiPriority w:val="0"/>
    <w:pPr>
      <w:autoSpaceDE w:val="0"/>
      <w:autoSpaceDN w:val="0"/>
      <w:adjustRightInd w:val="0"/>
      <w:snapToGrid w:val="0"/>
      <w:spacing w:after="156" w:afterLines="50" w:line="500" w:lineRule="exact"/>
      <w:ind w:firstLine="0"/>
      <w:jc w:val="center"/>
    </w:pPr>
    <w:rPr>
      <w:rFonts w:ascii="宋体" w:hAnsi="宋体"/>
      <w:b/>
      <w:color w:val="000000"/>
      <w:kern w:val="0"/>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页脚 字符"/>
    <w:qFormat/>
    <w:uiPriority w:val="99"/>
  </w:style>
  <w:style w:type="character" w:customStyle="1" w:styleId="58">
    <w:name w:val="日期 字符"/>
    <w:semiHidden/>
    <w:qFormat/>
    <w:uiPriority w:val="0"/>
    <w:rPr>
      <w:rFonts w:ascii="Times New Roman" w:hAnsi="Times New Roman" w:eastAsia="宋体"/>
      <w:sz w:val="24"/>
    </w:rPr>
  </w:style>
  <w:style w:type="character" w:customStyle="1" w:styleId="59">
    <w:name w:val="表格 Char"/>
    <w:link w:val="60"/>
    <w:qFormat/>
    <w:locked/>
    <w:uiPriority w:val="0"/>
    <w:rPr>
      <w:rFonts w:ascii="宋体"/>
      <w:sz w:val="21"/>
    </w:rPr>
  </w:style>
  <w:style w:type="paragraph" w:customStyle="1" w:styleId="60">
    <w:name w:val="表格"/>
    <w:basedOn w:val="11"/>
    <w:next w:val="1"/>
    <w:link w:val="59"/>
    <w:qFormat/>
    <w:uiPriority w:val="0"/>
    <w:pPr>
      <w:adjustRightInd w:val="0"/>
      <w:snapToGrid w:val="0"/>
      <w:spacing w:beforeLines="10" w:afterLines="10" w:line="259" w:lineRule="auto"/>
      <w:jc w:val="center"/>
    </w:pPr>
    <w:rPr>
      <w:rFonts w:ascii="宋体"/>
      <w:kern w:val="0"/>
      <w:szCs w:val="20"/>
    </w:rPr>
  </w:style>
  <w:style w:type="character" w:customStyle="1" w:styleId="61">
    <w:name w:val="批注文字 字符1"/>
    <w:semiHidden/>
    <w:qFormat/>
    <w:uiPriority w:val="0"/>
    <w:rPr>
      <w:rFonts w:ascii="Times New Roman" w:hAnsi="Times New Roman" w:eastAsia="宋体"/>
      <w:sz w:val="24"/>
    </w:rPr>
  </w:style>
  <w:style w:type="paragraph" w:customStyle="1" w:styleId="62">
    <w:name w:val="表格中内容"/>
    <w:basedOn w:val="60"/>
    <w:qFormat/>
    <w:uiPriority w:val="0"/>
    <w:pPr>
      <w:keepNext w:val="0"/>
      <w:autoSpaceDE/>
      <w:autoSpaceDN/>
      <w:snapToGrid w:val="0"/>
      <w:textAlignment w:val="center"/>
    </w:pPr>
    <w:rPr>
      <w:rFonts w:eastAsia="楷体_GB2312"/>
      <w:color w:val="000000"/>
      <w:sz w:val="21"/>
      <w:szCs w:val="21"/>
    </w:rPr>
  </w:style>
  <w:style w:type="paragraph" w:customStyle="1" w:styleId="63">
    <w:name w:val="样式 首行缩进:  2 字符1"/>
    <w:basedOn w:val="1"/>
    <w:qFormat/>
    <w:uiPriority w:val="0"/>
    <w:pPr>
      <w:adjustRightInd w:val="0"/>
      <w:snapToGrid w:val="0"/>
      <w:spacing w:line="360" w:lineRule="auto"/>
      <w:ind w:firstLine="480" w:firstLineChars="200"/>
    </w:pPr>
    <w:rPr>
      <w:rFonts w:ascii="Calibri" w:hAnsi="Calibri" w:cs="宋体"/>
      <w:sz w:val="24"/>
      <w:szCs w:val="24"/>
    </w:rPr>
  </w:style>
  <w:style w:type="paragraph" w:customStyle="1" w:styleId="6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5">
    <w:name w:val="Table Paragraph"/>
    <w:basedOn w:val="1"/>
    <w:qFormat/>
    <w:uiPriority w:val="1"/>
    <w:pPr>
      <w:autoSpaceDE w:val="0"/>
      <w:autoSpaceDN w:val="0"/>
      <w:adjustRightInd w:val="0"/>
      <w:spacing w:before="106"/>
      <w:jc w:val="center"/>
    </w:pPr>
    <w:rPr>
      <w:rFonts w:ascii="宋体" w:cs="宋体"/>
      <w:kern w:val="0"/>
      <w:sz w:val="24"/>
      <w:szCs w:val="24"/>
    </w:rPr>
  </w:style>
  <w:style w:type="paragraph" w:customStyle="1" w:styleId="66">
    <w:name w:val="样式1"/>
    <w:basedOn w:val="1"/>
    <w:qFormat/>
    <w:uiPriority w:val="0"/>
    <w:pPr>
      <w:spacing w:line="360" w:lineRule="auto"/>
      <w:ind w:firstLine="964" w:firstLineChars="200"/>
      <w:jc w:val="center"/>
    </w:pPr>
    <w:rPr>
      <w:b/>
      <w:kern w:val="0"/>
      <w:sz w:val="22"/>
    </w:rPr>
  </w:style>
  <w:style w:type="paragraph" w:customStyle="1" w:styleId="67">
    <w:name w:val="规范正文"/>
    <w:qFormat/>
    <w:uiPriority w:val="0"/>
    <w:pPr>
      <w:topLinePunct/>
      <w:adjustRightInd w:val="0"/>
      <w:snapToGrid w:val="0"/>
      <w:spacing w:line="360" w:lineRule="auto"/>
      <w:ind w:firstLine="200" w:firstLineChars="200"/>
      <w:jc w:val="both"/>
      <w:textAlignment w:val="baseline"/>
    </w:pPr>
    <w:rPr>
      <w:rFonts w:ascii="Times New Roman" w:hAnsi="Times New Roman" w:eastAsia="宋体" w:cs="宋体"/>
      <w:kern w:val="2"/>
      <w:sz w:val="24"/>
      <w:szCs w:val="24"/>
      <w:lang w:val="en-US" w:eastAsia="zh-CN" w:bidi="ar-SA"/>
    </w:rPr>
  </w:style>
  <w:style w:type="paragraph" w:customStyle="1" w:styleId="68">
    <w:name w:val="样式 批注文字 + 五号 行距: 单倍行距 首行缩进:  0 字符"/>
    <w:basedOn w:val="8"/>
    <w:qFormat/>
    <w:uiPriority w:val="0"/>
    <w:rPr>
      <w:rFonts w:cs="宋体"/>
      <w:kern w:val="0"/>
      <w:sz w:val="24"/>
    </w:rPr>
  </w:style>
  <w:style w:type="paragraph" w:customStyle="1" w:styleId="6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
    <w:name w:val="字体"/>
    <w:basedOn w:val="1"/>
    <w:qFormat/>
    <w:uiPriority w:val="0"/>
    <w:pPr>
      <w:jc w:val="center"/>
    </w:pPr>
    <w:rPr>
      <w:rFonts w:ascii="Times New Roman" w:hAnsi="Times New Roman"/>
      <w:sz w:val="24"/>
      <w:szCs w:val="24"/>
    </w:rPr>
  </w:style>
  <w:style w:type="paragraph" w:customStyle="1" w:styleId="71">
    <w:name w:val="表格文字"/>
    <w:basedOn w:val="1"/>
    <w:qFormat/>
    <w:uiPriority w:val="0"/>
    <w:pPr>
      <w:jc w:val="center"/>
    </w:pPr>
    <w:rPr>
      <w:kern w:val="2"/>
      <w:lang w:bidi="ar-SA"/>
    </w:rPr>
  </w:style>
  <w:style w:type="paragraph" w:customStyle="1" w:styleId="72">
    <w:name w:val="报告正文"/>
    <w:basedOn w:val="1"/>
    <w:qFormat/>
    <w:uiPriority w:val="0"/>
    <w:pPr>
      <w:spacing w:line="360" w:lineRule="auto"/>
      <w:ind w:firstLine="200" w:firstLineChars="200"/>
    </w:pPr>
    <w:rPr>
      <w:sz w:val="24"/>
      <w:szCs w:val="24"/>
    </w:rPr>
  </w:style>
  <w:style w:type="paragraph" w:customStyle="1" w:styleId="73">
    <w:name w:val="表格内容"/>
    <w:basedOn w:val="1"/>
    <w:qFormat/>
    <w:uiPriority w:val="0"/>
    <w:pPr>
      <w:spacing w:line="360" w:lineRule="auto"/>
      <w:jc w:val="center"/>
    </w:pPr>
  </w:style>
  <w:style w:type="paragraph" w:customStyle="1" w:styleId="74">
    <w:name w:val="报告表格"/>
    <w:basedOn w:val="1"/>
    <w:next w:val="1"/>
    <w:qFormat/>
    <w:uiPriority w:val="0"/>
    <w:pPr>
      <w:autoSpaceDE w:val="0"/>
      <w:autoSpaceDN w:val="0"/>
      <w:adjustRightInd w:val="0"/>
      <w:spacing w:line="318" w:lineRule="atLeast"/>
      <w:jc w:val="center"/>
      <w:textAlignment w:val="bottom"/>
    </w:pPr>
    <w:rPr>
      <w:rFonts w:ascii="Calibri" w:hAnsi="Calibri"/>
      <w:kern w:val="0"/>
      <w:sz w:val="24"/>
    </w:rPr>
  </w:style>
  <w:style w:type="paragraph" w:customStyle="1" w:styleId="75">
    <w:name w:val="正文标准样式"/>
    <w:basedOn w:val="1"/>
    <w:qFormat/>
    <w:uiPriority w:val="0"/>
    <w:pPr>
      <w:adjustRightInd w:val="0"/>
      <w:spacing w:line="300" w:lineRule="auto"/>
      <w:ind w:firstLine="482"/>
      <w:textAlignment w:val="baseline"/>
    </w:pPr>
    <w:rPr>
      <w:kern w:val="0"/>
      <w:sz w:val="24"/>
    </w:rPr>
  </w:style>
  <w:style w:type="paragraph" w:customStyle="1" w:styleId="76">
    <w:name w:val="Normal_82"/>
    <w:qFormat/>
    <w:uiPriority w:val="0"/>
    <w:pPr>
      <w:spacing w:before="120" w:after="240"/>
      <w:jc w:val="both"/>
    </w:pPr>
    <w:rPr>
      <w:rFonts w:ascii="Calibri" w:hAnsi="Calibri" w:eastAsia="Calibri" w:cs="Times New Roman"/>
      <w:sz w:val="22"/>
      <w:szCs w:val="22"/>
      <w:lang w:val="ru-RU" w:eastAsia="en-US" w:bidi="ar-SA"/>
    </w:rPr>
  </w:style>
  <w:style w:type="paragraph" w:customStyle="1" w:styleId="77">
    <w:name w:val="规范表格目录"/>
    <w:basedOn w:val="20"/>
    <w:link w:val="78"/>
    <w:qFormat/>
    <w:uiPriority w:val="0"/>
    <w:pPr>
      <w:ind w:left="0" w:leftChars="0" w:firstLine="0" w:firstLineChars="0"/>
      <w:jc w:val="center"/>
    </w:pPr>
    <w:rPr>
      <w:rFonts w:eastAsia="黑体"/>
      <w:b/>
      <w:sz w:val="24"/>
      <w:szCs w:val="28"/>
    </w:rPr>
  </w:style>
  <w:style w:type="character" w:customStyle="1" w:styleId="78">
    <w:name w:val="规范表格目录 Char Char"/>
    <w:link w:val="77"/>
    <w:qFormat/>
    <w:uiPriority w:val="0"/>
    <w:rPr>
      <w:rFonts w:eastAsia="黑体"/>
      <w:b/>
      <w:sz w:val="24"/>
      <w:szCs w:val="28"/>
    </w:rPr>
  </w:style>
  <w:style w:type="paragraph" w:customStyle="1" w:styleId="79">
    <w:name w:val="规范表格文"/>
    <w:basedOn w:val="9"/>
    <w:qFormat/>
    <w:uiPriority w:val="0"/>
    <w:pPr>
      <w:jc w:val="center"/>
    </w:pPr>
    <w:rPr>
      <w:sz w:val="21"/>
      <w:szCs w:val="24"/>
    </w:rPr>
  </w:style>
  <w:style w:type="character" w:customStyle="1" w:styleId="80">
    <w:name w:val="font11"/>
    <w:qFormat/>
    <w:uiPriority w:val="0"/>
    <w:rPr>
      <w:rFonts w:hint="eastAsia" w:ascii="宋体" w:hAnsi="宋体" w:eastAsia="宋体" w:cs="宋体"/>
      <w:color w:val="000000"/>
      <w:sz w:val="21"/>
      <w:szCs w:val="21"/>
      <w:u w:val="none"/>
    </w:rPr>
  </w:style>
  <w:style w:type="paragraph" w:customStyle="1" w:styleId="81">
    <w:name w:val="文章正文样式"/>
    <w:basedOn w:val="1"/>
    <w:qFormat/>
    <w:uiPriority w:val="0"/>
    <w:pPr>
      <w:spacing w:line="520" w:lineRule="exact"/>
      <w:ind w:firstLine="480" w:firstLineChars="200"/>
      <w:jc w:val="left"/>
    </w:pPr>
    <w:rPr>
      <w:rFonts w:ascii="宋体" w:hAnsi="宋体" w:cs="宋体"/>
      <w:sz w:val="24"/>
    </w:rPr>
  </w:style>
  <w:style w:type="paragraph" w:customStyle="1" w:styleId="82">
    <w:name w:val="表格标题"/>
    <w:basedOn w:val="83"/>
    <w:next w:val="73"/>
    <w:qFormat/>
    <w:uiPriority w:val="0"/>
    <w:pPr>
      <w:spacing w:line="500" w:lineRule="exact"/>
      <w:textAlignment w:val="center"/>
    </w:pPr>
    <w:rPr>
      <w:b/>
      <w:sz w:val="24"/>
      <w:szCs w:val="24"/>
    </w:rPr>
  </w:style>
  <w:style w:type="paragraph" w:customStyle="1" w:styleId="83">
    <w:name w:val="正文内容"/>
    <w:basedOn w:val="1"/>
    <w:qFormat/>
    <w:uiPriority w:val="0"/>
    <w:pPr>
      <w:spacing w:line="360" w:lineRule="auto"/>
      <w:ind w:firstLine="200" w:firstLineChars="200"/>
    </w:pPr>
    <w:rPr>
      <w:rFonts w:ascii="Times New Roman" w:hAnsi="Times New Roman" w:eastAsia="宋体"/>
      <w:sz w:val="24"/>
    </w:rPr>
  </w:style>
  <w:style w:type="paragraph" w:customStyle="1" w:styleId="84">
    <w:name w:val="WPSOffice手动目录 1"/>
    <w:qFormat/>
    <w:uiPriority w:val="0"/>
    <w:rPr>
      <w:rFonts w:ascii="Times New Roman" w:hAnsi="Times New Roman" w:eastAsia="宋体" w:cs="Times New Roman"/>
      <w:lang w:val="en-US" w:eastAsia="zh-CN" w:bidi="ar-SA"/>
    </w:rPr>
  </w:style>
  <w:style w:type="paragraph" w:customStyle="1" w:styleId="85">
    <w:name w:val="xl2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86">
    <w:name w:val="123456"/>
    <w:basedOn w:val="1"/>
    <w:qFormat/>
    <w:uiPriority w:val="0"/>
    <w:pPr>
      <w:spacing w:line="360" w:lineRule="auto"/>
      <w:ind w:firstLine="200" w:firstLineChars="200"/>
    </w:pPr>
    <w:rPr>
      <w:sz w:val="24"/>
    </w:rPr>
  </w:style>
  <w:style w:type="paragraph" w:customStyle="1" w:styleId="87">
    <w:name w:val="标题1"/>
    <w:basedOn w:val="1"/>
    <w:qFormat/>
    <w:uiPriority w:val="0"/>
    <w:pPr>
      <w:spacing w:before="120" w:line="360" w:lineRule="auto"/>
      <w:jc w:val="left"/>
    </w:pPr>
    <w:rPr>
      <w:rFonts w:eastAsia="黑体"/>
      <w:kern w:val="0"/>
      <w:sz w:val="28"/>
      <w:szCs w:val="20"/>
    </w:rPr>
  </w:style>
  <w:style w:type="paragraph" w:customStyle="1" w:styleId="88">
    <w:name w:val="p0"/>
    <w:basedOn w:val="1"/>
    <w:qFormat/>
    <w:uiPriority w:val="0"/>
    <w:pPr>
      <w:keepNext w:val="0"/>
      <w:keepLines w:val="0"/>
      <w:widowControl/>
      <w:suppressLineNumbers w:val="0"/>
      <w:spacing w:before="0" w:beforeAutospacing="0" w:after="0" w:afterAutospacing="0" w:line="360" w:lineRule="auto"/>
      <w:ind w:left="0" w:right="0" w:firstLine="420" w:firstLineChars="0"/>
      <w:jc w:val="both"/>
    </w:pPr>
    <w:rPr>
      <w:rFonts w:hint="default" w:ascii="Times New Roman" w:hAnsi="Times New Roman" w:eastAsia="宋体" w:cs="Times New Roman"/>
      <w:kern w:val="0"/>
      <w:sz w:val="28"/>
      <w:szCs w:val="28"/>
      <w:lang w:val="en-US" w:eastAsia="zh-CN" w:bidi="ar"/>
    </w:rPr>
  </w:style>
  <w:style w:type="paragraph" w:customStyle="1" w:styleId="89">
    <w:name w:val="中文报告书样式"/>
    <w:basedOn w:val="1"/>
    <w:qFormat/>
    <w:uiPriority w:val="0"/>
    <w:pPr>
      <w:widowControl/>
      <w:spacing w:line="500" w:lineRule="atLeast"/>
      <w:textAlignment w:val="baseline"/>
    </w:pPr>
    <w:rPr>
      <w:kern w:val="24"/>
      <w:sz w:val="24"/>
      <w:szCs w:val="20"/>
    </w:rPr>
  </w:style>
  <w:style w:type="paragraph" w:customStyle="1" w:styleId="90">
    <w:name w:val="居中正文"/>
    <w:basedOn w:val="1"/>
    <w:next w:val="1"/>
    <w:qFormat/>
    <w:uiPriority w:val="0"/>
    <w:pPr>
      <w:widowControl/>
      <w:spacing w:line="360" w:lineRule="auto"/>
      <w:ind w:firstLine="200" w:firstLineChars="200"/>
      <w:jc w:val="left"/>
    </w:pPr>
    <w:rPr>
      <w:rFonts w:ascii="Calibri" w:hAnsi="Calibri" w:eastAsia="华文细黑" w:cs="Courier New"/>
      <w:sz w:val="24"/>
    </w:rPr>
  </w:style>
  <w:style w:type="paragraph" w:customStyle="1" w:styleId="91">
    <w:name w:val="我的表头1"/>
    <w:basedOn w:val="1"/>
    <w:qFormat/>
    <w:uiPriority w:val="0"/>
    <w:pPr>
      <w:spacing w:before="156" w:beforeLines="50" w:after="156" w:afterLines="50" w:line="360" w:lineRule="auto"/>
      <w:ind w:firstLine="200" w:firstLineChars="200"/>
      <w:jc w:val="left"/>
    </w:pPr>
    <w:rPr>
      <w:b/>
      <w:sz w:val="24"/>
    </w:rPr>
  </w:style>
  <w:style w:type="paragraph" w:customStyle="1" w:styleId="92">
    <w:name w:val="表格文字五"/>
    <w:basedOn w:val="1"/>
    <w:qFormat/>
    <w:uiPriority w:val="0"/>
    <w:pPr>
      <w:jc w:val="center"/>
    </w:pPr>
  </w:style>
  <w:style w:type="paragraph" w:customStyle="1" w:styleId="93">
    <w:name w:val="环评报告正文"/>
    <w:basedOn w:val="1"/>
    <w:qFormat/>
    <w:uiPriority w:val="0"/>
    <w:pPr>
      <w:spacing w:line="360" w:lineRule="auto"/>
      <w:ind w:firstLine="480" w:firstLineChars="200"/>
      <w:jc w:val="left"/>
    </w:pPr>
    <w:rPr>
      <w:rFonts w:ascii="Times New Roman" w:hAnsi="Times New Roman" w:eastAsia="宋体" w:cs="Times New Roman"/>
      <w:color w:val="000000"/>
      <w:sz w:val="24"/>
      <w:szCs w:val="20"/>
    </w:rPr>
  </w:style>
  <w:style w:type="paragraph" w:customStyle="1" w:styleId="94">
    <w:name w:val="表格 32"/>
    <w:basedOn w:val="95"/>
    <w:qFormat/>
    <w:uiPriority w:val="0"/>
    <w:pPr>
      <w:spacing w:line="240" w:lineRule="auto"/>
    </w:pPr>
    <w:rPr>
      <w:rFonts w:eastAsia="宋体"/>
      <w:b w:val="0"/>
      <w:szCs w:val="21"/>
    </w:rPr>
  </w:style>
  <w:style w:type="paragraph" w:customStyle="1" w:styleId="95">
    <w:name w:val="表头"/>
    <w:basedOn w:val="96"/>
    <w:next w:val="1"/>
    <w:qFormat/>
    <w:uiPriority w:val="0"/>
    <w:rPr>
      <w:rFonts w:ascii="Times New Roman" w:hAnsi="Times New Roman" w:eastAsia="宋体"/>
    </w:rPr>
  </w:style>
  <w:style w:type="paragraph" w:customStyle="1" w:styleId="96">
    <w:name w:val="11111111111"/>
    <w:basedOn w:val="1"/>
    <w:qFormat/>
    <w:uiPriority w:val="0"/>
    <w:pPr>
      <w:spacing w:line="480" w:lineRule="exact"/>
      <w:jc w:val="center"/>
    </w:pPr>
    <w:rPr>
      <w:b/>
    </w:rPr>
  </w:style>
  <w:style w:type="paragraph" w:customStyle="1" w:styleId="97">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98">
    <w:name w:val="ca-01"/>
    <w:qFormat/>
    <w:uiPriority w:val="0"/>
    <w:rPr>
      <w:rFonts w:hint="eastAsia" w:ascii="宋体" w:hAnsi="宋体" w:eastAsia="宋体"/>
      <w:sz w:val="24"/>
      <w:szCs w:val="24"/>
    </w:rPr>
  </w:style>
  <w:style w:type="character" w:customStyle="1" w:styleId="99">
    <w:name w:val="15"/>
    <w:qFormat/>
    <w:uiPriority w:val="0"/>
    <w:rPr>
      <w:rFonts w:hint="default" w:ascii="Times New Roman" w:hAnsi="Times New Roman" w:cs="Times New Roman"/>
      <w:sz w:val="20"/>
      <w:szCs w:val="20"/>
    </w:rPr>
  </w:style>
  <w:style w:type="paragraph" w:customStyle="1" w:styleId="100">
    <w:name w:val="Char2"/>
    <w:basedOn w:val="1"/>
    <w:qFormat/>
    <w:uiPriority w:val="0"/>
    <w:pPr>
      <w:adjustRightInd w:val="0"/>
      <w:snapToGrid w:val="0"/>
      <w:spacing w:line="360" w:lineRule="auto"/>
      <w:ind w:firstLine="480"/>
      <w:jc w:val="both"/>
    </w:pPr>
    <w:rPr>
      <w:rFonts w:ascii="Tahoma" w:hAnsi="Tahoma" w:cs="Tahoma"/>
    </w:rPr>
  </w:style>
  <w:style w:type="paragraph" w:customStyle="1" w:styleId="101">
    <w:name w:val="样式 正文文本缩进 + 行距: 1.5 倍行距"/>
    <w:basedOn w:val="10"/>
    <w:qFormat/>
    <w:uiPriority w:val="0"/>
    <w:pPr>
      <w:spacing w:line="360" w:lineRule="auto"/>
      <w:ind w:left="90" w:leftChars="32" w:firstLine="560"/>
      <w:jc w:val="both"/>
    </w:pPr>
    <w:rPr>
      <w:rFonts w:cs="宋体"/>
      <w:szCs w:val="20"/>
    </w:rPr>
  </w:style>
  <w:style w:type="paragraph" w:customStyle="1" w:styleId="102">
    <w:name w:val="报告书正文"/>
    <w:basedOn w:val="1"/>
    <w:qFormat/>
    <w:uiPriority w:val="0"/>
    <w:pPr>
      <w:spacing w:after="60"/>
      <w:jc w:val="both"/>
    </w:pPr>
  </w:style>
  <w:style w:type="paragraph" w:customStyle="1" w:styleId="103">
    <w:name w:val="表格中文字0705"/>
    <w:basedOn w:val="1"/>
    <w:qFormat/>
    <w:uiPriority w:val="0"/>
    <w:pPr>
      <w:adjustRightInd w:val="0"/>
      <w:snapToGrid w:val="0"/>
      <w:jc w:val="center"/>
    </w:pPr>
    <w:rPr>
      <w:color w:val="000000"/>
      <w:kern w:val="18"/>
      <w:sz w:val="21"/>
      <w:szCs w:val="21"/>
    </w:rPr>
  </w:style>
  <w:style w:type="paragraph" w:customStyle="1" w:styleId="104">
    <w:name w:val="小表格中内容"/>
    <w:basedOn w:val="1"/>
    <w:qFormat/>
    <w:uiPriority w:val="0"/>
    <w:pPr>
      <w:shd w:val="solid" w:color="FFFFFF" w:fill="auto"/>
      <w:tabs>
        <w:tab w:val="left" w:pos="960"/>
      </w:tabs>
      <w:autoSpaceDN w:val="0"/>
      <w:ind w:firstLine="0" w:firstLineChars="0"/>
      <w:jc w:val="center"/>
    </w:pPr>
    <w:rPr>
      <w:rFonts w:ascii="宋体" w:hAnsi="宋体"/>
      <w:sz w:val="21"/>
      <w:szCs w:val="21"/>
      <w:shd w:val="clear" w:color="auto" w:fill="FFFFFF"/>
    </w:rPr>
  </w:style>
  <w:style w:type="paragraph" w:customStyle="1" w:styleId="105">
    <w:name w:val="环评正文"/>
    <w:basedOn w:val="106"/>
    <w:qFormat/>
    <w:uiPriority w:val="0"/>
    <w:pPr>
      <w:spacing w:line="440" w:lineRule="exact"/>
      <w:ind w:firstLine="200" w:firstLineChars="200"/>
    </w:pPr>
    <w:rPr>
      <w:rFonts w:ascii="宋体"/>
      <w:bCs/>
      <w:color w:val="000000"/>
      <w:sz w:val="24"/>
      <w:szCs w:val="24"/>
      <w:lang w:val="en-US" w:eastAsia="zh-CN" w:bidi="ar-SA"/>
    </w:rPr>
  </w:style>
  <w:style w:type="paragraph" w:customStyle="1" w:styleId="106">
    <w:name w:val="正文2"/>
    <w:basedOn w:val="9"/>
    <w:qFormat/>
    <w:uiPriority w:val="0"/>
    <w:pPr>
      <w:spacing w:after="0" w:line="360" w:lineRule="auto"/>
      <w:ind w:firstLine="200" w:firstLineChars="200"/>
    </w:pPr>
    <w:rPr>
      <w:rFonts w:ascii="Calibri" w:hAnsi="Calibri"/>
      <w:sz w:val="24"/>
      <w:szCs w:val="24"/>
    </w:rPr>
  </w:style>
  <w:style w:type="paragraph" w:customStyle="1" w:styleId="107">
    <w:name w:val="表格正文"/>
    <w:basedOn w:val="1"/>
    <w:qFormat/>
    <w:uiPriority w:val="1"/>
    <w:pPr>
      <w:ind w:firstLine="200" w:firstLineChars="200"/>
    </w:pPr>
    <w:rPr>
      <w:sz w:val="21"/>
    </w:rPr>
  </w:style>
  <w:style w:type="paragraph" w:customStyle="1" w:styleId="108">
    <w:name w:val="表内文5号"/>
    <w:basedOn w:val="109"/>
    <w:qFormat/>
    <w:uiPriority w:val="0"/>
    <w:rPr>
      <w:rFonts w:ascii="Calibri" w:hAnsi="Calibri"/>
      <w:sz w:val="21"/>
    </w:rPr>
  </w:style>
  <w:style w:type="paragraph" w:customStyle="1" w:styleId="109">
    <w:name w:val="表内文"/>
    <w:basedOn w:val="1"/>
    <w:qFormat/>
    <w:uiPriority w:val="0"/>
    <w:pPr>
      <w:wordWrap w:val="0"/>
      <w:jc w:val="center"/>
    </w:pPr>
    <w:rPr>
      <w:bCs/>
      <w:color w:val="000000"/>
      <w:kern w:val="2"/>
      <w:sz w:val="24"/>
      <w:szCs w:val="24"/>
    </w:rPr>
  </w:style>
  <w:style w:type="paragraph" w:customStyle="1" w:styleId="110">
    <w:name w:val="表格111"/>
    <w:basedOn w:val="1"/>
    <w:qFormat/>
    <w:uiPriority w:val="0"/>
    <w:pPr>
      <w:adjustRightInd w:val="0"/>
      <w:snapToGrid w:val="0"/>
      <w:spacing w:line="240" w:lineRule="auto"/>
      <w:jc w:val="center"/>
    </w:pPr>
    <w:rPr>
      <w:rFonts w:ascii="楷体" w:hAnsi="楷体"/>
      <w:sz w:val="21"/>
    </w:rPr>
  </w:style>
  <w:style w:type="paragraph" w:styleId="111">
    <w:name w:val="No Spacing"/>
    <w:basedOn w:val="1"/>
    <w:next w:val="1"/>
    <w:qFormat/>
    <w:uiPriority w:val="1"/>
    <w:pPr>
      <w:jc w:val="center"/>
    </w:pPr>
    <w:rPr>
      <w:sz w:val="21"/>
    </w:rPr>
  </w:style>
  <w:style w:type="paragraph" w:customStyle="1" w:styleId="112">
    <w:name w:val="表L"/>
    <w:next w:val="113"/>
    <w:qFormat/>
    <w:uiPriority w:val="0"/>
    <w:pPr>
      <w:widowControl w:val="0"/>
      <w:autoSpaceDE w:val="0"/>
      <w:autoSpaceDN w:val="0"/>
      <w:adjustRightInd w:val="0"/>
      <w:jc w:val="center"/>
    </w:pPr>
    <w:rPr>
      <w:rFonts w:ascii="Times New Roman" w:hAnsi="Times New Roman" w:eastAsia="宋体" w:cs="宋体"/>
      <w:color w:val="000000"/>
      <w:sz w:val="21"/>
      <w:szCs w:val="24"/>
      <w:lang w:val="en-US" w:eastAsia="zh-CN" w:bidi="ar-SA"/>
    </w:rPr>
  </w:style>
  <w:style w:type="paragraph" w:customStyle="1" w:styleId="113">
    <w:name w:val="表头e"/>
    <w:basedOn w:val="1"/>
    <w:qFormat/>
    <w:uiPriority w:val="0"/>
    <w:pPr>
      <w:spacing w:line="520" w:lineRule="exact"/>
      <w:jc w:val="center"/>
    </w:pPr>
    <w:rPr>
      <w:rFonts w:eastAsia="黑体"/>
    </w:rPr>
  </w:style>
  <w:style w:type="paragraph" w:customStyle="1" w:styleId="114">
    <w:name w:val="Table Text"/>
    <w:basedOn w:val="1"/>
    <w:semiHidden/>
    <w:qFormat/>
    <w:uiPriority w:val="0"/>
    <w:rPr>
      <w:rFonts w:ascii="宋体" w:hAnsi="宋体" w:eastAsia="宋体" w:cs="宋体"/>
      <w:sz w:val="24"/>
      <w:szCs w:val="24"/>
      <w:lang w:val="en-US" w:eastAsia="en-US" w:bidi="ar-SA"/>
    </w:rPr>
  </w:style>
  <w:style w:type="paragraph" w:customStyle="1" w:styleId="115">
    <w:name w:val="列出段落1"/>
    <w:basedOn w:val="1"/>
    <w:qFormat/>
    <w:uiPriority w:val="0"/>
    <w:pPr>
      <w:ind w:firstLine="420" w:firstLineChars="200"/>
    </w:pPr>
    <w:rPr>
      <w:sz w:val="24"/>
    </w:rPr>
  </w:style>
  <w:style w:type="paragraph" w:customStyle="1" w:styleId="116">
    <w:name w:val="表-正文"/>
    <w:basedOn w:val="1"/>
    <w:qFormat/>
    <w:uiPriority w:val="0"/>
    <w:pPr>
      <w:adjustRightInd w:val="0"/>
      <w:snapToGrid w:val="0"/>
      <w:spacing w:line="360" w:lineRule="auto"/>
      <w:ind w:firstLine="200" w:firstLineChars="200"/>
    </w:pPr>
    <w:rPr>
      <w:rFonts w:cs="宋体"/>
      <w:sz w:val="24"/>
      <w:szCs w:val="24"/>
    </w:rPr>
  </w:style>
  <w:style w:type="paragraph" w:customStyle="1" w:styleId="117">
    <w:name w:val="表题"/>
    <w:basedOn w:val="1"/>
    <w:qFormat/>
    <w:uiPriority w:val="0"/>
    <w:pPr>
      <w:jc w:val="center"/>
    </w:pPr>
    <w:rPr>
      <w:b/>
      <w:sz w:val="21"/>
    </w:rPr>
  </w:style>
  <w:style w:type="character" w:customStyle="1" w:styleId="118">
    <w:name w:val="fontstyle01"/>
    <w:qFormat/>
    <w:uiPriority w:val="0"/>
    <w:rPr>
      <w:rFonts w:ascii="宋体" w:hAnsi="宋体" w:eastAsia="宋体" w:cs="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23082</Words>
  <Characters>26175</Characters>
  <Lines>212</Lines>
  <Paragraphs>59</Paragraphs>
  <TotalTime>24</TotalTime>
  <ScaleCrop>false</ScaleCrop>
  <LinksUpToDate>false</LinksUpToDate>
  <CharactersWithSpaces>26560</CharactersWithSpaces>
  <Application>WPS Office_12.1.0.25835_F1E327BC-269C-435d-A152-05C5408002CA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沁农</cp:lastModifiedBy>
  <cp:lastPrinted>2020-12-29T02:43:00Z</cp:lastPrinted>
  <dcterms:modified xsi:type="dcterms:W3CDTF">2026-03-30T07:35:29Z</dcterms:modified>
  <dc:title>建设项目环境影响报告表（污染影响类）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2052-12.1.0.25835</vt:lpwstr>
  </property>
  <property fmtid="{D5CDD505-2E9C-101B-9397-08002B2CF9AE}" pid="3" name="ICV">
    <vt:lpwstr>A589BEE7C21046C2A6E9F30E697E74E0_13</vt:lpwstr>
  </property>
  <property fmtid="{D5CDD505-2E9C-101B-9397-08002B2CF9AE}" pid="4" name="KSOTemplateDocerSaveRecord">
    <vt:lpwstr>eyJoZGlkIjoiMGRjYjA0MjRhYTZhNDdjOWYwODQzZTkwNzUxN2NkYjUiLCJ1c2VySWQiOiI0NTUxODA4MTkifQ==</vt:lpwstr>
  </property>
</Properties>
</file>