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广西疫情防控指挥部发布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广西健康码定码和转码规则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一、定红码规则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000000"/>
          <w:spacing w:val="8"/>
          <w:sz w:val="25"/>
          <w:szCs w:val="25"/>
          <w:bdr w:val="none" w:color="auto" w:sz="0" w:space="0"/>
          <w:shd w:val="clear" w:fill="FFFFFF"/>
        </w:rPr>
        <w:t>（一）转红码原则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红码表示处于高风险状态，有下列情形之一的，赋红码。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1.来源于国家健康码的红码人员；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2.被诊断为确诊病例、无症状感染者；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3.确诊病例、无症状感染者治愈出院后，在14天健康管理服务期内；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4.被判断为疑似病例；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5.确诊病例、疑似病例（若后期排除恢复绿码）、无症状感染者的密切接触者、次密切接触者；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6.广西口岸入境隔离期未满14天或21天（涉德尔塔等变异毒株）人员（符合规定的特殊人员除外）；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7.国家推送的确诊病例、疑似病例（若后期排除恢复绿码）、无症状感染者时空伴随人员；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8.国内各地中高风险地区返桂来桂人员，抵桂不足21天的；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9.国内各地中高风险地区所在县（市、区）返桂来桂人员，抵桂不足7天的；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10.根据国家或自治区疫情防控文件要求，需要纳入集中隔离或居家隔离管理的人员。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（二）红码人员管理方式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实行集中管理（特殊情况可居家医学观察），禁止出行。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（三）红码转黄码或绿码规则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 对来源于国家健康码的红码人员实施健康管理服务，由原赋码地区对人员进行转码。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2. 确诊病例、无症状感染者经治愈出院且完成14天健康管理服务后，由属地的区划管理员对辖区内人员将红码转为黄码。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3. 疑似病例转确诊病例经治愈出院且完成14天健康管理服务后，由属地的区划管理员对辖区内人员将红码转为黄码。疑似病例经判定为非病例，由属地的区划管理员对辖区内人员将红码转为绿码。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4. 确诊病例、疑似病例、无症状感染者的密切接触者、次密切接触者实施健康管理服务后，进入后期7天健康监测阶段时，由属地的区划管理员对辖区内人员将红码转为黄码。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5. 广西口岸入境隔离期未满14天或21天（涉德尔塔等变异毒株）人员实施健康管理服务后，进入后期7天健康监测阶段时，由属地的区划管理员对辖区内人员将红码转为黄码。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6. 国家推送的确诊病例、疑似病例、无症状感染者时空伴随人员实施健康管理服务后，进入后期7天健康监测阶段时，由属地的区划管理员对辖区内人员将红码转为黄码。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7. 国内各地中高风险地区返桂来桂人员，抵桂不足21天（含21天）的，实施健康管理服务后，进入后期7天健康监测阶段时，由属地的区划管理员对辖区内人员将红码转为黄码。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8. 国内各地中高风险地区所在县（市、区）抵桂不足7天（含7天）人员实施健康管理服务后，进入后期7天健康监测阶段时，由属地的区划管理员对辖区内人员将红码转为黄码。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FFA900"/>
          <w:spacing w:val="8"/>
          <w:sz w:val="25"/>
          <w:szCs w:val="25"/>
          <w:bdr w:val="none" w:color="auto" w:sz="0" w:space="0"/>
          <w:shd w:val="clear" w:fill="FFFFFF"/>
        </w:rPr>
        <w:t>二、定黄码规则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000000"/>
          <w:spacing w:val="8"/>
          <w:sz w:val="25"/>
          <w:szCs w:val="25"/>
          <w:bdr w:val="none" w:color="auto" w:sz="0" w:space="0"/>
          <w:shd w:val="clear" w:fill="FFFFFF"/>
        </w:rPr>
        <w:t>（一）转黄码原则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黄码表示处于中风险状态，有下列情形之一的，赋黄码。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1.来源于国家健康码的黄码人员；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2.确诊病例、无症状感染者治愈出院并完成14天健康管理服务，在14天健康监测期内的；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3.在外省入境隔离期满14天，抵桂14天内的人员。通过数据流转，将人员档案信息预发至隔离人员意向地的疫情防控指挥部，信息核验后再进行赋码管理（赋黄码后，本人有一次机会通过广西健康码系统申请1—24小时限时流动时间，用于从抵桂地返回住地，其间严禁到各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4.国内各地中高风险地区返桂来桂人员，抵桂超过21天，未完成7天健康监测及相应核酸检测的（赋黄码后，本人有一次机会通过广西健康码系统申请1—24小时限时流动时间，用于从抵桂地返回住地，其间严禁到各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5.国内各地中高风险地区所在县（市、区）返桂来桂人员超过7天，未完成7天健康监测及相应核酸检测的（赋黄码后，本人有一次机会通过广西健康码系统申请1—24小时限时流动时间，用于从抵桂地返回住地，其间严禁到各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6.有确诊病例设区市中高风险地区所在县（市、区）以外返桂来桂人员，未完成7天健康监测及相应核酸检测的（赋黄码后，本人有一次机会通过广西健康码系统申请1—24小时限时流动时间，用于从抵桂地返回住地，其间严禁到各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7.根据实际情况，需要纳入健康监测范围、限制出行的人员。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（二）黄码人员管理方式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黄码人员限制出行。对第3、4、5和6项赋黄码后的人员，限时流动期间，在做好佩戴口罩等个人防护措施情况下可暂时乘坐交通工具从抵桂地返回住地。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（三）黄码转绿码规则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 对来源于国家健康码的黄码人员实施健康管理服务，由原赋码地区对人员进行转码。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2. 确诊病例和无症状感染者经治愈出院完成健康管理服务（14天）转黄码后，再完成14天健康监测且核酸检测为阴性的，由属地的区划管理员对辖区内人员将黄码转为绿码。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3. 疑似病例转确诊病例经治愈出院转黄码14天后，满足各地区健康监测要求且核酸检测为阴性的，由属地的区划管理员对辖区内人员将黄码转为绿码。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4. 确诊病例、无症状感染者的密切接触者、次密切接触者红码转黄码后，实施7天健康监测，且核酸检测为阴性的，由属地的区划管理员对辖区内人员将黄码转为绿码。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5. 疑似病例经判定为确诊病例，其密切接触者、次密切接触者经红码转黄码后，实施7天健康监测，且核酸检测为阴性的，由属地的区划管理员对辖区内人员将黄码转为绿码。疑似病例经判定为非病例，其密切接触者、次密切接触者由属地的区划管理员对辖区内人员的健康码直接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6. 广西口岸入境隔离期满14天或21天（涉德尔塔等变异毒株）人员，进行严格居家健康监测（或集中隔离）7天后，且核酸检测为阴性的，由属地的区划管理员对辖区内人员将黄码转为绿码。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7. 国家推送的确诊病例、疑似病例、无症状感染者时空伴随人员经红码转黄码后，实施完7天健康监测，且核酸检测为阴性的，由属地的区划管理员对辖区内人员将黄码转为绿码。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8. 国内各地中高风险地区返桂来桂人员，抵桂不足21天（含21天）的，经红码转黄码后，实施完7天健康监测，且核酸检测为阴性的，由属地的区划管理员对辖区内人员将黄码转为绿码。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9. 国内各地中高风险地区所在县（市、区）返桂来桂人员经红码转黄码后，实施完7天健康监测，且核酸检测为阴性的，由属地的区划管理员对辖区内人员将黄码转为绿码。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10. 在外省入境隔离期满14天抵桂14天内人员，按自治区疫情防控相关要求完成相关健康管理服务后，由属地的区划管理员对辖区内人员将黄码转为绿码。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11. 国内各地中高风险地区返桂来桂人员抵桂超过21天，实施完7天健康监测，且核酸检测为阴性的，由属地的区划管理员对辖区内人员将黄码转为绿码。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12. 国内各地中高风险地区所在县（市、区）返桂来桂人员超过7天，实施完7天健康监测，且核酸检测为阴性的，由属地的区划管理员对辖区内人员将黄码转为绿码。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13. 有确诊病例设区市中高风险地区所在县（市、区）以外返桂来桂人员回到属地后，实施完7天健康监测，且核酸检测为阴性的，由属地的区划管理员对辖区内人员将黄码转为绿码。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14. 需管控的可疑人员，各地疫情防控指挥部根据具体情况将黄码转为绿码。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407600"/>
          <w:spacing w:val="8"/>
          <w:sz w:val="25"/>
          <w:szCs w:val="25"/>
          <w:bdr w:val="none" w:color="auto" w:sz="0" w:space="0"/>
          <w:shd w:val="clear" w:fill="FFFFFF"/>
        </w:rPr>
        <w:t>三、定绿码规则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000000"/>
          <w:spacing w:val="8"/>
          <w:sz w:val="25"/>
          <w:szCs w:val="25"/>
          <w:bdr w:val="none" w:color="auto" w:sz="0" w:space="0"/>
          <w:shd w:val="clear" w:fill="FFFFFF"/>
        </w:rPr>
        <w:t>（一）绿码人员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除红码人员和黄码人员之外的人员（由用户自主如实填报）。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Style w:val="5"/>
          <w:rFonts w:hint="eastAsia" w:ascii="微软雅黑" w:hAnsi="微软雅黑" w:eastAsia="微软雅黑" w:cs="微软雅黑"/>
          <w:i w:val="0"/>
          <w:iCs w:val="0"/>
          <w:caps w:val="0"/>
          <w:color w:val="333333"/>
          <w:spacing w:val="8"/>
          <w:sz w:val="25"/>
          <w:szCs w:val="25"/>
          <w:bdr w:val="none" w:color="auto" w:sz="0" w:space="0"/>
          <w:shd w:val="clear" w:fill="FFFFFF"/>
        </w:rPr>
        <w:t>（二）绿码人员管理方式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8"/>
          <w:sz w:val="25"/>
          <w:szCs w:val="25"/>
        </w:rPr>
      </w:pPr>
      <w:r>
        <w:rPr>
          <w:rFonts w:hint="eastAsia" w:ascii="微软雅黑" w:hAnsi="微软雅黑" w:eastAsia="微软雅黑" w:cs="微软雅黑"/>
          <w:i w:val="0"/>
          <w:iCs w:val="0"/>
          <w:caps w:val="0"/>
          <w:color w:val="333333"/>
          <w:spacing w:val="8"/>
          <w:sz w:val="25"/>
          <w:szCs w:val="25"/>
          <w:bdr w:val="none" w:color="auto" w:sz="0" w:space="0"/>
          <w:shd w:val="clear" w:fill="FFFFFF"/>
        </w:rPr>
        <w:t>持绿码人员可自由出行。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E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2022-03-18T00:39:09Z</dcterms:created>
  <dc:creator>Administrator</dc:creator>
  <cp:lastModifiedBy>Administrator</cp:lastModifiedBy>
  <dcterms:modified xsi:type="dcterms:W3CDTF">2022-03-18T00:39:18Z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837D08EE1ED8490FB101BC8EF801D373</vt:lpwstr>
  </property>
</Properties>
</file>